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073819" w:rsidRDefault="0099474B">
      <w:pPr>
        <w:rPr>
          <w:rFonts w:ascii="Times New Roman" w:eastAsia="Times New Roman" w:hAnsi="Times New Roman" w:cs="Times New Roman"/>
          <w:b/>
          <w:sz w:val="20"/>
          <w:szCs w:val="20"/>
        </w:rPr>
      </w:pPr>
      <w:bookmarkStart w:id="0" w:name="_GoBack"/>
      <w:bookmarkEnd w:id="0"/>
      <w:r>
        <w:rPr>
          <w:rFonts w:ascii="Times New Roman" w:eastAsia="Times New Roman" w:hAnsi="Times New Roman" w:cs="Times New Roman"/>
          <w:b/>
          <w:sz w:val="20"/>
          <w:szCs w:val="20"/>
        </w:rPr>
        <w:t>Supplementary material</w:t>
      </w:r>
    </w:p>
    <w:p w14:paraId="00000002"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Using indicators to assess the status of biological invasions and their management on islands—the Prince Edward Islands, South Africa as an example </w:t>
      </w:r>
    </w:p>
    <w:p w14:paraId="00000003" w14:textId="77777777" w:rsidR="00073819" w:rsidRDefault="0099474B">
      <w:pPr>
        <w:rPr>
          <w:rFonts w:ascii="Times New Roman" w:eastAsia="Times New Roman" w:hAnsi="Times New Roman" w:cs="Times New Roman"/>
          <w:sz w:val="20"/>
          <w:szCs w:val="20"/>
        </w:rPr>
      </w:pPr>
      <w:bookmarkStart w:id="1" w:name="_heading=h.gjdgxs" w:colFirst="0" w:colLast="0"/>
      <w:bookmarkEnd w:id="1"/>
      <w:r>
        <w:rPr>
          <w:rFonts w:ascii="Times New Roman" w:eastAsia="Times New Roman" w:hAnsi="Times New Roman" w:cs="Times New Roman"/>
          <w:sz w:val="20"/>
          <w:szCs w:val="20"/>
        </w:rPr>
        <w:t>Laura Fernández Winzer</w:t>
      </w:r>
      <w:r>
        <w:rPr>
          <w:rFonts w:ascii="Times New Roman" w:eastAsia="Times New Roman" w:hAnsi="Times New Roman" w:cs="Times New Roman"/>
          <w:sz w:val="20"/>
          <w:szCs w:val="20"/>
          <w:vertAlign w:val="superscript"/>
        </w:rPr>
        <w:t>1,2*</w:t>
      </w:r>
      <w:r>
        <w:rPr>
          <w:rFonts w:ascii="Times New Roman" w:eastAsia="Times New Roman" w:hAnsi="Times New Roman" w:cs="Times New Roman"/>
          <w:sz w:val="20"/>
          <w:szCs w:val="20"/>
        </w:rPr>
        <w:t>,</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Michelle Greve</w:t>
      </w:r>
      <w:r>
        <w:rPr>
          <w:rFonts w:ascii="Times New Roman" w:eastAsia="Times New Roman" w:hAnsi="Times New Roman" w:cs="Times New Roman"/>
          <w:sz w:val="20"/>
          <w:szCs w:val="20"/>
          <w:vertAlign w:val="superscript"/>
        </w:rPr>
        <w:t>3</w:t>
      </w:r>
      <w:r>
        <w:rPr>
          <w:rFonts w:ascii="Times New Roman" w:eastAsia="Times New Roman" w:hAnsi="Times New Roman" w:cs="Times New Roman"/>
          <w:sz w:val="20"/>
          <w:szCs w:val="20"/>
        </w:rPr>
        <w:t>, Peter C. le Roux</w:t>
      </w:r>
      <w:r>
        <w:rPr>
          <w:rFonts w:ascii="Times New Roman" w:eastAsia="Times New Roman" w:hAnsi="Times New Roman" w:cs="Times New Roman"/>
          <w:sz w:val="20"/>
          <w:szCs w:val="20"/>
          <w:vertAlign w:val="superscript"/>
        </w:rPr>
        <w:t>3</w:t>
      </w:r>
      <w:r>
        <w:rPr>
          <w:rFonts w:ascii="Times New Roman" w:eastAsia="Times New Roman" w:hAnsi="Times New Roman" w:cs="Times New Roman"/>
          <w:sz w:val="20"/>
          <w:szCs w:val="20"/>
        </w:rPr>
        <w:t>, Katelyn T. Faulkner</w:t>
      </w:r>
      <w:r>
        <w:rPr>
          <w:rFonts w:ascii="Times New Roman" w:eastAsia="Times New Roman" w:hAnsi="Times New Roman" w:cs="Times New Roman"/>
          <w:sz w:val="20"/>
          <w:szCs w:val="20"/>
          <w:vertAlign w:val="superscript"/>
        </w:rPr>
        <w:t>1,4</w:t>
      </w:r>
      <w:r>
        <w:rPr>
          <w:rFonts w:ascii="Times New Roman" w:eastAsia="Times New Roman" w:hAnsi="Times New Roman" w:cs="Times New Roman"/>
          <w:sz w:val="20"/>
          <w:szCs w:val="20"/>
        </w:rPr>
        <w:t>, John R. U. Wilson</w:t>
      </w:r>
      <w:r>
        <w:rPr>
          <w:rFonts w:ascii="Times New Roman" w:eastAsia="Times New Roman" w:hAnsi="Times New Roman" w:cs="Times New Roman"/>
          <w:sz w:val="20"/>
          <w:szCs w:val="20"/>
          <w:vertAlign w:val="superscript"/>
        </w:rPr>
        <w:t>1,2</w:t>
      </w:r>
    </w:p>
    <w:p w14:paraId="00000004" w14:textId="77777777" w:rsidR="00073819" w:rsidRDefault="00073819">
      <w:pPr>
        <w:rPr>
          <w:rFonts w:ascii="Times New Roman" w:eastAsia="Times New Roman" w:hAnsi="Times New Roman" w:cs="Times New Roman"/>
          <w:sz w:val="20"/>
          <w:szCs w:val="20"/>
          <w:vertAlign w:val="superscript"/>
        </w:rPr>
      </w:pPr>
    </w:p>
    <w:p w14:paraId="00000005"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vertAlign w:val="superscript"/>
        </w:rPr>
        <w:t>1</w:t>
      </w:r>
      <w:r>
        <w:rPr>
          <w:rFonts w:ascii="Times New Roman" w:eastAsia="Times New Roman" w:hAnsi="Times New Roman" w:cs="Times New Roman"/>
          <w:i/>
          <w:sz w:val="20"/>
          <w:szCs w:val="20"/>
        </w:rPr>
        <w:t>South African National Biodiversity Institute,</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 xml:space="preserve">Kirstenbosch Research Centre, Cape Town, South Africa, </w:t>
      </w:r>
    </w:p>
    <w:p w14:paraId="00000006"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vertAlign w:val="superscript"/>
        </w:rPr>
        <w:t>2</w:t>
      </w:r>
      <w:r>
        <w:rPr>
          <w:rFonts w:ascii="Times New Roman" w:eastAsia="Times New Roman" w:hAnsi="Times New Roman" w:cs="Times New Roman"/>
          <w:i/>
          <w:sz w:val="20"/>
          <w:szCs w:val="20"/>
        </w:rPr>
        <w:t>Centre for Invasion Biology</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Department of Zoology &amp; Botany, Stellenbosch University, Stellenbosch, South Africa</w:t>
      </w:r>
      <w:r>
        <w:rPr>
          <w:rFonts w:ascii="Times New Roman" w:eastAsia="Times New Roman" w:hAnsi="Times New Roman" w:cs="Times New Roman"/>
          <w:sz w:val="20"/>
          <w:szCs w:val="20"/>
        </w:rPr>
        <w:t xml:space="preserve"> </w:t>
      </w:r>
    </w:p>
    <w:p w14:paraId="00000007" w14:textId="77777777" w:rsidR="00073819" w:rsidRDefault="0099474B">
      <w:pPr>
        <w:rPr>
          <w:rFonts w:ascii="Times New Roman" w:eastAsia="Times New Roman" w:hAnsi="Times New Roman" w:cs="Times New Roman"/>
          <w:i/>
          <w:sz w:val="20"/>
          <w:szCs w:val="20"/>
        </w:rPr>
      </w:pPr>
      <w:r>
        <w:rPr>
          <w:rFonts w:ascii="Times New Roman" w:eastAsia="Times New Roman" w:hAnsi="Times New Roman" w:cs="Times New Roman"/>
          <w:sz w:val="20"/>
          <w:szCs w:val="20"/>
          <w:vertAlign w:val="superscript"/>
        </w:rPr>
        <w:t>3</w:t>
      </w:r>
      <w:r>
        <w:rPr>
          <w:rFonts w:ascii="Times New Roman" w:eastAsia="Times New Roman" w:hAnsi="Times New Roman" w:cs="Times New Roman"/>
          <w:i/>
          <w:sz w:val="20"/>
          <w:szCs w:val="20"/>
        </w:rPr>
        <w:t>Department of Plant and Soil Sciences, University of Pretoria, Pretoria, South Africa</w:t>
      </w:r>
    </w:p>
    <w:p w14:paraId="00000008" w14:textId="77777777" w:rsidR="00073819" w:rsidRDefault="0099474B">
      <w:pPr>
        <w:rPr>
          <w:rFonts w:ascii="Times New Roman" w:eastAsia="Times New Roman" w:hAnsi="Times New Roman" w:cs="Times New Roman"/>
          <w:i/>
          <w:sz w:val="20"/>
          <w:szCs w:val="20"/>
        </w:rPr>
      </w:pPr>
      <w:r>
        <w:rPr>
          <w:rFonts w:ascii="Times New Roman" w:eastAsia="Times New Roman" w:hAnsi="Times New Roman" w:cs="Times New Roman"/>
          <w:sz w:val="20"/>
          <w:szCs w:val="20"/>
          <w:vertAlign w:val="superscript"/>
        </w:rPr>
        <w:t>4</w:t>
      </w:r>
      <w:r>
        <w:rPr>
          <w:rFonts w:ascii="Times New Roman" w:eastAsia="Times New Roman" w:hAnsi="Times New Roman" w:cs="Times New Roman"/>
          <w:i/>
          <w:sz w:val="20"/>
          <w:szCs w:val="20"/>
        </w:rPr>
        <w:t xml:space="preserve">Department of Zoology and Entomology, University of Pretoria, Pretoria, South Africa </w:t>
      </w:r>
    </w:p>
    <w:p w14:paraId="00000009" w14:textId="77777777" w:rsidR="00073819" w:rsidRDefault="00073819">
      <w:pPr>
        <w:pStyle w:val="Heading2"/>
        <w:rPr>
          <w:b w:val="0"/>
        </w:rPr>
      </w:pPr>
      <w:bookmarkStart w:id="2" w:name="_heading=h.30j0zll" w:colFirst="0" w:colLast="0"/>
      <w:bookmarkEnd w:id="2"/>
    </w:p>
    <w:p w14:paraId="0000000C" w14:textId="46B471AB" w:rsidR="00073819" w:rsidRDefault="0099474B" w:rsidP="00922864">
      <w:pPr>
        <w:rPr>
          <w:rFonts w:ascii="Times New Roman" w:eastAsia="Times New Roman" w:hAnsi="Times New Roman" w:cs="Times New Roman"/>
          <w:sz w:val="20"/>
          <w:szCs w:val="20"/>
        </w:rPr>
      </w:pPr>
      <w:bookmarkStart w:id="3" w:name="_heading=h.1t3h5sf" w:colFirst="0" w:colLast="0"/>
      <w:bookmarkEnd w:id="3"/>
      <w:r>
        <w:rPr>
          <w:rFonts w:ascii="Times New Roman" w:eastAsia="Times New Roman" w:hAnsi="Times New Roman" w:cs="Times New Roman"/>
          <w:sz w:val="20"/>
          <w:szCs w:val="20"/>
        </w:rPr>
        <w:t xml:space="preserve">*Corresponding author: Laura Fernández Winzer:  </w:t>
      </w:r>
      <w:hyperlink r:id="rId8" w:history="1">
        <w:r w:rsidR="00755F54" w:rsidRPr="00D11D90">
          <w:rPr>
            <w:rStyle w:val="Hyperlink"/>
            <w:rFonts w:ascii="Times New Roman" w:eastAsia="Times New Roman" w:hAnsi="Times New Roman" w:cs="Times New Roman"/>
            <w:i/>
            <w:sz w:val="20"/>
            <w:szCs w:val="20"/>
          </w:rPr>
          <w:t>laura.f.winzer@gmail.com</w:t>
        </w:r>
      </w:hyperlink>
    </w:p>
    <w:p w14:paraId="72E290C9" w14:textId="77777777" w:rsidR="00755F54" w:rsidRDefault="00755F54" w:rsidP="00922864">
      <w:pPr>
        <w:rPr>
          <w:rFonts w:ascii="Times New Roman" w:eastAsia="Times New Roman" w:hAnsi="Times New Roman" w:cs="Times New Roman"/>
          <w:sz w:val="20"/>
          <w:szCs w:val="20"/>
        </w:rPr>
      </w:pPr>
    </w:p>
    <w:p w14:paraId="0000000D" w14:textId="3AFD247D" w:rsidR="00073819" w:rsidRDefault="007C12F3" w:rsidP="00755F54">
      <w:pP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S1 </w:t>
      </w:r>
      <w:r w:rsidR="00755F54" w:rsidRPr="00755F54">
        <w:rPr>
          <w:rFonts w:ascii="Times New Roman" w:eastAsia="Times New Roman" w:hAnsi="Times New Roman" w:cs="Times New Roman"/>
          <w:b/>
          <w:bCs/>
          <w:sz w:val="20"/>
          <w:szCs w:val="20"/>
        </w:rPr>
        <w:t>Supplementary material for the Introduction</w:t>
      </w:r>
    </w:p>
    <w:p w14:paraId="0000000E" w14:textId="0125A63D" w:rsidR="00073819" w:rsidRPr="003A71B2" w:rsidRDefault="0099474B">
      <w:pPr>
        <w:spacing w:after="0" w:line="276" w:lineRule="auto"/>
        <w:rPr>
          <w:rFonts w:ascii="Times New Roman" w:eastAsia="Times New Roman" w:hAnsi="Times New Roman" w:cs="Times New Roman"/>
          <w:bCs/>
          <w:sz w:val="20"/>
          <w:szCs w:val="20"/>
        </w:rPr>
      </w:pPr>
      <w:r w:rsidRPr="003A71B2">
        <w:rPr>
          <w:rFonts w:ascii="Times New Roman" w:eastAsia="Times New Roman" w:hAnsi="Times New Roman" w:cs="Times New Roman"/>
          <w:bCs/>
          <w:sz w:val="20"/>
          <w:szCs w:val="20"/>
        </w:rPr>
        <w:t xml:space="preserve">Comparison of Indicator frameworks </w:t>
      </w:r>
    </w:p>
    <w:p w14:paraId="0000000F" w14:textId="77777777" w:rsidR="00073819" w:rsidRDefault="00073819">
      <w:pPr>
        <w:spacing w:after="0" w:line="276" w:lineRule="auto"/>
        <w:rPr>
          <w:rFonts w:ascii="Times New Roman" w:eastAsia="Times New Roman" w:hAnsi="Times New Roman" w:cs="Times New Roman"/>
          <w:b/>
          <w:sz w:val="20"/>
          <w:szCs w:val="20"/>
        </w:rPr>
      </w:pPr>
    </w:p>
    <w:p w14:paraId="00000010" w14:textId="77777777" w:rsidR="00073819" w:rsidRDefault="0099474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Besides Wilson et al. (2018), a different indicator framework, the Antarctic Biological Invasions Indicators (ABII), had been previously developed for the broader Antarctic to monitor biological invasions (McGeoch et al. 2015; see Table S1). Some of the indicators in the ABII are equivalent to those of the framework of Wilson et al. (2018) (Table 1), but the framework of Wilson and colleagues explicitly covers the various aspects of biological invasions (pathways, sites and interventions) that need to be addressed to meet GBF Target 6. The working definitions for invasive species also differ between the frameworks. The Wilson et al. (2018) framework considers a </w:t>
      </w:r>
      <w:proofErr w:type="spellStart"/>
      <w:r>
        <w:rPr>
          <w:rFonts w:ascii="Times New Roman" w:eastAsia="Times New Roman" w:hAnsi="Times New Roman" w:cs="Times New Roman"/>
          <w:sz w:val="20"/>
          <w:szCs w:val="20"/>
        </w:rPr>
        <w:t>taxon</w:t>
      </w:r>
      <w:proofErr w:type="spellEnd"/>
      <w:r>
        <w:rPr>
          <w:rFonts w:ascii="Times New Roman" w:eastAsia="Times New Roman" w:hAnsi="Times New Roman" w:cs="Times New Roman"/>
          <w:sz w:val="20"/>
          <w:szCs w:val="20"/>
        </w:rPr>
        <w:t xml:space="preserve"> as invasive when it has a ‘self-sustaining population outside of captivity or cultivation, with individuals surviving and reproducing a significant distance from the original point of introduction’. This follows the Darwin Core term ‘degree of establishment’ [</w:t>
      </w:r>
      <w:proofErr w:type="spellStart"/>
      <w:proofErr w:type="gramStart"/>
      <w:r>
        <w:rPr>
          <w:rFonts w:ascii="Times New Roman" w:eastAsia="Times New Roman" w:hAnsi="Times New Roman" w:cs="Times New Roman"/>
          <w:sz w:val="20"/>
          <w:szCs w:val="20"/>
        </w:rPr>
        <w:t>dwc:degreeOfEstablishment</w:t>
      </w:r>
      <w:proofErr w:type="spellEnd"/>
      <w:proofErr w:type="gramEnd"/>
      <w:r>
        <w:rPr>
          <w:rFonts w:ascii="Times New Roman" w:eastAsia="Times New Roman" w:hAnsi="Times New Roman" w:cs="Times New Roman"/>
          <w:sz w:val="20"/>
          <w:szCs w:val="20"/>
        </w:rPr>
        <w:t xml:space="preserve">,  Groom et al. 2019), and is based on the Unified Framework for Biological Invasions (Blackburn et al. 2011). The definition used by the ABII is aligned with the Intergovernmental Science-Policy Platform on Biodiversity and Ecosystem Services (IPBES  2023) and invasive taxa are those that have spread and caused negative impacts to biodiversity.  </w:t>
      </w:r>
    </w:p>
    <w:p w14:paraId="00000011" w14:textId="42D0C178" w:rsidR="00073819" w:rsidRDefault="0099474B">
      <w:pPr>
        <w:spacing w:after="0" w:line="360" w:lineRule="auto"/>
        <w:rPr>
          <w:rFonts w:ascii="Times New Roman" w:eastAsia="Times New Roman" w:hAnsi="Times New Roman" w:cs="Times New Roman"/>
          <w:sz w:val="20"/>
          <w:szCs w:val="20"/>
        </w:rPr>
        <w:sectPr w:rsidR="00073819" w:rsidSect="0099474B">
          <w:headerReference w:type="even" r:id="rId9"/>
          <w:headerReference w:type="default" r:id="rId10"/>
          <w:footerReference w:type="default" r:id="rId11"/>
          <w:headerReference w:type="first" r:id="rId12"/>
          <w:type w:val="continuous"/>
          <w:pgSz w:w="11906" w:h="16838"/>
          <w:pgMar w:top="1440" w:right="1440" w:bottom="1440" w:left="1440" w:header="709" w:footer="709" w:gutter="0"/>
          <w:cols w:space="720"/>
          <w:docGrid w:linePitch="299"/>
        </w:sectPr>
      </w:pPr>
      <w:r>
        <w:rPr>
          <w:rFonts w:ascii="Times New Roman" w:eastAsia="Times New Roman" w:hAnsi="Times New Roman" w:cs="Times New Roman"/>
          <w:sz w:val="20"/>
          <w:szCs w:val="20"/>
        </w:rPr>
        <w:tab/>
        <w:t xml:space="preserve">In addition, the GBF has identified seven indicators for Target 6: a </w:t>
      </w:r>
      <w:r>
        <w:rPr>
          <w:rFonts w:ascii="Times New Roman" w:eastAsia="Times New Roman" w:hAnsi="Times New Roman" w:cs="Times New Roman"/>
          <w:i/>
          <w:sz w:val="20"/>
          <w:szCs w:val="20"/>
        </w:rPr>
        <w:t>Headline indicator</w:t>
      </w:r>
      <w:r>
        <w:rPr>
          <w:rFonts w:ascii="Times New Roman" w:eastAsia="Times New Roman" w:hAnsi="Times New Roman" w:cs="Times New Roman"/>
          <w:sz w:val="20"/>
          <w:szCs w:val="20"/>
        </w:rPr>
        <w:t xml:space="preserve">, three </w:t>
      </w:r>
      <w:r>
        <w:rPr>
          <w:rFonts w:ascii="Times New Roman" w:eastAsia="Times New Roman" w:hAnsi="Times New Roman" w:cs="Times New Roman"/>
          <w:i/>
          <w:sz w:val="20"/>
          <w:szCs w:val="20"/>
        </w:rPr>
        <w:t>Component indicators</w:t>
      </w:r>
      <w:r>
        <w:rPr>
          <w:rFonts w:ascii="Times New Roman" w:eastAsia="Times New Roman" w:hAnsi="Times New Roman" w:cs="Times New Roman"/>
          <w:sz w:val="20"/>
          <w:szCs w:val="20"/>
        </w:rPr>
        <w:t xml:space="preserve"> and three </w:t>
      </w:r>
      <w:r>
        <w:rPr>
          <w:rFonts w:ascii="Times New Roman" w:eastAsia="Times New Roman" w:hAnsi="Times New Roman" w:cs="Times New Roman"/>
          <w:i/>
          <w:sz w:val="20"/>
          <w:szCs w:val="20"/>
        </w:rPr>
        <w:t>Complimentary indicators</w:t>
      </w:r>
      <w:r>
        <w:rPr>
          <w:rFonts w:ascii="Times New Roman" w:eastAsia="Times New Roman" w:hAnsi="Times New Roman" w:cs="Times New Roman"/>
          <w:sz w:val="20"/>
          <w:szCs w:val="20"/>
        </w:rPr>
        <w:t xml:space="preserve"> (Table </w:t>
      </w:r>
      <w:r w:rsidR="00D3553D">
        <w:rPr>
          <w:rFonts w:ascii="Times New Roman" w:eastAsia="Times New Roman" w:hAnsi="Times New Roman" w:cs="Times New Roman"/>
          <w:sz w:val="20"/>
          <w:szCs w:val="20"/>
        </w:rPr>
        <w:t>S</w:t>
      </w:r>
      <w:r>
        <w:rPr>
          <w:rFonts w:ascii="Times New Roman" w:eastAsia="Times New Roman" w:hAnsi="Times New Roman" w:cs="Times New Roman"/>
          <w:sz w:val="20"/>
          <w:szCs w:val="20"/>
        </w:rPr>
        <w:t>1). However, these indicators are not yet fully developed (</w:t>
      </w:r>
      <w:r>
        <w:rPr>
          <w:rFonts w:ascii="Times New Roman" w:eastAsia="Times New Roman" w:hAnsi="Times New Roman" w:cs="Times New Roman"/>
          <w:color w:val="1155CC"/>
          <w:sz w:val="20"/>
          <w:szCs w:val="20"/>
          <w:u w:val="single"/>
        </w:rPr>
        <w:t>https://www.cbd.int/gbf/targets/6</w:t>
      </w:r>
      <w:r>
        <w:rPr>
          <w:rFonts w:ascii="Times New Roman" w:eastAsia="Times New Roman" w:hAnsi="Times New Roman" w:cs="Times New Roman"/>
          <w:sz w:val="20"/>
          <w:szCs w:val="20"/>
        </w:rPr>
        <w:t xml:space="preserve">) and thus it is not known how they should be scored (at least as of 26 April 2024). Interestingly, when compared with the indicators from Wilson et al. (2018), the GBF does not have analogous indicators to assess invasions at sites (neither does ABII), or interventions.   </w:t>
      </w:r>
    </w:p>
    <w:p w14:paraId="00000012" w14:textId="1B7ECAC4"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b/>
          <w:color w:val="000000"/>
          <w:sz w:val="20"/>
          <w:szCs w:val="20"/>
        </w:rPr>
        <w:lastRenderedPageBreak/>
        <w:t xml:space="preserve">Table </w:t>
      </w:r>
      <w:r w:rsidR="000203F1">
        <w:rPr>
          <w:rFonts w:ascii="Times New Roman" w:eastAsia="Times New Roman" w:hAnsi="Times New Roman" w:cs="Times New Roman"/>
          <w:b/>
          <w:color w:val="000000"/>
          <w:sz w:val="20"/>
          <w:szCs w:val="20"/>
        </w:rPr>
        <w:t>S</w:t>
      </w:r>
      <w:r>
        <w:rPr>
          <w:rFonts w:ascii="Times New Roman" w:eastAsia="Times New Roman" w:hAnsi="Times New Roman" w:cs="Times New Roman"/>
          <w:b/>
          <w:color w:val="000000"/>
          <w:sz w:val="20"/>
          <w:szCs w:val="20"/>
        </w:rPr>
        <w:t>1</w:t>
      </w:r>
      <w:r>
        <w:rPr>
          <w:rFonts w:ascii="Times New Roman" w:eastAsia="Times New Roman" w:hAnsi="Times New Roman" w:cs="Times New Roman"/>
          <w:color w:val="000000"/>
          <w:sz w:val="20"/>
          <w:szCs w:val="20"/>
        </w:rPr>
        <w:t xml:space="preserve"> The indicators of the Antarctic Biological Invasions Indicator (ABII) scheme (McGeoch et al. 2015) with the analogous indicators from Wilson et al. (2018), and from the Global Biodiversity Framework (GBF) Target 6. Note that the indicator numbers for the Wilson et. al. (2018) framework reflect those in </w:t>
      </w:r>
      <w:r w:rsidR="00FA37D4">
        <w:rPr>
          <w:rFonts w:ascii="Times New Roman" w:eastAsia="Times New Roman" w:hAnsi="Times New Roman" w:cs="Times New Roman"/>
          <w:color w:val="000000"/>
          <w:sz w:val="20"/>
          <w:szCs w:val="20"/>
        </w:rPr>
        <w:t>Table 1</w:t>
      </w:r>
      <w:r>
        <w:rPr>
          <w:rFonts w:ascii="Times New Roman" w:eastAsia="Times New Roman" w:hAnsi="Times New Roman" w:cs="Times New Roman"/>
          <w:color w:val="000000"/>
          <w:sz w:val="20"/>
          <w:szCs w:val="20"/>
        </w:rPr>
        <w:t xml:space="preserve"> as opposed of numbers in the original source. The GBF headline indicator ‘Rate of invasive alien species establishment’ and the Component indicator ‘Rate of invasive alien species spread’ were not included in the table as they do not possess equivalent indicators in the other frameworks. IAS = invasive alien species</w:t>
      </w:r>
    </w:p>
    <w:tbl>
      <w:tblPr>
        <w:tblStyle w:val="a2"/>
        <w:tblW w:w="13928" w:type="dxa"/>
        <w:tblLayout w:type="fixed"/>
        <w:tblLook w:val="0400" w:firstRow="0" w:lastRow="0" w:firstColumn="0" w:lastColumn="0" w:noHBand="0" w:noVBand="1"/>
      </w:tblPr>
      <w:tblGrid>
        <w:gridCol w:w="2244"/>
        <w:gridCol w:w="2813"/>
        <w:gridCol w:w="1146"/>
        <w:gridCol w:w="1642"/>
        <w:gridCol w:w="1379"/>
        <w:gridCol w:w="4704"/>
      </w:tblGrid>
      <w:tr w:rsidR="00073819" w14:paraId="6AFF0A8F" w14:textId="77777777">
        <w:trPr>
          <w:trHeight w:val="540"/>
        </w:trPr>
        <w:tc>
          <w:tcPr>
            <w:tcW w:w="5057" w:type="dxa"/>
            <w:gridSpan w:val="2"/>
            <w:tcBorders>
              <w:top w:val="single" w:sz="12" w:space="0" w:color="000000"/>
              <w:left w:val="single" w:sz="12" w:space="0" w:color="000000"/>
              <w:bottom w:val="single" w:sz="6" w:space="0" w:color="000000"/>
              <w:right w:val="single" w:sz="12" w:space="0" w:color="000000"/>
            </w:tcBorders>
            <w:tcMar>
              <w:top w:w="0" w:type="dxa"/>
              <w:left w:w="45" w:type="dxa"/>
              <w:bottom w:w="0" w:type="dxa"/>
              <w:right w:w="45" w:type="dxa"/>
            </w:tcMar>
            <w:vAlign w:val="center"/>
          </w:tcPr>
          <w:p w14:paraId="00000013" w14:textId="77777777" w:rsidR="00073819" w:rsidRDefault="0099474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Antarctic Biological Invasions Indicators</w:t>
            </w:r>
          </w:p>
        </w:tc>
        <w:tc>
          <w:tcPr>
            <w:tcW w:w="2788" w:type="dxa"/>
            <w:gridSpan w:val="2"/>
            <w:tcBorders>
              <w:top w:val="single" w:sz="12" w:space="0" w:color="000000"/>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15" w14:textId="77777777" w:rsidR="00073819" w:rsidRDefault="0099474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Indicators from Wilson et al. (2018)</w:t>
            </w:r>
          </w:p>
        </w:tc>
        <w:tc>
          <w:tcPr>
            <w:tcW w:w="6083" w:type="dxa"/>
            <w:gridSpan w:val="2"/>
            <w:tcBorders>
              <w:top w:val="single" w:sz="12" w:space="0" w:color="000000"/>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17" w14:textId="77777777" w:rsidR="00073819" w:rsidRDefault="0099474B">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GBF Target 6 Indicators</w:t>
            </w:r>
          </w:p>
        </w:tc>
      </w:tr>
      <w:tr w:rsidR="00073819" w14:paraId="5544FF84" w14:textId="77777777">
        <w:trPr>
          <w:trHeight w:val="285"/>
        </w:trPr>
        <w:tc>
          <w:tcPr>
            <w:tcW w:w="2244" w:type="dxa"/>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19"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Driver: </w:t>
            </w:r>
            <w:r>
              <w:rPr>
                <w:rFonts w:ascii="Times New Roman" w:eastAsia="Times New Roman" w:hAnsi="Times New Roman" w:cs="Times New Roman"/>
                <w:i/>
                <w:sz w:val="20"/>
                <w:szCs w:val="20"/>
              </w:rPr>
              <w:t>Number and trends in activities associated with invasion risk</w:t>
            </w: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1A"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Number of tourists, scientists and facilities per biogeographic region </w:t>
            </w:r>
          </w:p>
        </w:tc>
        <w:tc>
          <w:tcPr>
            <w:tcW w:w="114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1B"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Pathways</w:t>
            </w: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1C"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1.1: Introduction pathway prominence</w:t>
            </w:r>
          </w:p>
        </w:tc>
        <w:tc>
          <w:tcPr>
            <w:tcW w:w="1379" w:type="dxa"/>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center"/>
          </w:tcPr>
          <w:p w14:paraId="0000001D" w14:textId="77777777" w:rsidR="00073819" w:rsidRDefault="00073819">
            <w:pPr>
              <w:spacing w:after="0" w:line="240" w:lineRule="auto"/>
              <w:rPr>
                <w:rFonts w:ascii="Times New Roman" w:eastAsia="Times New Roman" w:hAnsi="Times New Roman" w:cs="Times New Roman"/>
                <w:sz w:val="20"/>
                <w:szCs w:val="20"/>
              </w:rPr>
            </w:pPr>
          </w:p>
        </w:tc>
        <w:tc>
          <w:tcPr>
            <w:tcW w:w="4704"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14:paraId="0000001E" w14:textId="77777777" w:rsidR="00073819" w:rsidRDefault="00073819">
            <w:pPr>
              <w:spacing w:after="0" w:line="240" w:lineRule="auto"/>
              <w:rPr>
                <w:rFonts w:ascii="Times New Roman" w:eastAsia="Times New Roman" w:hAnsi="Times New Roman" w:cs="Times New Roman"/>
                <w:sz w:val="20"/>
                <w:szCs w:val="20"/>
              </w:rPr>
            </w:pPr>
          </w:p>
        </w:tc>
      </w:tr>
      <w:tr w:rsidR="00073819" w14:paraId="530B56A0" w14:textId="77777777">
        <w:trPr>
          <w:trHeight w:val="285"/>
        </w:trPr>
        <w:tc>
          <w:tcPr>
            <w:tcW w:w="2244" w:type="dxa"/>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1F" w14:textId="77777777" w:rsidR="00073819" w:rsidRDefault="00073819">
            <w:pPr>
              <w:spacing w:after="0" w:line="240" w:lineRule="auto"/>
              <w:rPr>
                <w:rFonts w:ascii="Times New Roman" w:eastAsia="Times New Roman" w:hAnsi="Times New Roman" w:cs="Times New Roman"/>
                <w:sz w:val="20"/>
                <w:szCs w:val="20"/>
              </w:rPr>
            </w:pP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0" w14:textId="77777777" w:rsidR="00073819" w:rsidRDefault="00073819">
            <w:pPr>
              <w:spacing w:after="0" w:line="240" w:lineRule="auto"/>
              <w:rPr>
                <w:rFonts w:ascii="Times New Roman" w:eastAsia="Times New Roman" w:hAnsi="Times New Roman" w:cs="Times New Roman"/>
                <w:sz w:val="20"/>
                <w:szCs w:val="20"/>
              </w:rPr>
            </w:pPr>
          </w:p>
        </w:tc>
        <w:tc>
          <w:tcPr>
            <w:tcW w:w="114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1" w14:textId="77777777" w:rsidR="00073819" w:rsidRDefault="00073819">
            <w:pPr>
              <w:spacing w:after="0" w:line="240" w:lineRule="auto"/>
              <w:rPr>
                <w:rFonts w:ascii="Times New Roman" w:eastAsia="Times New Roman" w:hAnsi="Times New Roman" w:cs="Times New Roman"/>
                <w:sz w:val="20"/>
                <w:szCs w:val="20"/>
              </w:rPr>
            </w:pP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2"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1.2 Introduction rates </w:t>
            </w:r>
          </w:p>
        </w:tc>
        <w:tc>
          <w:tcPr>
            <w:tcW w:w="137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3"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Component </w:t>
            </w:r>
            <w:r>
              <w:rPr>
                <w:rFonts w:ascii="Times New Roman" w:eastAsia="Times New Roman" w:hAnsi="Times New Roman" w:cs="Times New Roman"/>
                <w:sz w:val="20"/>
                <w:szCs w:val="20"/>
              </w:rPr>
              <w:br/>
              <w:t xml:space="preserve">indicators </w:t>
            </w:r>
          </w:p>
        </w:tc>
        <w:tc>
          <w:tcPr>
            <w:tcW w:w="4704"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14:paraId="00000024"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Number of invasive alien species introduction events</w:t>
            </w:r>
          </w:p>
        </w:tc>
      </w:tr>
      <w:tr w:rsidR="00073819" w14:paraId="750712A3" w14:textId="77777777">
        <w:trPr>
          <w:trHeight w:val="285"/>
        </w:trPr>
        <w:tc>
          <w:tcPr>
            <w:tcW w:w="2244" w:type="dxa"/>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25"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Pressure: </w:t>
            </w:r>
            <w:r>
              <w:rPr>
                <w:rFonts w:ascii="Times New Roman" w:eastAsia="Times New Roman" w:hAnsi="Times New Roman" w:cs="Times New Roman"/>
                <w:i/>
                <w:sz w:val="20"/>
                <w:szCs w:val="20"/>
              </w:rPr>
              <w:t>Number of alien invasive species per biogeographic region</w:t>
            </w:r>
            <w:r>
              <w:rPr>
                <w:rFonts w:ascii="Times New Roman" w:eastAsia="Times New Roman" w:hAnsi="Times New Roman" w:cs="Times New Roman"/>
                <w:sz w:val="20"/>
                <w:szCs w:val="20"/>
              </w:rPr>
              <w:t> </w:t>
            </w: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6"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Alien and invasive taxa: plants, mammals, birds, freshwater fish, insects and other invertebrates</w:t>
            </w:r>
          </w:p>
        </w:tc>
        <w:tc>
          <w:tcPr>
            <w:tcW w:w="1146"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7"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Species</w:t>
            </w: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8"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2.1: Number and status of alien species</w:t>
            </w:r>
          </w:p>
        </w:tc>
        <w:tc>
          <w:tcPr>
            <w:tcW w:w="1379"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9"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Complementary </w:t>
            </w:r>
            <w:r>
              <w:rPr>
                <w:rFonts w:ascii="Times New Roman" w:eastAsia="Times New Roman" w:hAnsi="Times New Roman" w:cs="Times New Roman"/>
                <w:sz w:val="20"/>
                <w:szCs w:val="20"/>
              </w:rPr>
              <w:br/>
              <w:t>indicators</w:t>
            </w:r>
          </w:p>
        </w:tc>
        <w:tc>
          <w:tcPr>
            <w:tcW w:w="4704"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A"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Number of invasive alien species on national lists as per the Global Register of Introduced and Invasive Species </w:t>
            </w:r>
          </w:p>
        </w:tc>
      </w:tr>
      <w:tr w:rsidR="00073819" w14:paraId="2B62E13D" w14:textId="77777777">
        <w:trPr>
          <w:trHeight w:val="285"/>
        </w:trPr>
        <w:tc>
          <w:tcPr>
            <w:tcW w:w="2244" w:type="dxa"/>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2B" w14:textId="77777777" w:rsidR="00073819" w:rsidRDefault="00073819">
            <w:pPr>
              <w:spacing w:after="0" w:line="240" w:lineRule="auto"/>
              <w:rPr>
                <w:rFonts w:ascii="Times New Roman" w:eastAsia="Times New Roman" w:hAnsi="Times New Roman" w:cs="Times New Roman"/>
                <w:sz w:val="20"/>
                <w:szCs w:val="20"/>
              </w:rPr>
            </w:pP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C" w14:textId="77777777" w:rsidR="00073819" w:rsidRDefault="00073819">
            <w:pPr>
              <w:spacing w:after="0" w:line="240" w:lineRule="auto"/>
              <w:rPr>
                <w:rFonts w:ascii="Times New Roman" w:eastAsia="Times New Roman" w:hAnsi="Times New Roman" w:cs="Times New Roman"/>
                <w:sz w:val="20"/>
                <w:szCs w:val="20"/>
              </w:rPr>
            </w:pPr>
          </w:p>
        </w:tc>
        <w:tc>
          <w:tcPr>
            <w:tcW w:w="1146"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D"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2E"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2.2. Extent </w:t>
            </w:r>
          </w:p>
        </w:tc>
        <w:tc>
          <w:tcPr>
            <w:tcW w:w="1379"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2F"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4704" w:type="dxa"/>
            <w:vMerge w:val="restart"/>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0"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Trends in abundance, temporal occurrence and spatial distribution of non-indigenous species, particularly invasive, non-indigenous species, notably in risk areas (in relation to the main vectors and pathways of spreading of such species) </w:t>
            </w:r>
          </w:p>
        </w:tc>
      </w:tr>
      <w:tr w:rsidR="00073819" w14:paraId="0B67BBE7" w14:textId="77777777">
        <w:trPr>
          <w:trHeight w:val="2460"/>
        </w:trPr>
        <w:tc>
          <w:tcPr>
            <w:tcW w:w="2244" w:type="dxa"/>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31" w14:textId="77777777" w:rsidR="00073819" w:rsidRDefault="00073819">
            <w:pPr>
              <w:spacing w:after="0" w:line="240" w:lineRule="auto"/>
              <w:rPr>
                <w:rFonts w:ascii="Times New Roman" w:eastAsia="Times New Roman" w:hAnsi="Times New Roman" w:cs="Times New Roman"/>
                <w:sz w:val="20"/>
                <w:szCs w:val="20"/>
              </w:rPr>
            </w:pP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2" w14:textId="77777777" w:rsidR="00073819" w:rsidRDefault="00073819">
            <w:pPr>
              <w:spacing w:after="0" w:line="240" w:lineRule="auto"/>
              <w:rPr>
                <w:rFonts w:ascii="Times New Roman" w:eastAsia="Times New Roman" w:hAnsi="Times New Roman" w:cs="Times New Roman"/>
                <w:sz w:val="20"/>
                <w:szCs w:val="20"/>
              </w:rPr>
            </w:pPr>
          </w:p>
        </w:tc>
        <w:tc>
          <w:tcPr>
            <w:tcW w:w="1146"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33"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4"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2.3 Abundance of alien species</w:t>
            </w:r>
          </w:p>
        </w:tc>
        <w:tc>
          <w:tcPr>
            <w:tcW w:w="1379"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35"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4704" w:type="dxa"/>
            <w:vMerge/>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6"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r>
      <w:tr w:rsidR="00073819" w14:paraId="25A03F1F" w14:textId="77777777">
        <w:trPr>
          <w:trHeight w:val="285"/>
        </w:trPr>
        <w:tc>
          <w:tcPr>
            <w:tcW w:w="2244" w:type="dxa"/>
            <w:vMerge w:val="restart"/>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37"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State: </w:t>
            </w:r>
            <w:r>
              <w:rPr>
                <w:rFonts w:ascii="Times New Roman" w:eastAsia="Times New Roman" w:hAnsi="Times New Roman" w:cs="Times New Roman"/>
                <w:i/>
                <w:sz w:val="20"/>
                <w:szCs w:val="20"/>
              </w:rPr>
              <w:t>Red List Index for Impacts of Invasive alien species</w:t>
            </w:r>
            <w:r>
              <w:rPr>
                <w:rFonts w:ascii="Times New Roman" w:eastAsia="Times New Roman" w:hAnsi="Times New Roman" w:cs="Times New Roman"/>
                <w:sz w:val="20"/>
                <w:szCs w:val="20"/>
              </w:rPr>
              <w:t> </w:t>
            </w:r>
          </w:p>
        </w:tc>
        <w:tc>
          <w:tcPr>
            <w:tcW w:w="2813" w:type="dxa"/>
            <w:vMerge w:val="restart"/>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8"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Trends in the extinction risk of birds impacted by invasive species</w:t>
            </w:r>
          </w:p>
        </w:tc>
        <w:tc>
          <w:tcPr>
            <w:tcW w:w="1146"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39"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vMerge w:val="restart"/>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A"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2.4: Impact of alien species</w:t>
            </w:r>
          </w:p>
        </w:tc>
        <w:tc>
          <w:tcPr>
            <w:tcW w:w="137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3B"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Component </w:t>
            </w:r>
            <w:r>
              <w:rPr>
                <w:rFonts w:ascii="Times New Roman" w:eastAsia="Times New Roman" w:hAnsi="Times New Roman" w:cs="Times New Roman"/>
                <w:sz w:val="20"/>
                <w:szCs w:val="20"/>
              </w:rPr>
              <w:br/>
              <w:t xml:space="preserve">indicators </w:t>
            </w:r>
          </w:p>
        </w:tc>
        <w:tc>
          <w:tcPr>
            <w:tcW w:w="4704"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C"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Rate of invasive species impact and rate of impact </w:t>
            </w:r>
          </w:p>
        </w:tc>
      </w:tr>
      <w:tr w:rsidR="00073819" w14:paraId="0FA25691" w14:textId="77777777">
        <w:trPr>
          <w:trHeight w:val="285"/>
        </w:trPr>
        <w:tc>
          <w:tcPr>
            <w:tcW w:w="2244" w:type="dxa"/>
            <w:vMerge/>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center"/>
          </w:tcPr>
          <w:p w14:paraId="0000003D"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813" w:type="dxa"/>
            <w:vMerge/>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3E"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146" w:type="dxa"/>
            <w:vMerge/>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3F"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vMerge/>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40"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37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000041"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Complementary </w:t>
            </w:r>
            <w:r>
              <w:rPr>
                <w:rFonts w:ascii="Times New Roman" w:eastAsia="Times New Roman" w:hAnsi="Times New Roman" w:cs="Times New Roman"/>
                <w:sz w:val="20"/>
                <w:szCs w:val="20"/>
              </w:rPr>
              <w:br/>
              <w:t>indicators</w:t>
            </w:r>
          </w:p>
        </w:tc>
        <w:tc>
          <w:tcPr>
            <w:tcW w:w="4704"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14:paraId="00000042"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 List Index (impacts of invasive alien species) </w:t>
            </w:r>
          </w:p>
        </w:tc>
      </w:tr>
      <w:tr w:rsidR="00073819" w14:paraId="61DFA508" w14:textId="77777777">
        <w:trPr>
          <w:trHeight w:val="2365"/>
        </w:trPr>
        <w:tc>
          <w:tcPr>
            <w:tcW w:w="2244" w:type="dxa"/>
            <w:vMerge w:val="restart"/>
            <w:tcBorders>
              <w:top w:val="single" w:sz="6" w:space="0" w:color="CCCCCC"/>
              <w:left w:val="single" w:sz="12" w:space="0" w:color="000000"/>
              <w:bottom w:val="single" w:sz="12" w:space="0" w:color="000000"/>
              <w:right w:val="single" w:sz="6" w:space="0" w:color="000000"/>
            </w:tcBorders>
            <w:tcMar>
              <w:top w:w="0" w:type="dxa"/>
              <w:left w:w="45" w:type="dxa"/>
              <w:bottom w:w="0" w:type="dxa"/>
              <w:right w:w="45" w:type="dxa"/>
            </w:tcMar>
            <w:vAlign w:val="center"/>
          </w:tcPr>
          <w:p w14:paraId="00000043"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Response: </w:t>
            </w:r>
            <w:r>
              <w:rPr>
                <w:rFonts w:ascii="Times New Roman" w:eastAsia="Times New Roman" w:hAnsi="Times New Roman" w:cs="Times New Roman"/>
                <w:i/>
                <w:sz w:val="20"/>
                <w:szCs w:val="20"/>
              </w:rPr>
              <w:t>Policy adoption and activities relevant to invasion management</w:t>
            </w:r>
            <w:r>
              <w:rPr>
                <w:rFonts w:ascii="Times New Roman" w:eastAsia="Times New Roman" w:hAnsi="Times New Roman" w:cs="Times New Roman"/>
                <w:sz w:val="20"/>
                <w:szCs w:val="20"/>
              </w:rPr>
              <w:t> </w:t>
            </w: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44"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Trends in adoption of multinational agreements relevant to reducing IAS threats to biodiversity in the Antarctic</w:t>
            </w:r>
          </w:p>
        </w:tc>
        <w:tc>
          <w:tcPr>
            <w:tcW w:w="1146" w:type="dxa"/>
            <w:vMerge w:val="restart"/>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center"/>
          </w:tcPr>
          <w:p w14:paraId="00000045"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Interventions</w:t>
            </w: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center"/>
          </w:tcPr>
          <w:p w14:paraId="00000046"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4.1: Quality of regulatory framework, and </w:t>
            </w:r>
            <w:r>
              <w:rPr>
                <w:rFonts w:ascii="Times New Roman" w:eastAsia="Times New Roman" w:hAnsi="Times New Roman" w:cs="Times New Roman"/>
                <w:sz w:val="20"/>
                <w:szCs w:val="20"/>
              </w:rPr>
              <w:br/>
              <w:t>4.3: Planning coverage</w:t>
            </w:r>
          </w:p>
        </w:tc>
        <w:tc>
          <w:tcPr>
            <w:tcW w:w="1379" w:type="dxa"/>
            <w:tcBorders>
              <w:top w:val="single" w:sz="6" w:space="0" w:color="CCCCCC"/>
              <w:left w:val="single" w:sz="6" w:space="0" w:color="CCCCCC"/>
              <w:right w:val="single" w:sz="6" w:space="0" w:color="CCCCCC"/>
            </w:tcBorders>
            <w:tcMar>
              <w:top w:w="0" w:type="dxa"/>
              <w:left w:w="45" w:type="dxa"/>
              <w:bottom w:w="0" w:type="dxa"/>
              <w:right w:w="45" w:type="dxa"/>
            </w:tcMar>
            <w:vAlign w:val="bottom"/>
          </w:tcPr>
          <w:p w14:paraId="00000047" w14:textId="77777777" w:rsidR="00073819" w:rsidRDefault="00073819">
            <w:pPr>
              <w:spacing w:after="0" w:line="240" w:lineRule="auto"/>
              <w:rPr>
                <w:rFonts w:ascii="Times New Roman" w:eastAsia="Times New Roman" w:hAnsi="Times New Roman" w:cs="Times New Roman"/>
                <w:sz w:val="20"/>
                <w:szCs w:val="20"/>
              </w:rPr>
            </w:pPr>
          </w:p>
        </w:tc>
        <w:tc>
          <w:tcPr>
            <w:tcW w:w="4704" w:type="dxa"/>
            <w:tcBorders>
              <w:top w:val="single" w:sz="6" w:space="0" w:color="CCCCCC"/>
              <w:left w:val="single" w:sz="6" w:space="0" w:color="CCCCCC"/>
              <w:right w:val="single" w:sz="12" w:space="0" w:color="000000"/>
            </w:tcBorders>
            <w:tcMar>
              <w:top w:w="0" w:type="dxa"/>
              <w:left w:w="45" w:type="dxa"/>
              <w:bottom w:w="0" w:type="dxa"/>
              <w:right w:w="45" w:type="dxa"/>
            </w:tcMar>
            <w:vAlign w:val="bottom"/>
          </w:tcPr>
          <w:p w14:paraId="00000048" w14:textId="77777777" w:rsidR="00073819" w:rsidRDefault="00073819">
            <w:pPr>
              <w:spacing w:after="0" w:line="240" w:lineRule="auto"/>
              <w:rPr>
                <w:rFonts w:ascii="Times New Roman" w:eastAsia="Times New Roman" w:hAnsi="Times New Roman" w:cs="Times New Roman"/>
                <w:sz w:val="20"/>
                <w:szCs w:val="20"/>
              </w:rPr>
            </w:pPr>
          </w:p>
        </w:tc>
      </w:tr>
      <w:tr w:rsidR="00073819" w14:paraId="5BCB1220" w14:textId="77777777">
        <w:trPr>
          <w:trHeight w:val="1470"/>
        </w:trPr>
        <w:tc>
          <w:tcPr>
            <w:tcW w:w="2244" w:type="dxa"/>
            <w:vMerge/>
            <w:tcBorders>
              <w:top w:val="single" w:sz="6" w:space="0" w:color="CCCCCC"/>
              <w:left w:val="single" w:sz="12" w:space="0" w:color="000000"/>
              <w:bottom w:val="single" w:sz="12" w:space="0" w:color="000000"/>
              <w:right w:val="single" w:sz="6" w:space="0" w:color="000000"/>
            </w:tcBorders>
            <w:tcMar>
              <w:top w:w="0" w:type="dxa"/>
              <w:left w:w="45" w:type="dxa"/>
              <w:bottom w:w="0" w:type="dxa"/>
              <w:right w:w="45" w:type="dxa"/>
            </w:tcMar>
            <w:vAlign w:val="center"/>
          </w:tcPr>
          <w:p w14:paraId="00000049"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813"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tcPr>
          <w:p w14:paraId="0000004A" w14:textId="77777777" w:rsidR="00073819" w:rsidRDefault="0099474B">
            <w:pPr>
              <w:spacing w:after="24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Trends in IAS -relevant submissions to the ATCM (prospective change to indicator of management activity)</w:t>
            </w:r>
          </w:p>
        </w:tc>
        <w:tc>
          <w:tcPr>
            <w:tcW w:w="1146" w:type="dxa"/>
            <w:vMerge/>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center"/>
          </w:tcPr>
          <w:p w14:paraId="0000004B"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tcPr>
          <w:p w14:paraId="0000004C"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4.4: Pathways treated,</w:t>
            </w:r>
            <w:r>
              <w:rPr>
                <w:rFonts w:ascii="Times New Roman" w:eastAsia="Times New Roman" w:hAnsi="Times New Roman" w:cs="Times New Roman"/>
                <w:sz w:val="20"/>
                <w:szCs w:val="20"/>
              </w:rPr>
              <w:br/>
              <w:t>4.5: Species treated</w:t>
            </w:r>
            <w:r>
              <w:rPr>
                <w:rFonts w:ascii="Times New Roman" w:eastAsia="Times New Roman" w:hAnsi="Times New Roman" w:cs="Times New Roman"/>
                <w:sz w:val="20"/>
                <w:szCs w:val="20"/>
              </w:rPr>
              <w:br/>
              <w:t>4.6: Sites treated</w:t>
            </w:r>
          </w:p>
        </w:tc>
        <w:tc>
          <w:tcPr>
            <w:tcW w:w="1379"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tcPr>
          <w:p w14:paraId="0000004D" w14:textId="77777777" w:rsidR="00073819" w:rsidRDefault="00073819">
            <w:pPr>
              <w:spacing w:after="0" w:line="240" w:lineRule="auto"/>
              <w:rPr>
                <w:rFonts w:ascii="Times New Roman" w:eastAsia="Times New Roman" w:hAnsi="Times New Roman" w:cs="Times New Roman"/>
                <w:sz w:val="20"/>
                <w:szCs w:val="20"/>
              </w:rPr>
            </w:pPr>
          </w:p>
        </w:tc>
        <w:tc>
          <w:tcPr>
            <w:tcW w:w="4704" w:type="dxa"/>
            <w:tcBorders>
              <w:top w:val="single" w:sz="6" w:space="0" w:color="CCCCCC"/>
              <w:left w:val="single" w:sz="6" w:space="0" w:color="CCCCCC"/>
              <w:bottom w:val="single" w:sz="6" w:space="0" w:color="CCCCCC"/>
              <w:right w:val="single" w:sz="12" w:space="0" w:color="000000"/>
            </w:tcBorders>
            <w:tcMar>
              <w:top w:w="0" w:type="dxa"/>
              <w:left w:w="45" w:type="dxa"/>
              <w:bottom w:w="0" w:type="dxa"/>
              <w:right w:w="45" w:type="dxa"/>
            </w:tcMar>
            <w:vAlign w:val="bottom"/>
          </w:tcPr>
          <w:p w14:paraId="0000004E" w14:textId="77777777" w:rsidR="00073819" w:rsidRDefault="00073819">
            <w:pPr>
              <w:spacing w:after="0" w:line="240" w:lineRule="auto"/>
              <w:rPr>
                <w:rFonts w:ascii="Times New Roman" w:eastAsia="Times New Roman" w:hAnsi="Times New Roman" w:cs="Times New Roman"/>
                <w:sz w:val="20"/>
                <w:szCs w:val="20"/>
              </w:rPr>
            </w:pPr>
          </w:p>
        </w:tc>
      </w:tr>
      <w:tr w:rsidR="00073819" w14:paraId="188336E2" w14:textId="77777777">
        <w:trPr>
          <w:trHeight w:val="285"/>
        </w:trPr>
        <w:tc>
          <w:tcPr>
            <w:tcW w:w="2244" w:type="dxa"/>
            <w:vMerge/>
            <w:tcBorders>
              <w:top w:val="single" w:sz="6" w:space="0" w:color="CCCCCC"/>
              <w:left w:val="single" w:sz="12" w:space="0" w:color="000000"/>
              <w:bottom w:val="single" w:sz="12" w:space="0" w:color="000000"/>
              <w:right w:val="single" w:sz="6" w:space="0" w:color="000000"/>
            </w:tcBorders>
            <w:tcMar>
              <w:top w:w="0" w:type="dxa"/>
              <w:left w:w="45" w:type="dxa"/>
              <w:bottom w:w="0" w:type="dxa"/>
              <w:right w:w="45" w:type="dxa"/>
            </w:tcMar>
            <w:vAlign w:val="center"/>
          </w:tcPr>
          <w:p w14:paraId="0000004F"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813" w:type="dxa"/>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tcPr>
          <w:p w14:paraId="00000050"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Trends in invasive species eradications across the region </w:t>
            </w:r>
          </w:p>
        </w:tc>
        <w:tc>
          <w:tcPr>
            <w:tcW w:w="1146" w:type="dxa"/>
            <w:vMerge/>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center"/>
          </w:tcPr>
          <w:p w14:paraId="00000051" w14:textId="77777777" w:rsidR="00073819" w:rsidRDefault="00073819">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1642" w:type="dxa"/>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center"/>
          </w:tcPr>
          <w:p w14:paraId="00000052" w14:textId="77777777" w:rsidR="00073819" w:rsidRDefault="0099474B">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4.8 Effectiveness of species treatments</w:t>
            </w:r>
          </w:p>
        </w:tc>
        <w:tc>
          <w:tcPr>
            <w:tcW w:w="1379" w:type="dxa"/>
            <w:tcBorders>
              <w:top w:val="single" w:sz="6" w:space="0" w:color="CCCCCC"/>
              <w:left w:val="single" w:sz="6" w:space="0" w:color="CCCCCC"/>
              <w:bottom w:val="single" w:sz="12" w:space="0" w:color="000000"/>
              <w:right w:val="single" w:sz="6" w:space="0" w:color="CCCCCC"/>
            </w:tcBorders>
            <w:tcMar>
              <w:top w:w="0" w:type="dxa"/>
              <w:left w:w="45" w:type="dxa"/>
              <w:bottom w:w="0" w:type="dxa"/>
              <w:right w:w="45" w:type="dxa"/>
            </w:tcMar>
            <w:vAlign w:val="center"/>
          </w:tcPr>
          <w:p w14:paraId="00000053" w14:textId="77777777" w:rsidR="00073819" w:rsidRDefault="00073819">
            <w:pPr>
              <w:spacing w:after="0" w:line="240" w:lineRule="auto"/>
              <w:rPr>
                <w:rFonts w:ascii="Times New Roman" w:eastAsia="Times New Roman" w:hAnsi="Times New Roman" w:cs="Times New Roman"/>
                <w:sz w:val="20"/>
                <w:szCs w:val="20"/>
              </w:rPr>
            </w:pPr>
          </w:p>
        </w:tc>
        <w:tc>
          <w:tcPr>
            <w:tcW w:w="4704" w:type="dxa"/>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tcPr>
          <w:p w14:paraId="00000054" w14:textId="77777777" w:rsidR="00073819" w:rsidRDefault="00073819">
            <w:pPr>
              <w:spacing w:after="0" w:line="240" w:lineRule="auto"/>
              <w:rPr>
                <w:rFonts w:ascii="Times New Roman" w:eastAsia="Times New Roman" w:hAnsi="Times New Roman" w:cs="Times New Roman"/>
                <w:sz w:val="20"/>
                <w:szCs w:val="20"/>
              </w:rPr>
            </w:pPr>
          </w:p>
        </w:tc>
      </w:tr>
    </w:tbl>
    <w:p w14:paraId="00000055" w14:textId="77777777" w:rsidR="00073819" w:rsidRDefault="00073819">
      <w:pPr>
        <w:sectPr w:rsidR="00073819" w:rsidSect="0099474B">
          <w:type w:val="continuous"/>
          <w:pgSz w:w="16838" w:h="11906" w:orient="landscape"/>
          <w:pgMar w:top="1440" w:right="1440" w:bottom="1440" w:left="1440" w:header="709" w:footer="709" w:gutter="0"/>
          <w:cols w:space="720"/>
          <w:docGrid w:linePitch="299"/>
        </w:sectPr>
      </w:pPr>
    </w:p>
    <w:p w14:paraId="00000056" w14:textId="5FC7D006" w:rsidR="00073819" w:rsidRDefault="008E351B">
      <w:pPr>
        <w:pStyle w:val="Heading2"/>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S2 Supplementary material for Methods</w:t>
      </w:r>
    </w:p>
    <w:p w14:paraId="361E41AA" w14:textId="2D0AA144" w:rsidR="004122C9" w:rsidRDefault="004122C9" w:rsidP="00A8067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Data collection</w:t>
      </w:r>
      <w:r w:rsidR="0083468C">
        <w:rPr>
          <w:rFonts w:ascii="Times New Roman" w:eastAsia="Times New Roman" w:hAnsi="Times New Roman" w:cs="Times New Roman"/>
          <w:sz w:val="20"/>
          <w:szCs w:val="20"/>
        </w:rPr>
        <w:t xml:space="preserve"> and calculation of indicators</w:t>
      </w:r>
    </w:p>
    <w:p w14:paraId="00000057" w14:textId="6701E9E8" w:rsidR="00073819" w:rsidRDefault="0099474B" w:rsidP="00A80670">
      <w:pPr>
        <w:spacing w:line="360" w:lineRule="auto"/>
        <w:rPr>
          <w:rFonts w:ascii="Times New Roman" w:eastAsia="Times New Roman" w:hAnsi="Times New Roman" w:cs="Times New Roman"/>
          <w:sz w:val="20"/>
          <w:szCs w:val="20"/>
        </w:rPr>
      </w:pPr>
      <w:r w:rsidRPr="00766EB7">
        <w:rPr>
          <w:rFonts w:ascii="Times New Roman" w:eastAsia="Times New Roman" w:hAnsi="Times New Roman" w:cs="Times New Roman"/>
          <w:sz w:val="20"/>
          <w:szCs w:val="20"/>
        </w:rPr>
        <w:t>A systematic literature review was performed on Web of Science on 20 August 2024, using the terms</w:t>
      </w:r>
      <w:r w:rsidR="00146A1F" w:rsidRPr="00766EB7">
        <w:rPr>
          <w:rFonts w:ascii="Times New Roman" w:eastAsia="Times New Roman" w:hAnsi="Times New Roman" w:cs="Times New Roman"/>
          <w:sz w:val="20"/>
          <w:szCs w:val="20"/>
        </w:rPr>
        <w:t>: (</w:t>
      </w:r>
      <w:r w:rsidRPr="00766EB7">
        <w:rPr>
          <w:rFonts w:ascii="Times New Roman" w:eastAsia="Times New Roman" w:hAnsi="Times New Roman" w:cs="Times New Roman"/>
          <w:sz w:val="20"/>
          <w:szCs w:val="20"/>
        </w:rPr>
        <w:t xml:space="preserve">"Marion Island" OR "Prince Edward Islands") AND ((introduced OR alien* OR invasive* OR non-native*) AND (species)). The search provided 203 results that were scrutinised by reading the title and abstract to determine if they had been </w:t>
      </w:r>
      <w:r w:rsidR="004159CB" w:rsidRPr="00766EB7">
        <w:rPr>
          <w:rFonts w:ascii="Times New Roman" w:eastAsia="Times New Roman" w:hAnsi="Times New Roman" w:cs="Times New Roman"/>
          <w:sz w:val="20"/>
          <w:szCs w:val="20"/>
        </w:rPr>
        <w:t xml:space="preserve">consulted </w:t>
      </w:r>
      <w:r w:rsidRPr="00766EB7">
        <w:rPr>
          <w:rFonts w:ascii="Times New Roman" w:eastAsia="Times New Roman" w:hAnsi="Times New Roman" w:cs="Times New Roman"/>
          <w:sz w:val="20"/>
          <w:szCs w:val="20"/>
        </w:rPr>
        <w:t>already,</w:t>
      </w:r>
      <w:r w:rsidR="004159CB" w:rsidRPr="00766EB7">
        <w:rPr>
          <w:rFonts w:ascii="Times New Roman" w:eastAsia="Times New Roman" w:hAnsi="Times New Roman" w:cs="Times New Roman"/>
          <w:sz w:val="20"/>
          <w:szCs w:val="20"/>
        </w:rPr>
        <w:t xml:space="preserve"> and</w:t>
      </w:r>
      <w:r w:rsidRPr="00766EB7">
        <w:rPr>
          <w:rFonts w:ascii="Times New Roman" w:eastAsia="Times New Roman" w:hAnsi="Times New Roman" w:cs="Times New Roman"/>
          <w:sz w:val="20"/>
          <w:szCs w:val="20"/>
        </w:rPr>
        <w:t xml:space="preserve"> if they contained data that could be incorporated. Out of the 203, 192 had either </w:t>
      </w:r>
      <w:r w:rsidR="004159CB" w:rsidRPr="00766EB7">
        <w:rPr>
          <w:rFonts w:ascii="Times New Roman" w:eastAsia="Times New Roman" w:hAnsi="Times New Roman" w:cs="Times New Roman"/>
          <w:sz w:val="20"/>
          <w:szCs w:val="20"/>
        </w:rPr>
        <w:t xml:space="preserve">been </w:t>
      </w:r>
      <w:r w:rsidRPr="00766EB7">
        <w:rPr>
          <w:rFonts w:ascii="Times New Roman" w:eastAsia="Times New Roman" w:hAnsi="Times New Roman" w:cs="Times New Roman"/>
          <w:sz w:val="20"/>
          <w:szCs w:val="20"/>
        </w:rPr>
        <w:t xml:space="preserve">cited (57) or were not relevant (135) for this manuscript. The remaining 11 were further </w:t>
      </w:r>
      <w:r w:rsidR="004159CB" w:rsidRPr="00766EB7">
        <w:rPr>
          <w:rFonts w:ascii="Times New Roman" w:eastAsia="Times New Roman" w:hAnsi="Times New Roman" w:cs="Times New Roman"/>
          <w:sz w:val="20"/>
          <w:szCs w:val="20"/>
        </w:rPr>
        <w:t xml:space="preserve">examined </w:t>
      </w:r>
      <w:r w:rsidRPr="00766EB7">
        <w:rPr>
          <w:rFonts w:ascii="Times New Roman" w:eastAsia="Times New Roman" w:hAnsi="Times New Roman" w:cs="Times New Roman"/>
          <w:sz w:val="20"/>
          <w:szCs w:val="20"/>
        </w:rPr>
        <w:t xml:space="preserve">to determine if they needed to be included (that is, if they included new pertinent data) and for which indicators. </w:t>
      </w:r>
      <w:r w:rsidR="002367B8">
        <w:rPr>
          <w:rFonts w:ascii="Times New Roman" w:eastAsia="Times New Roman" w:hAnsi="Times New Roman" w:cs="Times New Roman"/>
          <w:sz w:val="20"/>
          <w:szCs w:val="20"/>
        </w:rPr>
        <w:t>Two of these sources had been previously identified but had not been u</w:t>
      </w:r>
      <w:r w:rsidR="00146A1F">
        <w:rPr>
          <w:rFonts w:ascii="Times New Roman" w:eastAsia="Times New Roman" w:hAnsi="Times New Roman" w:cs="Times New Roman"/>
          <w:sz w:val="20"/>
          <w:szCs w:val="20"/>
        </w:rPr>
        <w:t xml:space="preserve">tilised. </w:t>
      </w:r>
      <w:r w:rsidRPr="00766EB7">
        <w:rPr>
          <w:rFonts w:ascii="Times New Roman" w:eastAsia="Times New Roman" w:hAnsi="Times New Roman" w:cs="Times New Roman"/>
          <w:sz w:val="20"/>
          <w:szCs w:val="20"/>
        </w:rPr>
        <w:t xml:space="preserve">These </w:t>
      </w:r>
      <w:r w:rsidR="00146A1F">
        <w:rPr>
          <w:rFonts w:ascii="Times New Roman" w:eastAsia="Times New Roman" w:hAnsi="Times New Roman" w:cs="Times New Roman"/>
          <w:sz w:val="20"/>
          <w:szCs w:val="20"/>
        </w:rPr>
        <w:t xml:space="preserve">11 </w:t>
      </w:r>
      <w:r w:rsidRPr="00766EB7">
        <w:rPr>
          <w:rFonts w:ascii="Times New Roman" w:eastAsia="Times New Roman" w:hAnsi="Times New Roman" w:cs="Times New Roman"/>
          <w:sz w:val="20"/>
          <w:szCs w:val="20"/>
        </w:rPr>
        <w:t xml:space="preserve">references were </w:t>
      </w:r>
      <w:r w:rsidR="004159CB" w:rsidRPr="00766EB7">
        <w:rPr>
          <w:rFonts w:ascii="Times New Roman" w:eastAsia="Times New Roman" w:hAnsi="Times New Roman" w:cs="Times New Roman"/>
          <w:sz w:val="20"/>
          <w:szCs w:val="20"/>
        </w:rPr>
        <w:t xml:space="preserve">incorporated into the study, but simply provided </w:t>
      </w:r>
      <w:r w:rsidRPr="00766EB7">
        <w:rPr>
          <w:rFonts w:ascii="Times New Roman" w:eastAsia="Times New Roman" w:hAnsi="Times New Roman" w:cs="Times New Roman"/>
          <w:sz w:val="20"/>
          <w:szCs w:val="20"/>
        </w:rPr>
        <w:t xml:space="preserve">extra information or to </w:t>
      </w:r>
      <w:r w:rsidR="00766EB7" w:rsidRPr="00766EB7">
        <w:rPr>
          <w:rFonts w:ascii="Times New Roman" w:eastAsia="Times New Roman" w:hAnsi="Times New Roman" w:cs="Times New Roman"/>
          <w:sz w:val="20"/>
          <w:szCs w:val="20"/>
        </w:rPr>
        <w:t>reinforce</w:t>
      </w:r>
      <w:r w:rsidR="004159CB" w:rsidRPr="00766EB7">
        <w:rPr>
          <w:rFonts w:ascii="Times New Roman" w:eastAsia="Times New Roman" w:hAnsi="Times New Roman" w:cs="Times New Roman"/>
          <w:sz w:val="20"/>
          <w:szCs w:val="20"/>
        </w:rPr>
        <w:t xml:space="preserve"> the findings of</w:t>
      </w:r>
      <w:r w:rsidRPr="00766EB7">
        <w:rPr>
          <w:rFonts w:ascii="Times New Roman" w:eastAsia="Times New Roman" w:hAnsi="Times New Roman" w:cs="Times New Roman"/>
          <w:sz w:val="20"/>
          <w:szCs w:val="20"/>
        </w:rPr>
        <w:t xml:space="preserve"> other citations already included, and </w:t>
      </w:r>
      <w:r w:rsidR="004159CB" w:rsidRPr="00766EB7">
        <w:rPr>
          <w:rFonts w:ascii="Times New Roman" w:eastAsia="Times New Roman" w:hAnsi="Times New Roman" w:cs="Times New Roman"/>
          <w:sz w:val="20"/>
          <w:szCs w:val="20"/>
        </w:rPr>
        <w:t xml:space="preserve">thus their inclusion did not result in changes to the estimates for the indicators </w:t>
      </w:r>
      <w:r w:rsidRPr="00766EB7">
        <w:rPr>
          <w:rFonts w:ascii="Times New Roman" w:eastAsia="Times New Roman" w:hAnsi="Times New Roman" w:cs="Times New Roman"/>
          <w:sz w:val="20"/>
          <w:szCs w:val="20"/>
        </w:rPr>
        <w:t>(</w:t>
      </w:r>
      <w:r w:rsidRPr="00E42C3B">
        <w:rPr>
          <w:rFonts w:ascii="Times New Roman" w:eastAsia="Times New Roman" w:hAnsi="Times New Roman" w:cs="Times New Roman"/>
          <w:sz w:val="20"/>
          <w:szCs w:val="20"/>
        </w:rPr>
        <w:t xml:space="preserve">see Appendix 3 for the complete list). </w:t>
      </w:r>
    </w:p>
    <w:p w14:paraId="0426747C" w14:textId="19E8FAA1" w:rsidR="005204A7" w:rsidRPr="005204A7" w:rsidRDefault="005204A7" w:rsidP="00880BC7">
      <w:pPr>
        <w:spacing w:line="360" w:lineRule="auto"/>
        <w:ind w:firstLine="720"/>
        <w:rPr>
          <w:rFonts w:ascii="Times New Roman" w:eastAsia="Times New Roman" w:hAnsi="Times New Roman" w:cs="Times New Roman"/>
          <w:sz w:val="20"/>
          <w:szCs w:val="20"/>
        </w:rPr>
      </w:pPr>
      <w:r w:rsidRPr="005204A7">
        <w:rPr>
          <w:rFonts w:ascii="Times New Roman" w:eastAsia="Times New Roman" w:hAnsi="Times New Roman" w:cs="Times New Roman"/>
          <w:sz w:val="20"/>
          <w:szCs w:val="20"/>
        </w:rPr>
        <w:t xml:space="preserve">The first draft of the PEIs’ species list </w:t>
      </w:r>
      <w:r>
        <w:rPr>
          <w:rFonts w:ascii="Times New Roman" w:eastAsia="Times New Roman" w:hAnsi="Times New Roman" w:cs="Times New Roman"/>
          <w:sz w:val="20"/>
          <w:szCs w:val="20"/>
        </w:rPr>
        <w:t xml:space="preserve">(Appendix 1) </w:t>
      </w:r>
      <w:r w:rsidRPr="005204A7">
        <w:rPr>
          <w:rFonts w:ascii="Times New Roman" w:eastAsia="Times New Roman" w:hAnsi="Times New Roman" w:cs="Times New Roman"/>
          <w:sz w:val="20"/>
          <w:szCs w:val="20"/>
        </w:rPr>
        <w:t xml:space="preserve">was developed following Greve et. al. (2017). Additional taxa were added from a number of different data sources by scouring the literature. Greve et al. (2017) did not have a comprehensive list of species that were recorded only once; therefore, most species added </w:t>
      </w:r>
      <w:r w:rsidR="0028482A">
        <w:rPr>
          <w:rFonts w:ascii="Times New Roman" w:eastAsia="Times New Roman" w:hAnsi="Times New Roman" w:cs="Times New Roman"/>
          <w:sz w:val="20"/>
          <w:szCs w:val="20"/>
        </w:rPr>
        <w:t xml:space="preserve">to the Greve et al. list </w:t>
      </w:r>
      <w:r w:rsidRPr="005204A7">
        <w:rPr>
          <w:rFonts w:ascii="Times New Roman" w:eastAsia="Times New Roman" w:hAnsi="Times New Roman" w:cs="Times New Roman"/>
          <w:sz w:val="20"/>
          <w:szCs w:val="20"/>
        </w:rPr>
        <w:t xml:space="preserve">were species that were transient. E.g. 14 taxa were added from Watkins and Cooper (1986) and the list was compared with </w:t>
      </w:r>
      <w:proofErr w:type="spellStart"/>
      <w:r w:rsidRPr="005204A7">
        <w:rPr>
          <w:rFonts w:ascii="Times New Roman" w:eastAsia="Times New Roman" w:hAnsi="Times New Roman" w:cs="Times New Roman"/>
          <w:sz w:val="20"/>
          <w:szCs w:val="20"/>
        </w:rPr>
        <w:t>Pagad</w:t>
      </w:r>
      <w:proofErr w:type="spellEnd"/>
      <w:r w:rsidRPr="005204A7">
        <w:rPr>
          <w:rFonts w:ascii="Times New Roman" w:eastAsia="Times New Roman" w:hAnsi="Times New Roman" w:cs="Times New Roman"/>
          <w:sz w:val="20"/>
          <w:szCs w:val="20"/>
        </w:rPr>
        <w:t xml:space="preserve"> (2020) (PEIs species list from GBIF), but all records were present already in </w:t>
      </w:r>
      <w:r w:rsidR="008637CA">
        <w:rPr>
          <w:rFonts w:ascii="Times New Roman" w:eastAsia="Times New Roman" w:hAnsi="Times New Roman" w:cs="Times New Roman"/>
          <w:sz w:val="20"/>
          <w:szCs w:val="20"/>
        </w:rPr>
        <w:t>our species list</w:t>
      </w:r>
      <w:r w:rsidRPr="005204A7">
        <w:rPr>
          <w:rFonts w:ascii="Times New Roman" w:eastAsia="Times New Roman" w:hAnsi="Times New Roman" w:cs="Times New Roman"/>
          <w:sz w:val="20"/>
          <w:szCs w:val="20"/>
        </w:rPr>
        <w:t xml:space="preserve">. Finally, the list was compared to that from </w:t>
      </w:r>
      <w:proofErr w:type="spellStart"/>
      <w:r w:rsidRPr="005204A7">
        <w:rPr>
          <w:rFonts w:ascii="Times New Roman" w:eastAsia="Times New Roman" w:hAnsi="Times New Roman" w:cs="Times New Roman"/>
          <w:sz w:val="20"/>
          <w:szCs w:val="20"/>
        </w:rPr>
        <w:t>Leihy</w:t>
      </w:r>
      <w:proofErr w:type="spellEnd"/>
      <w:r w:rsidRPr="005204A7">
        <w:rPr>
          <w:rFonts w:ascii="Times New Roman" w:eastAsia="Times New Roman" w:hAnsi="Times New Roman" w:cs="Times New Roman"/>
          <w:sz w:val="20"/>
          <w:szCs w:val="20"/>
        </w:rPr>
        <w:t xml:space="preserve"> et. al. (2023), and three more taxa were added (</w:t>
      </w:r>
      <w:proofErr w:type="spellStart"/>
      <w:r w:rsidRPr="00F10753">
        <w:rPr>
          <w:rFonts w:ascii="Times New Roman" w:eastAsia="Times New Roman" w:hAnsi="Times New Roman" w:cs="Times New Roman"/>
          <w:i/>
          <w:iCs/>
          <w:sz w:val="20"/>
          <w:szCs w:val="20"/>
        </w:rPr>
        <w:t>Astemolaelaps</w:t>
      </w:r>
      <w:proofErr w:type="spellEnd"/>
      <w:r w:rsidRPr="005204A7">
        <w:rPr>
          <w:rFonts w:ascii="Times New Roman" w:eastAsia="Times New Roman" w:hAnsi="Times New Roman" w:cs="Times New Roman"/>
          <w:sz w:val="20"/>
          <w:szCs w:val="20"/>
        </w:rPr>
        <w:t xml:space="preserve">, </w:t>
      </w:r>
      <w:proofErr w:type="spellStart"/>
      <w:r w:rsidRPr="00F10753">
        <w:rPr>
          <w:rFonts w:ascii="Times New Roman" w:eastAsia="Times New Roman" w:hAnsi="Times New Roman" w:cs="Times New Roman"/>
          <w:i/>
          <w:iCs/>
          <w:sz w:val="20"/>
          <w:szCs w:val="20"/>
        </w:rPr>
        <w:t>Blattella</w:t>
      </w:r>
      <w:proofErr w:type="spellEnd"/>
      <w:r w:rsidRPr="00F10753">
        <w:rPr>
          <w:rFonts w:ascii="Times New Roman" w:eastAsia="Times New Roman" w:hAnsi="Times New Roman" w:cs="Times New Roman"/>
          <w:i/>
          <w:iCs/>
          <w:sz w:val="20"/>
          <w:szCs w:val="20"/>
        </w:rPr>
        <w:t xml:space="preserve"> </w:t>
      </w:r>
      <w:proofErr w:type="spellStart"/>
      <w:r w:rsidRPr="00F10753">
        <w:rPr>
          <w:rFonts w:ascii="Times New Roman" w:eastAsia="Times New Roman" w:hAnsi="Times New Roman" w:cs="Times New Roman"/>
          <w:i/>
          <w:iCs/>
          <w:sz w:val="20"/>
          <w:szCs w:val="20"/>
        </w:rPr>
        <w:t>germanica</w:t>
      </w:r>
      <w:proofErr w:type="spellEnd"/>
      <w:r w:rsidRPr="005204A7">
        <w:rPr>
          <w:rFonts w:ascii="Times New Roman" w:eastAsia="Times New Roman" w:hAnsi="Times New Roman" w:cs="Times New Roman"/>
          <w:sz w:val="20"/>
          <w:szCs w:val="20"/>
        </w:rPr>
        <w:t xml:space="preserve">, and </w:t>
      </w:r>
      <w:r w:rsidRPr="00F10753">
        <w:rPr>
          <w:rFonts w:ascii="Times New Roman" w:eastAsia="Times New Roman" w:hAnsi="Times New Roman" w:cs="Times New Roman"/>
          <w:i/>
          <w:iCs/>
          <w:sz w:val="20"/>
          <w:szCs w:val="20"/>
        </w:rPr>
        <w:t xml:space="preserve">Passer </w:t>
      </w:r>
      <w:proofErr w:type="spellStart"/>
      <w:r w:rsidRPr="00F10753">
        <w:rPr>
          <w:rFonts w:ascii="Times New Roman" w:eastAsia="Times New Roman" w:hAnsi="Times New Roman" w:cs="Times New Roman"/>
          <w:i/>
          <w:iCs/>
          <w:sz w:val="20"/>
          <w:szCs w:val="20"/>
        </w:rPr>
        <w:t>domesticus</w:t>
      </w:r>
      <w:proofErr w:type="spellEnd"/>
      <w:r w:rsidRPr="005204A7">
        <w:rPr>
          <w:rFonts w:ascii="Times New Roman" w:eastAsia="Times New Roman" w:hAnsi="Times New Roman" w:cs="Times New Roman"/>
          <w:sz w:val="20"/>
          <w:szCs w:val="20"/>
        </w:rPr>
        <w:t xml:space="preserve">). This last source also has information on occurrence, eradication, introduction status, first date observed and estimated date of introduction. </w:t>
      </w:r>
    </w:p>
    <w:p w14:paraId="09D6A7FC" w14:textId="6A96175F" w:rsidR="00D51D01" w:rsidRPr="007C732A" w:rsidRDefault="00D51D01" w:rsidP="00A80670">
      <w:pPr>
        <w:spacing w:line="360" w:lineRule="auto"/>
        <w:rPr>
          <w:rFonts w:ascii="Times New Roman" w:eastAsia="Times New Roman" w:hAnsi="Times New Roman" w:cs="Times New Roman"/>
          <w:b/>
          <w:bCs/>
          <w:sz w:val="20"/>
          <w:szCs w:val="20"/>
        </w:rPr>
      </w:pPr>
      <w:r w:rsidRPr="007C732A">
        <w:rPr>
          <w:rFonts w:ascii="Times New Roman" w:eastAsia="Times New Roman" w:hAnsi="Times New Roman" w:cs="Times New Roman"/>
          <w:b/>
          <w:bCs/>
          <w:sz w:val="20"/>
          <w:szCs w:val="20"/>
        </w:rPr>
        <w:t>Pathways</w:t>
      </w:r>
    </w:p>
    <w:p w14:paraId="731DA3DB" w14:textId="0B9FF528" w:rsidR="00050F9F" w:rsidRDefault="00050F9F" w:rsidP="00050F9F">
      <w:pPr>
        <w:spacing w:line="360" w:lineRule="auto"/>
        <w:rPr>
          <w:rFonts w:ascii="Times New Roman" w:eastAsia="Times New Roman" w:hAnsi="Times New Roman" w:cs="Times New Roman"/>
          <w:sz w:val="20"/>
          <w:szCs w:val="20"/>
        </w:rPr>
      </w:pPr>
      <w:r w:rsidRPr="00050F9F">
        <w:rPr>
          <w:rFonts w:ascii="Times New Roman" w:eastAsia="Times New Roman" w:hAnsi="Times New Roman" w:cs="Times New Roman"/>
          <w:sz w:val="20"/>
          <w:szCs w:val="20"/>
        </w:rPr>
        <w:t>For each species, the literature was exhaustively searched for information on the mode of introduction.</w:t>
      </w:r>
      <w:r w:rsidR="00AD3BA3">
        <w:rPr>
          <w:rFonts w:ascii="Times New Roman" w:eastAsia="Times New Roman" w:hAnsi="Times New Roman" w:cs="Times New Roman"/>
          <w:sz w:val="20"/>
          <w:szCs w:val="20"/>
        </w:rPr>
        <w:t xml:space="preserve"> </w:t>
      </w:r>
      <w:r w:rsidRPr="00050F9F">
        <w:rPr>
          <w:rFonts w:ascii="Times New Roman" w:eastAsia="Times New Roman" w:hAnsi="Times New Roman" w:cs="Times New Roman"/>
          <w:sz w:val="20"/>
          <w:szCs w:val="20"/>
        </w:rPr>
        <w:t>Greve et al. (2017) had some information on pathways, but for several species, pathway information</w:t>
      </w:r>
      <w:r w:rsidR="00AD3BA3">
        <w:rPr>
          <w:rFonts w:ascii="Times New Roman" w:eastAsia="Times New Roman" w:hAnsi="Times New Roman" w:cs="Times New Roman"/>
          <w:sz w:val="20"/>
          <w:szCs w:val="20"/>
        </w:rPr>
        <w:t xml:space="preserve"> </w:t>
      </w:r>
      <w:r w:rsidRPr="00050F9F">
        <w:rPr>
          <w:rFonts w:ascii="Times New Roman" w:eastAsia="Times New Roman" w:hAnsi="Times New Roman" w:cs="Times New Roman"/>
          <w:sz w:val="20"/>
          <w:szCs w:val="20"/>
        </w:rPr>
        <w:t>was fairly</w:t>
      </w:r>
      <w:r w:rsidR="00AD3BA3">
        <w:rPr>
          <w:rFonts w:ascii="Times New Roman" w:eastAsia="Times New Roman" w:hAnsi="Times New Roman" w:cs="Times New Roman"/>
          <w:sz w:val="20"/>
          <w:szCs w:val="20"/>
        </w:rPr>
        <w:t xml:space="preserve"> </w:t>
      </w:r>
      <w:r w:rsidRPr="00050F9F">
        <w:rPr>
          <w:rFonts w:ascii="Times New Roman" w:eastAsia="Times New Roman" w:hAnsi="Times New Roman" w:cs="Times New Roman"/>
          <w:sz w:val="20"/>
          <w:szCs w:val="20"/>
        </w:rPr>
        <w:t xml:space="preserve">unspecific. E.g. many species are thought to have been introduced accidentally as contaminant, but the literature was unclear about what the suspected contaminant was. Therefore, for many species, the pathway could not be </w:t>
      </w:r>
      <w:r w:rsidR="001F666E" w:rsidRPr="00050F9F">
        <w:rPr>
          <w:rFonts w:ascii="Times New Roman" w:eastAsia="Times New Roman" w:hAnsi="Times New Roman" w:cs="Times New Roman"/>
          <w:sz w:val="20"/>
          <w:szCs w:val="20"/>
        </w:rPr>
        <w:t>determined and</w:t>
      </w:r>
      <w:r w:rsidRPr="00050F9F">
        <w:rPr>
          <w:rFonts w:ascii="Times New Roman" w:eastAsia="Times New Roman" w:hAnsi="Times New Roman" w:cs="Times New Roman"/>
          <w:sz w:val="20"/>
          <w:szCs w:val="20"/>
        </w:rPr>
        <w:t xml:space="preserve"> has been categorised as ‘unknown’</w:t>
      </w:r>
      <w:r w:rsidR="00AD3BA3">
        <w:rPr>
          <w:rFonts w:ascii="Times New Roman" w:eastAsia="Times New Roman" w:hAnsi="Times New Roman" w:cs="Times New Roman"/>
          <w:sz w:val="20"/>
          <w:szCs w:val="20"/>
        </w:rPr>
        <w:t>.</w:t>
      </w:r>
    </w:p>
    <w:p w14:paraId="48863B98" w14:textId="623144D5" w:rsidR="006660B4" w:rsidRDefault="006660B4" w:rsidP="00512F50">
      <w:pPr>
        <w:spacing w:line="360" w:lineRule="auto"/>
        <w:ind w:firstLine="720"/>
        <w:rPr>
          <w:rFonts w:ascii="Times New Roman" w:eastAsia="Times New Roman" w:hAnsi="Times New Roman" w:cs="Times New Roman"/>
          <w:sz w:val="20"/>
          <w:szCs w:val="20"/>
        </w:rPr>
      </w:pPr>
      <w:r w:rsidRPr="006660B4">
        <w:rPr>
          <w:rFonts w:ascii="Times New Roman" w:eastAsia="Times New Roman" w:hAnsi="Times New Roman" w:cs="Times New Roman"/>
          <w:sz w:val="20"/>
          <w:szCs w:val="20"/>
        </w:rPr>
        <w:t>Information on recent introductions was obtained from officials of the South African DFFE (e.g., the Biodiversity Officer: Control and Pesticide Risk Manager Debbie Muir) and taxonomic experts that identified specimens. Additionally, the introduction pathways [classified using the introduction pathway framework of the CBD (CBD 2014)], and year of introduction to the PEIs were noted for each species where these were obtainable (</w:t>
      </w:r>
      <w:proofErr w:type="spellStart"/>
      <w:r w:rsidRPr="006660B4">
        <w:rPr>
          <w:rFonts w:ascii="Times New Roman" w:eastAsia="Times New Roman" w:hAnsi="Times New Roman" w:cs="Times New Roman"/>
          <w:sz w:val="20"/>
          <w:szCs w:val="20"/>
        </w:rPr>
        <w:t>Gremmen</w:t>
      </w:r>
      <w:proofErr w:type="spellEnd"/>
      <w:r w:rsidRPr="006660B4">
        <w:rPr>
          <w:rFonts w:ascii="Times New Roman" w:eastAsia="Times New Roman" w:hAnsi="Times New Roman" w:cs="Times New Roman"/>
          <w:sz w:val="20"/>
          <w:szCs w:val="20"/>
        </w:rPr>
        <w:t xml:space="preserve"> and Smith 1999).</w:t>
      </w:r>
    </w:p>
    <w:p w14:paraId="4207190C" w14:textId="6DDDF93C" w:rsidR="004122C9" w:rsidRPr="001B556D" w:rsidRDefault="00205255" w:rsidP="00AD3BA3">
      <w:pPr>
        <w:spacing w:line="360" w:lineRule="auto"/>
        <w:ind w:firstLine="720"/>
        <w:rPr>
          <w:rFonts w:ascii="Times New Roman" w:eastAsia="Times New Roman" w:hAnsi="Times New Roman" w:cs="Times New Roman"/>
          <w:sz w:val="20"/>
          <w:szCs w:val="20"/>
        </w:rPr>
      </w:pPr>
      <w:r w:rsidRPr="007E17FC">
        <w:rPr>
          <w:rFonts w:ascii="Times New Roman" w:eastAsia="Times New Roman" w:hAnsi="Times New Roman" w:cs="Times New Roman"/>
          <w:i/>
          <w:iCs/>
          <w:sz w:val="20"/>
          <w:szCs w:val="20"/>
        </w:rPr>
        <w:t>Introduction pathway prominence</w:t>
      </w:r>
      <w:r w:rsidRPr="00205255">
        <w:rPr>
          <w:rFonts w:ascii="Times New Roman" w:eastAsia="Times New Roman" w:hAnsi="Times New Roman" w:cs="Times New Roman"/>
          <w:sz w:val="20"/>
          <w:szCs w:val="20"/>
        </w:rPr>
        <w:t xml:space="preserve"> </w:t>
      </w:r>
      <w:r w:rsidR="00D51D01">
        <w:rPr>
          <w:rFonts w:ascii="Times New Roman" w:eastAsia="Times New Roman" w:hAnsi="Times New Roman" w:cs="Times New Roman"/>
          <w:sz w:val="20"/>
          <w:szCs w:val="20"/>
        </w:rPr>
        <w:t xml:space="preserve">(indicator 1.1) </w:t>
      </w:r>
      <w:r w:rsidRPr="00205255">
        <w:rPr>
          <w:rFonts w:ascii="Times New Roman" w:eastAsia="Times New Roman" w:hAnsi="Times New Roman" w:cs="Times New Roman"/>
          <w:sz w:val="20"/>
          <w:szCs w:val="20"/>
        </w:rPr>
        <w:t>is an estimate of the size of the pathway to the region of interest rather than what has travelled along it (or could in light of biosecurity interventions)</w:t>
      </w:r>
      <w:r w:rsidR="006B40E6">
        <w:rPr>
          <w:rFonts w:ascii="Times New Roman" w:eastAsia="Times New Roman" w:hAnsi="Times New Roman" w:cs="Times New Roman"/>
          <w:sz w:val="20"/>
          <w:szCs w:val="20"/>
        </w:rPr>
        <w:t>, and not</w:t>
      </w:r>
      <w:r w:rsidR="007E17FC" w:rsidRPr="00205255">
        <w:rPr>
          <w:rFonts w:ascii="Times New Roman" w:eastAsia="Times New Roman" w:hAnsi="Times New Roman" w:cs="Times New Roman"/>
          <w:sz w:val="20"/>
          <w:szCs w:val="20"/>
        </w:rPr>
        <w:t xml:space="preserve"> a measure of propagule </w:t>
      </w:r>
      <w:r w:rsidR="007E17FC" w:rsidRPr="001B556D">
        <w:rPr>
          <w:rFonts w:ascii="Times New Roman" w:eastAsia="Times New Roman" w:hAnsi="Times New Roman" w:cs="Times New Roman"/>
          <w:sz w:val="20"/>
          <w:szCs w:val="20"/>
        </w:rPr>
        <w:t xml:space="preserve">pressure along the pathways, nor the number of introductions that a pathway facilitates; and so does not, for example, consider the extent of hull fouling on the ship, or the number of propagules on the helicopter. </w:t>
      </w:r>
      <w:r w:rsidR="00956132" w:rsidRPr="001B556D">
        <w:rPr>
          <w:rFonts w:ascii="Times New Roman" w:eastAsia="Times New Roman" w:hAnsi="Times New Roman" w:cs="Times New Roman"/>
          <w:sz w:val="20"/>
          <w:szCs w:val="20"/>
        </w:rPr>
        <w:t xml:space="preserve">This is estimated using socio-economic data, such as the number of ship visits, number of helicopter </w:t>
      </w:r>
      <w:r w:rsidR="00956132" w:rsidRPr="001B556D">
        <w:rPr>
          <w:rFonts w:ascii="Times New Roman" w:eastAsia="Times New Roman" w:hAnsi="Times New Roman" w:cs="Times New Roman"/>
          <w:sz w:val="20"/>
          <w:szCs w:val="20"/>
        </w:rPr>
        <w:lastRenderedPageBreak/>
        <w:t xml:space="preserve">visits, etc. </w:t>
      </w:r>
      <w:r w:rsidRPr="00944B29">
        <w:rPr>
          <w:rFonts w:ascii="Times New Roman" w:eastAsia="Times New Roman" w:hAnsi="Times New Roman" w:cs="Times New Roman"/>
          <w:sz w:val="20"/>
          <w:szCs w:val="20"/>
        </w:rPr>
        <w:t>There are few visits by both ships and helicopters (usually once a year for both), and thus both of these pathways have been rated as having a ‘minor’ ‘introduction pathway prominence’.</w:t>
      </w:r>
    </w:p>
    <w:p w14:paraId="69461E6F" w14:textId="47BDC77E" w:rsidR="006B40E6" w:rsidRPr="007C732A" w:rsidRDefault="006B40E6" w:rsidP="00DD27D9">
      <w:pPr>
        <w:spacing w:line="360" w:lineRule="auto"/>
        <w:rPr>
          <w:rFonts w:ascii="Times New Roman" w:eastAsia="Times New Roman" w:hAnsi="Times New Roman" w:cs="Times New Roman"/>
          <w:b/>
          <w:bCs/>
          <w:sz w:val="20"/>
          <w:szCs w:val="20"/>
        </w:rPr>
      </w:pPr>
      <w:r w:rsidRPr="007C732A">
        <w:rPr>
          <w:rFonts w:ascii="Times New Roman" w:eastAsia="Times New Roman" w:hAnsi="Times New Roman" w:cs="Times New Roman"/>
          <w:b/>
          <w:bCs/>
          <w:sz w:val="20"/>
          <w:szCs w:val="20"/>
        </w:rPr>
        <w:t>Species</w:t>
      </w:r>
    </w:p>
    <w:p w14:paraId="2A72F20E" w14:textId="5C2EBF31" w:rsidR="007F4DBC" w:rsidRPr="001B556D" w:rsidRDefault="00EF3AD7" w:rsidP="001B556D">
      <w:pPr>
        <w:spacing w:line="360" w:lineRule="auto"/>
        <w:rPr>
          <w:rFonts w:ascii="Times New Roman" w:hAnsi="Times New Roman" w:cs="Times New Roman"/>
          <w:sz w:val="20"/>
          <w:szCs w:val="20"/>
          <w:lang w:val="en-ZA"/>
        </w:rPr>
      </w:pPr>
      <w:r w:rsidRPr="001B556D">
        <w:rPr>
          <w:rFonts w:ascii="Times New Roman" w:hAnsi="Times New Roman" w:cs="Times New Roman"/>
          <w:sz w:val="20"/>
          <w:szCs w:val="20"/>
          <w:lang w:val="en-ZA"/>
        </w:rPr>
        <w:t>Regarding the scoring o</w:t>
      </w:r>
      <w:r w:rsidR="00FA7EDF">
        <w:rPr>
          <w:rFonts w:ascii="Times New Roman" w:hAnsi="Times New Roman" w:cs="Times New Roman"/>
          <w:sz w:val="20"/>
          <w:szCs w:val="20"/>
          <w:lang w:val="en-ZA"/>
        </w:rPr>
        <w:t>f</w:t>
      </w:r>
      <w:r w:rsidRPr="001B556D">
        <w:rPr>
          <w:rFonts w:ascii="Times New Roman" w:hAnsi="Times New Roman" w:cs="Times New Roman"/>
          <w:sz w:val="20"/>
          <w:szCs w:val="20"/>
          <w:lang w:val="en-ZA"/>
        </w:rPr>
        <w:t xml:space="preserve"> alien species status on the species list (Appendix 1</w:t>
      </w:r>
      <w:r w:rsidR="00DD27D9">
        <w:rPr>
          <w:rFonts w:ascii="Times New Roman" w:hAnsi="Times New Roman" w:cs="Times New Roman"/>
          <w:sz w:val="20"/>
          <w:szCs w:val="20"/>
          <w:lang w:val="en-ZA"/>
        </w:rPr>
        <w:t xml:space="preserve">; </w:t>
      </w:r>
      <w:r w:rsidR="00DD27D9" w:rsidRPr="00FA7EDF">
        <w:rPr>
          <w:rFonts w:ascii="Times New Roman" w:hAnsi="Times New Roman" w:cs="Times New Roman"/>
          <w:i/>
          <w:iCs/>
          <w:sz w:val="20"/>
          <w:szCs w:val="20"/>
          <w:lang w:val="en-ZA"/>
        </w:rPr>
        <w:t>number and status of alien species</w:t>
      </w:r>
      <w:r w:rsidR="00FA7EDF">
        <w:rPr>
          <w:rFonts w:ascii="Times New Roman" w:hAnsi="Times New Roman" w:cs="Times New Roman"/>
          <w:sz w:val="20"/>
          <w:szCs w:val="20"/>
          <w:lang w:val="en-ZA"/>
        </w:rPr>
        <w:t>,</w:t>
      </w:r>
      <w:r w:rsidR="00DD27D9" w:rsidRPr="00DD27D9">
        <w:rPr>
          <w:rFonts w:ascii="Times New Roman" w:hAnsi="Times New Roman" w:cs="Times New Roman"/>
          <w:sz w:val="20"/>
          <w:szCs w:val="20"/>
          <w:lang w:val="en-ZA"/>
        </w:rPr>
        <w:t xml:space="preserve"> indicator 2.1</w:t>
      </w:r>
      <w:r w:rsidRPr="001B556D">
        <w:rPr>
          <w:rFonts w:ascii="Times New Roman" w:hAnsi="Times New Roman" w:cs="Times New Roman"/>
          <w:sz w:val="20"/>
          <w:szCs w:val="20"/>
          <w:lang w:val="en-ZA"/>
        </w:rPr>
        <w:t xml:space="preserve">), </w:t>
      </w:r>
      <w:r w:rsidR="00E35EBE" w:rsidRPr="001B556D">
        <w:rPr>
          <w:rFonts w:ascii="Times New Roman" w:hAnsi="Times New Roman" w:cs="Times New Roman"/>
          <w:sz w:val="20"/>
          <w:szCs w:val="20"/>
          <w:lang w:val="en-ZA"/>
        </w:rPr>
        <w:t>f</w:t>
      </w:r>
      <w:r w:rsidR="007F4DBC" w:rsidRPr="001B556D">
        <w:rPr>
          <w:rFonts w:ascii="Times New Roman" w:hAnsi="Times New Roman" w:cs="Times New Roman"/>
          <w:sz w:val="20"/>
          <w:szCs w:val="20"/>
          <w:lang w:val="en-ZA"/>
        </w:rPr>
        <w:t xml:space="preserve">or species for which </w:t>
      </w:r>
      <w:proofErr w:type="spellStart"/>
      <w:r w:rsidR="007F4DBC" w:rsidRPr="001B556D">
        <w:rPr>
          <w:rFonts w:ascii="Times New Roman" w:hAnsi="Times New Roman" w:cs="Times New Roman"/>
          <w:sz w:val="20"/>
          <w:szCs w:val="20"/>
          <w:lang w:val="en-ZA"/>
        </w:rPr>
        <w:t>occurrence</w:t>
      </w:r>
      <w:r w:rsidR="00072B1D" w:rsidRPr="001B556D">
        <w:rPr>
          <w:rFonts w:ascii="Times New Roman" w:hAnsi="Times New Roman" w:cs="Times New Roman"/>
          <w:sz w:val="20"/>
          <w:szCs w:val="20"/>
          <w:lang w:val="en-ZA"/>
        </w:rPr>
        <w:t>S</w:t>
      </w:r>
      <w:r w:rsidR="007F4DBC" w:rsidRPr="001B556D">
        <w:rPr>
          <w:rFonts w:ascii="Times New Roman" w:hAnsi="Times New Roman" w:cs="Times New Roman"/>
          <w:sz w:val="20"/>
          <w:szCs w:val="20"/>
          <w:lang w:val="en-ZA"/>
        </w:rPr>
        <w:t>tatus</w:t>
      </w:r>
      <w:proofErr w:type="spellEnd"/>
      <w:r w:rsidR="007F4DBC" w:rsidRPr="001B556D">
        <w:rPr>
          <w:rFonts w:ascii="Times New Roman" w:hAnsi="Times New Roman" w:cs="Times New Roman"/>
          <w:sz w:val="20"/>
          <w:szCs w:val="20"/>
          <w:lang w:val="en-ZA"/>
        </w:rPr>
        <w:t xml:space="preserve">=doubtful or cryptogenic, </w:t>
      </w:r>
      <w:proofErr w:type="spellStart"/>
      <w:r w:rsidR="007F4DBC" w:rsidRPr="001B556D">
        <w:rPr>
          <w:rFonts w:ascii="Times New Roman" w:hAnsi="Times New Roman" w:cs="Times New Roman"/>
          <w:sz w:val="20"/>
          <w:szCs w:val="20"/>
          <w:lang w:val="en-ZA"/>
        </w:rPr>
        <w:t>degreeOfEstablishment</w:t>
      </w:r>
      <w:proofErr w:type="spellEnd"/>
      <w:r w:rsidR="007F4DBC" w:rsidRPr="001B556D">
        <w:rPr>
          <w:rFonts w:ascii="Times New Roman" w:hAnsi="Times New Roman" w:cs="Times New Roman"/>
          <w:sz w:val="20"/>
          <w:szCs w:val="20"/>
          <w:lang w:val="en-ZA"/>
        </w:rPr>
        <w:t xml:space="preserve"> and</w:t>
      </w:r>
      <w:r w:rsidR="00072B1D" w:rsidRPr="001B556D">
        <w:rPr>
          <w:rFonts w:ascii="Times New Roman" w:hAnsi="Times New Roman" w:cs="Times New Roman"/>
          <w:sz w:val="20"/>
          <w:szCs w:val="20"/>
          <w:lang w:val="en-ZA"/>
        </w:rPr>
        <w:t xml:space="preserve"> </w:t>
      </w:r>
      <w:proofErr w:type="spellStart"/>
      <w:r w:rsidR="007F4DBC" w:rsidRPr="001B556D">
        <w:rPr>
          <w:rFonts w:ascii="Times New Roman" w:hAnsi="Times New Roman" w:cs="Times New Roman"/>
          <w:sz w:val="20"/>
          <w:szCs w:val="20"/>
          <w:lang w:val="en-ZA"/>
        </w:rPr>
        <w:t>introductionStatus</w:t>
      </w:r>
      <w:proofErr w:type="spellEnd"/>
      <w:r w:rsidR="007F4DBC" w:rsidRPr="001B556D">
        <w:rPr>
          <w:rFonts w:ascii="Times New Roman" w:hAnsi="Times New Roman" w:cs="Times New Roman"/>
          <w:sz w:val="20"/>
          <w:szCs w:val="20"/>
          <w:lang w:val="en-ZA"/>
        </w:rPr>
        <w:t xml:space="preserve"> will be NA, together with confidence and source. The information regarding what degree of establishment a taxon reached while present </w:t>
      </w:r>
      <w:r w:rsidR="00E35EBE" w:rsidRPr="001B556D">
        <w:rPr>
          <w:rFonts w:ascii="Times New Roman" w:hAnsi="Times New Roman" w:cs="Times New Roman"/>
          <w:sz w:val="20"/>
          <w:szCs w:val="20"/>
          <w:lang w:val="en-ZA"/>
        </w:rPr>
        <w:t>is</w:t>
      </w:r>
      <w:r w:rsidR="007F4DBC" w:rsidRPr="001B556D">
        <w:rPr>
          <w:rFonts w:ascii="Times New Roman" w:hAnsi="Times New Roman" w:cs="Times New Roman"/>
          <w:sz w:val="20"/>
          <w:szCs w:val="20"/>
          <w:lang w:val="en-ZA"/>
        </w:rPr>
        <w:t xml:space="preserve"> reflected in the </w:t>
      </w:r>
      <w:proofErr w:type="spellStart"/>
      <w:r w:rsidR="007F4DBC" w:rsidRPr="001B556D">
        <w:rPr>
          <w:rFonts w:ascii="Times New Roman" w:hAnsi="Times New Roman" w:cs="Times New Roman"/>
          <w:sz w:val="20"/>
          <w:szCs w:val="20"/>
          <w:lang w:val="en-ZA"/>
        </w:rPr>
        <w:t>historyOfInvasion</w:t>
      </w:r>
      <w:proofErr w:type="spellEnd"/>
      <w:r w:rsidR="007F4DBC" w:rsidRPr="001B556D">
        <w:rPr>
          <w:rFonts w:ascii="Times New Roman" w:hAnsi="Times New Roman" w:cs="Times New Roman"/>
          <w:sz w:val="20"/>
          <w:szCs w:val="20"/>
          <w:lang w:val="en-ZA"/>
        </w:rPr>
        <w:t xml:space="preserve"> column (last column)</w:t>
      </w:r>
      <w:r w:rsidR="00E35EBE" w:rsidRPr="001B556D">
        <w:rPr>
          <w:rFonts w:ascii="Times New Roman" w:hAnsi="Times New Roman" w:cs="Times New Roman"/>
          <w:sz w:val="20"/>
          <w:szCs w:val="20"/>
          <w:lang w:val="en-ZA"/>
        </w:rPr>
        <w:t xml:space="preserve">. </w:t>
      </w:r>
      <w:r w:rsidR="007F4DBC" w:rsidRPr="001B556D">
        <w:rPr>
          <w:rFonts w:ascii="Times New Roman" w:hAnsi="Times New Roman" w:cs="Times New Roman"/>
          <w:sz w:val="20"/>
          <w:szCs w:val="20"/>
          <w:lang w:val="en-ZA"/>
        </w:rPr>
        <w:t xml:space="preserve">If a </w:t>
      </w:r>
      <w:proofErr w:type="spellStart"/>
      <w:r w:rsidR="007F4DBC" w:rsidRPr="001B556D">
        <w:rPr>
          <w:rFonts w:ascii="Times New Roman" w:hAnsi="Times New Roman" w:cs="Times New Roman"/>
          <w:sz w:val="20"/>
          <w:szCs w:val="20"/>
          <w:lang w:val="en-ZA"/>
        </w:rPr>
        <w:t>taxon</w:t>
      </w:r>
      <w:proofErr w:type="spellEnd"/>
      <w:r w:rsidR="007F4DBC" w:rsidRPr="001B556D">
        <w:rPr>
          <w:rFonts w:ascii="Times New Roman" w:hAnsi="Times New Roman" w:cs="Times New Roman"/>
          <w:sz w:val="20"/>
          <w:szCs w:val="20"/>
          <w:lang w:val="en-ZA"/>
        </w:rPr>
        <w:t xml:space="preserve"> appears in the bibliography as ‘transient’ or ‘not established’, then it is considered as ‘absent’ in the ‘</w:t>
      </w:r>
      <w:proofErr w:type="spellStart"/>
      <w:r w:rsidR="007F4DBC" w:rsidRPr="001B556D">
        <w:rPr>
          <w:rFonts w:ascii="Times New Roman" w:hAnsi="Times New Roman" w:cs="Times New Roman"/>
          <w:sz w:val="20"/>
          <w:szCs w:val="20"/>
          <w:lang w:val="en-ZA"/>
        </w:rPr>
        <w:t>occurrenceStatus</w:t>
      </w:r>
      <w:proofErr w:type="spellEnd"/>
      <w:r w:rsidR="007F4DBC" w:rsidRPr="001B556D">
        <w:rPr>
          <w:rFonts w:ascii="Times New Roman" w:hAnsi="Times New Roman" w:cs="Times New Roman"/>
          <w:sz w:val="20"/>
          <w:szCs w:val="20"/>
          <w:lang w:val="en-ZA"/>
        </w:rPr>
        <w:t>’ column.</w:t>
      </w:r>
    </w:p>
    <w:p w14:paraId="145F63CC" w14:textId="2B53A7C8" w:rsidR="00D442E7" w:rsidRDefault="00364BB4" w:rsidP="00892978">
      <w:pPr>
        <w:pStyle w:val="Heading2"/>
        <w:spacing w:line="360" w:lineRule="auto"/>
        <w:rPr>
          <w:rFonts w:ascii="Times New Roman" w:eastAsia="Times New Roman" w:hAnsi="Times New Roman" w:cs="Times New Roman"/>
          <w:b w:val="0"/>
          <w:bCs/>
          <w:sz w:val="20"/>
          <w:szCs w:val="20"/>
        </w:rPr>
      </w:pPr>
      <w:r w:rsidRPr="001B556D">
        <w:rPr>
          <w:rFonts w:ascii="Times New Roman" w:eastAsia="Times New Roman" w:hAnsi="Times New Roman" w:cs="Times New Roman"/>
          <w:b w:val="0"/>
          <w:sz w:val="20"/>
          <w:szCs w:val="20"/>
        </w:rPr>
        <w:tab/>
      </w:r>
      <w:r w:rsidR="000B115E" w:rsidRPr="001B556D">
        <w:rPr>
          <w:rFonts w:ascii="Times New Roman" w:eastAsia="Times New Roman" w:hAnsi="Times New Roman" w:cs="Times New Roman"/>
          <w:b w:val="0"/>
          <w:sz w:val="20"/>
          <w:szCs w:val="20"/>
        </w:rPr>
        <w:t>To estimate the</w:t>
      </w:r>
      <w:r w:rsidR="000B115E" w:rsidRPr="001B556D">
        <w:rPr>
          <w:rFonts w:ascii="Times New Roman" w:eastAsia="Times New Roman" w:hAnsi="Times New Roman" w:cs="Times New Roman"/>
          <w:sz w:val="20"/>
          <w:szCs w:val="20"/>
        </w:rPr>
        <w:t xml:space="preserve"> </w:t>
      </w:r>
      <w:r w:rsidRPr="001B556D">
        <w:rPr>
          <w:rFonts w:ascii="Times New Roman" w:eastAsia="Times New Roman" w:hAnsi="Times New Roman" w:cs="Times New Roman"/>
          <w:b w:val="0"/>
          <w:bCs/>
          <w:i/>
          <w:iCs/>
          <w:sz w:val="20"/>
          <w:szCs w:val="20"/>
        </w:rPr>
        <w:t>Impact of alien species</w:t>
      </w:r>
      <w:r w:rsidRPr="001B556D">
        <w:rPr>
          <w:rFonts w:ascii="Times New Roman" w:eastAsia="Times New Roman" w:hAnsi="Times New Roman" w:cs="Times New Roman"/>
          <w:b w:val="0"/>
          <w:bCs/>
          <w:sz w:val="20"/>
          <w:szCs w:val="20"/>
        </w:rPr>
        <w:t xml:space="preserve"> </w:t>
      </w:r>
      <w:r w:rsidR="000B115E" w:rsidRPr="001B556D">
        <w:rPr>
          <w:rFonts w:ascii="Times New Roman" w:eastAsia="Times New Roman" w:hAnsi="Times New Roman" w:cs="Times New Roman"/>
          <w:b w:val="0"/>
          <w:bCs/>
          <w:sz w:val="20"/>
          <w:szCs w:val="20"/>
        </w:rPr>
        <w:t xml:space="preserve">(indicator 2.3), </w:t>
      </w:r>
      <w:r w:rsidR="0070212A" w:rsidRPr="001B556D">
        <w:rPr>
          <w:rFonts w:ascii="Times New Roman" w:eastAsia="Times New Roman" w:hAnsi="Times New Roman" w:cs="Times New Roman"/>
          <w:b w:val="0"/>
          <w:bCs/>
          <w:sz w:val="20"/>
          <w:szCs w:val="20"/>
        </w:rPr>
        <w:t xml:space="preserve">EICAT </w:t>
      </w:r>
      <w:r w:rsidR="00D67400" w:rsidRPr="001B556D">
        <w:rPr>
          <w:rFonts w:ascii="Times New Roman" w:eastAsia="Times New Roman" w:hAnsi="Times New Roman" w:cs="Times New Roman"/>
          <w:b w:val="0"/>
          <w:bCs/>
          <w:sz w:val="20"/>
          <w:szCs w:val="20"/>
        </w:rPr>
        <w:t>scores were assessed</w:t>
      </w:r>
      <w:r w:rsidR="0070212A" w:rsidRPr="001B556D">
        <w:rPr>
          <w:rFonts w:ascii="Times New Roman" w:eastAsia="Times New Roman" w:hAnsi="Times New Roman" w:cs="Times New Roman"/>
          <w:b w:val="0"/>
          <w:bCs/>
          <w:sz w:val="20"/>
          <w:szCs w:val="20"/>
        </w:rPr>
        <w:t xml:space="preserve"> by assigning a single value to each species, which is the maximum recorded environmental impact in the Prince Edward Islands (Blackburn et</w:t>
      </w:r>
      <w:r w:rsidR="0070212A" w:rsidRPr="0070212A">
        <w:rPr>
          <w:rFonts w:ascii="Times New Roman" w:eastAsia="Times New Roman" w:hAnsi="Times New Roman" w:cs="Times New Roman"/>
          <w:b w:val="0"/>
          <w:bCs/>
          <w:sz w:val="20"/>
          <w:szCs w:val="20"/>
        </w:rPr>
        <w:t xml:space="preserve"> al. 2014; Hawkins et al. 2015). </w:t>
      </w:r>
      <w:r w:rsidR="00CB21E1">
        <w:rPr>
          <w:rFonts w:ascii="Times New Roman" w:eastAsia="Times New Roman" w:hAnsi="Times New Roman" w:cs="Times New Roman"/>
          <w:b w:val="0"/>
          <w:bCs/>
          <w:sz w:val="20"/>
          <w:szCs w:val="20"/>
        </w:rPr>
        <w:t xml:space="preserve">These </w:t>
      </w:r>
      <w:r w:rsidR="0070212A" w:rsidRPr="0070212A">
        <w:rPr>
          <w:rFonts w:ascii="Times New Roman" w:eastAsia="Times New Roman" w:hAnsi="Times New Roman" w:cs="Times New Roman"/>
          <w:b w:val="0"/>
          <w:bCs/>
          <w:sz w:val="20"/>
          <w:szCs w:val="20"/>
        </w:rPr>
        <w:t xml:space="preserve">values </w:t>
      </w:r>
      <w:r w:rsidR="00CB21E1">
        <w:rPr>
          <w:rFonts w:ascii="Times New Roman" w:eastAsia="Times New Roman" w:hAnsi="Times New Roman" w:cs="Times New Roman"/>
          <w:b w:val="0"/>
          <w:bCs/>
          <w:sz w:val="20"/>
          <w:szCs w:val="20"/>
        </w:rPr>
        <w:t xml:space="preserve">were based </w:t>
      </w:r>
      <w:r w:rsidR="0070212A" w:rsidRPr="0070212A">
        <w:rPr>
          <w:rFonts w:ascii="Times New Roman" w:eastAsia="Times New Roman" w:hAnsi="Times New Roman" w:cs="Times New Roman"/>
          <w:b w:val="0"/>
          <w:bCs/>
          <w:sz w:val="20"/>
          <w:szCs w:val="20"/>
        </w:rPr>
        <w:t>on Greve et al (2017) who also based their assessments on Blackburn et al. (2014)’s framework. Greve et al. (2017) used the same categories that are used in EICAT: Massive</w:t>
      </w:r>
      <w:r w:rsidR="001163D4">
        <w:rPr>
          <w:rFonts w:ascii="Times New Roman" w:eastAsia="Times New Roman" w:hAnsi="Times New Roman" w:cs="Times New Roman"/>
          <w:b w:val="0"/>
          <w:bCs/>
          <w:sz w:val="20"/>
          <w:szCs w:val="20"/>
        </w:rPr>
        <w:t xml:space="preserve"> (MV)</w:t>
      </w:r>
      <w:r w:rsidR="0070212A" w:rsidRPr="0070212A">
        <w:rPr>
          <w:rFonts w:ascii="Times New Roman" w:eastAsia="Times New Roman" w:hAnsi="Times New Roman" w:cs="Times New Roman"/>
          <w:b w:val="0"/>
          <w:bCs/>
          <w:sz w:val="20"/>
          <w:szCs w:val="20"/>
        </w:rPr>
        <w:t>, Major</w:t>
      </w:r>
      <w:r w:rsidR="001163D4">
        <w:rPr>
          <w:rFonts w:ascii="Times New Roman" w:eastAsia="Times New Roman" w:hAnsi="Times New Roman" w:cs="Times New Roman"/>
          <w:b w:val="0"/>
          <w:bCs/>
          <w:sz w:val="20"/>
          <w:szCs w:val="20"/>
        </w:rPr>
        <w:t xml:space="preserve"> (MR)</w:t>
      </w:r>
      <w:r w:rsidR="0070212A" w:rsidRPr="0070212A">
        <w:rPr>
          <w:rFonts w:ascii="Times New Roman" w:eastAsia="Times New Roman" w:hAnsi="Times New Roman" w:cs="Times New Roman"/>
          <w:b w:val="0"/>
          <w:bCs/>
          <w:sz w:val="20"/>
          <w:szCs w:val="20"/>
        </w:rPr>
        <w:t>, Moderate</w:t>
      </w:r>
      <w:r w:rsidR="001163D4">
        <w:rPr>
          <w:rFonts w:ascii="Times New Roman" w:eastAsia="Times New Roman" w:hAnsi="Times New Roman" w:cs="Times New Roman"/>
          <w:b w:val="0"/>
          <w:bCs/>
          <w:sz w:val="20"/>
          <w:szCs w:val="20"/>
        </w:rPr>
        <w:t xml:space="preserve"> (MO)</w:t>
      </w:r>
      <w:r w:rsidR="0070212A" w:rsidRPr="0070212A">
        <w:rPr>
          <w:rFonts w:ascii="Times New Roman" w:eastAsia="Times New Roman" w:hAnsi="Times New Roman" w:cs="Times New Roman"/>
          <w:b w:val="0"/>
          <w:bCs/>
          <w:sz w:val="20"/>
          <w:szCs w:val="20"/>
        </w:rPr>
        <w:t xml:space="preserve">, Minor </w:t>
      </w:r>
      <w:r w:rsidR="006571F3">
        <w:rPr>
          <w:rFonts w:ascii="Times New Roman" w:eastAsia="Times New Roman" w:hAnsi="Times New Roman" w:cs="Times New Roman"/>
          <w:b w:val="0"/>
          <w:bCs/>
          <w:sz w:val="20"/>
          <w:szCs w:val="20"/>
        </w:rPr>
        <w:t>(M</w:t>
      </w:r>
      <w:r w:rsidR="00C24CD4">
        <w:rPr>
          <w:rFonts w:ascii="Times New Roman" w:eastAsia="Times New Roman" w:hAnsi="Times New Roman" w:cs="Times New Roman"/>
          <w:b w:val="0"/>
          <w:bCs/>
          <w:sz w:val="20"/>
          <w:szCs w:val="20"/>
        </w:rPr>
        <w:t>N</w:t>
      </w:r>
      <w:r w:rsidR="006571F3">
        <w:rPr>
          <w:rFonts w:ascii="Times New Roman" w:eastAsia="Times New Roman" w:hAnsi="Times New Roman" w:cs="Times New Roman"/>
          <w:b w:val="0"/>
          <w:bCs/>
          <w:sz w:val="20"/>
          <w:szCs w:val="20"/>
        </w:rPr>
        <w:t xml:space="preserve">) </w:t>
      </w:r>
      <w:r w:rsidR="0070212A" w:rsidRPr="0070212A">
        <w:rPr>
          <w:rFonts w:ascii="Times New Roman" w:eastAsia="Times New Roman" w:hAnsi="Times New Roman" w:cs="Times New Roman"/>
          <w:b w:val="0"/>
          <w:bCs/>
          <w:sz w:val="20"/>
          <w:szCs w:val="20"/>
        </w:rPr>
        <w:t>and Minimal</w:t>
      </w:r>
      <w:r w:rsidR="006571F3">
        <w:rPr>
          <w:rFonts w:ascii="Times New Roman" w:eastAsia="Times New Roman" w:hAnsi="Times New Roman" w:cs="Times New Roman"/>
          <w:b w:val="0"/>
          <w:bCs/>
          <w:sz w:val="20"/>
          <w:szCs w:val="20"/>
        </w:rPr>
        <w:t xml:space="preserve"> (MC)</w:t>
      </w:r>
      <w:r w:rsidR="0070212A" w:rsidRPr="0070212A">
        <w:rPr>
          <w:rFonts w:ascii="Times New Roman" w:eastAsia="Times New Roman" w:hAnsi="Times New Roman" w:cs="Times New Roman"/>
          <w:b w:val="0"/>
          <w:bCs/>
          <w:sz w:val="20"/>
          <w:szCs w:val="20"/>
        </w:rPr>
        <w:t xml:space="preserve">. </w:t>
      </w:r>
      <w:r w:rsidR="005166B5">
        <w:rPr>
          <w:rFonts w:ascii="Times New Roman" w:eastAsia="Times New Roman" w:hAnsi="Times New Roman" w:cs="Times New Roman"/>
          <w:b w:val="0"/>
          <w:bCs/>
          <w:sz w:val="20"/>
          <w:szCs w:val="20"/>
        </w:rPr>
        <w:t xml:space="preserve">EICAT categories and definitions can be found </w:t>
      </w:r>
      <w:r w:rsidR="005166B5" w:rsidRPr="0070212A">
        <w:rPr>
          <w:rFonts w:ascii="Times New Roman" w:eastAsia="Times New Roman" w:hAnsi="Times New Roman" w:cs="Times New Roman"/>
          <w:b w:val="0"/>
          <w:bCs/>
          <w:sz w:val="20"/>
          <w:szCs w:val="20"/>
        </w:rPr>
        <w:t>in the metadata for the species list</w:t>
      </w:r>
      <w:r w:rsidR="005166B5">
        <w:rPr>
          <w:rFonts w:ascii="Times New Roman" w:eastAsia="Times New Roman" w:hAnsi="Times New Roman" w:cs="Times New Roman"/>
          <w:b w:val="0"/>
          <w:bCs/>
          <w:sz w:val="20"/>
          <w:szCs w:val="20"/>
        </w:rPr>
        <w:t xml:space="preserve"> (Appendix 2)</w:t>
      </w:r>
      <w:r w:rsidR="005166B5" w:rsidRPr="0070212A">
        <w:rPr>
          <w:rFonts w:ascii="Times New Roman" w:eastAsia="Times New Roman" w:hAnsi="Times New Roman" w:cs="Times New Roman"/>
          <w:b w:val="0"/>
          <w:bCs/>
          <w:sz w:val="20"/>
          <w:szCs w:val="20"/>
        </w:rPr>
        <w:t>.</w:t>
      </w:r>
      <w:r w:rsidR="005166B5">
        <w:rPr>
          <w:rFonts w:ascii="Times New Roman" w:eastAsia="Times New Roman" w:hAnsi="Times New Roman" w:cs="Times New Roman"/>
          <w:b w:val="0"/>
          <w:bCs/>
          <w:sz w:val="20"/>
          <w:szCs w:val="20"/>
        </w:rPr>
        <w:t xml:space="preserve"> </w:t>
      </w:r>
      <w:r w:rsidR="009800DE">
        <w:rPr>
          <w:rFonts w:ascii="Times New Roman" w:eastAsia="Times New Roman" w:hAnsi="Times New Roman" w:cs="Times New Roman"/>
          <w:b w:val="0"/>
          <w:bCs/>
          <w:sz w:val="20"/>
          <w:szCs w:val="20"/>
        </w:rPr>
        <w:t xml:space="preserve">The </w:t>
      </w:r>
      <w:r w:rsidR="0070212A" w:rsidRPr="0070212A">
        <w:rPr>
          <w:rFonts w:ascii="Times New Roman" w:eastAsia="Times New Roman" w:hAnsi="Times New Roman" w:cs="Times New Roman"/>
          <w:b w:val="0"/>
          <w:bCs/>
          <w:sz w:val="20"/>
          <w:szCs w:val="20"/>
        </w:rPr>
        <w:t>EICAT scores</w:t>
      </w:r>
      <w:r w:rsidR="009800DE">
        <w:rPr>
          <w:rFonts w:ascii="Times New Roman" w:eastAsia="Times New Roman" w:hAnsi="Times New Roman" w:cs="Times New Roman"/>
          <w:b w:val="0"/>
          <w:bCs/>
          <w:sz w:val="20"/>
          <w:szCs w:val="20"/>
        </w:rPr>
        <w:t xml:space="preserve"> per species </w:t>
      </w:r>
      <w:r w:rsidR="00E24F17">
        <w:rPr>
          <w:rFonts w:ascii="Times New Roman" w:eastAsia="Times New Roman" w:hAnsi="Times New Roman" w:cs="Times New Roman"/>
          <w:b w:val="0"/>
          <w:bCs/>
          <w:sz w:val="20"/>
          <w:szCs w:val="20"/>
        </w:rPr>
        <w:t xml:space="preserve">are presented </w:t>
      </w:r>
      <w:r w:rsidR="0070212A" w:rsidRPr="0070212A">
        <w:rPr>
          <w:rFonts w:ascii="Times New Roman" w:eastAsia="Times New Roman" w:hAnsi="Times New Roman" w:cs="Times New Roman"/>
          <w:b w:val="0"/>
          <w:bCs/>
          <w:sz w:val="20"/>
          <w:szCs w:val="20"/>
        </w:rPr>
        <w:t>in the Species list (Appendix 1)</w:t>
      </w:r>
      <w:r w:rsidR="00976FD5">
        <w:rPr>
          <w:rFonts w:ascii="Times New Roman" w:eastAsia="Times New Roman" w:hAnsi="Times New Roman" w:cs="Times New Roman"/>
          <w:b w:val="0"/>
          <w:bCs/>
          <w:sz w:val="20"/>
          <w:szCs w:val="20"/>
        </w:rPr>
        <w:t>.</w:t>
      </w:r>
      <w:r w:rsidR="00976FD5" w:rsidRPr="00976FD5">
        <w:rPr>
          <w:rFonts w:ascii="Times New Roman" w:eastAsia="Times New Roman" w:hAnsi="Times New Roman" w:cs="Times New Roman"/>
          <w:b w:val="0"/>
          <w:bCs/>
          <w:sz w:val="20"/>
          <w:szCs w:val="20"/>
        </w:rPr>
        <w:t xml:space="preserve"> </w:t>
      </w:r>
      <w:r w:rsidR="00DF5C61" w:rsidRPr="00DF5C61">
        <w:rPr>
          <w:rFonts w:ascii="Times New Roman" w:eastAsia="Times New Roman" w:hAnsi="Times New Roman" w:cs="Times New Roman"/>
          <w:b w:val="0"/>
          <w:bCs/>
          <w:sz w:val="20"/>
          <w:szCs w:val="20"/>
        </w:rPr>
        <w:t>Note that the assessments considered here are based solely on studies conducted on the PEIs, while standard EICAT assessments are typically based on global data.</w:t>
      </w:r>
      <w:r w:rsidR="000510E7">
        <w:rPr>
          <w:rFonts w:ascii="Times New Roman" w:eastAsia="Times New Roman" w:hAnsi="Times New Roman" w:cs="Times New Roman"/>
          <w:b w:val="0"/>
          <w:bCs/>
          <w:sz w:val="20"/>
          <w:szCs w:val="20"/>
        </w:rPr>
        <w:t xml:space="preserve"> </w:t>
      </w:r>
      <w:r w:rsidR="00CB226F" w:rsidRPr="00CB226F">
        <w:rPr>
          <w:rFonts w:ascii="Times New Roman" w:eastAsia="Times New Roman" w:hAnsi="Times New Roman" w:cs="Times New Roman"/>
          <w:b w:val="0"/>
          <w:bCs/>
          <w:sz w:val="20"/>
          <w:szCs w:val="20"/>
        </w:rPr>
        <w:t>If a species' occurrence status is currently classified as 'doubtful', the EICAT assessment reflects the impact data available from when the species was confirmed to be present</w:t>
      </w:r>
      <w:r w:rsidR="00892978">
        <w:rPr>
          <w:rFonts w:ascii="Times New Roman" w:eastAsia="Times New Roman" w:hAnsi="Times New Roman" w:cs="Times New Roman"/>
          <w:b w:val="0"/>
          <w:bCs/>
          <w:sz w:val="20"/>
          <w:szCs w:val="20"/>
        </w:rPr>
        <w:t xml:space="preserve">. </w:t>
      </w:r>
      <w:r w:rsidR="008D50AD">
        <w:rPr>
          <w:rFonts w:ascii="Times New Roman" w:eastAsia="Times New Roman" w:hAnsi="Times New Roman" w:cs="Times New Roman"/>
          <w:b w:val="0"/>
          <w:bCs/>
          <w:sz w:val="20"/>
          <w:szCs w:val="20"/>
        </w:rPr>
        <w:t xml:space="preserve">Only one score was updated </w:t>
      </w:r>
      <w:r w:rsidR="00842F3B">
        <w:rPr>
          <w:rFonts w:ascii="Times New Roman" w:eastAsia="Times New Roman" w:hAnsi="Times New Roman" w:cs="Times New Roman"/>
          <w:b w:val="0"/>
          <w:bCs/>
          <w:sz w:val="20"/>
          <w:szCs w:val="20"/>
        </w:rPr>
        <w:t>compared to Greve et al. (2017)</w:t>
      </w:r>
      <w:r w:rsidR="008C3291">
        <w:rPr>
          <w:rFonts w:ascii="Times New Roman" w:eastAsia="Times New Roman" w:hAnsi="Times New Roman" w:cs="Times New Roman"/>
          <w:b w:val="0"/>
          <w:bCs/>
          <w:sz w:val="20"/>
          <w:szCs w:val="20"/>
        </w:rPr>
        <w:t xml:space="preserve">, </w:t>
      </w:r>
      <w:r w:rsidR="008C3291" w:rsidRPr="008C3291">
        <w:rPr>
          <w:rFonts w:ascii="Times New Roman" w:eastAsia="Times New Roman" w:hAnsi="Times New Roman" w:cs="Times New Roman"/>
          <w:b w:val="0"/>
          <w:bCs/>
          <w:i/>
          <w:iCs/>
          <w:sz w:val="20"/>
          <w:szCs w:val="20"/>
        </w:rPr>
        <w:t>Elymus repens</w:t>
      </w:r>
      <w:r w:rsidR="00452141">
        <w:rPr>
          <w:rFonts w:ascii="Times New Roman" w:eastAsia="Times New Roman" w:hAnsi="Times New Roman" w:cs="Times New Roman"/>
          <w:b w:val="0"/>
          <w:bCs/>
          <w:sz w:val="20"/>
          <w:szCs w:val="20"/>
        </w:rPr>
        <w:t>.</w:t>
      </w:r>
      <w:r w:rsidR="0076634F">
        <w:rPr>
          <w:rFonts w:ascii="Times New Roman" w:eastAsia="Times New Roman" w:hAnsi="Times New Roman" w:cs="Times New Roman"/>
          <w:b w:val="0"/>
          <w:bCs/>
          <w:sz w:val="20"/>
          <w:szCs w:val="20"/>
        </w:rPr>
        <w:t xml:space="preserve"> </w:t>
      </w:r>
      <w:r w:rsidR="00976FD5" w:rsidRPr="0070212A">
        <w:rPr>
          <w:rFonts w:ascii="Times New Roman" w:eastAsia="Times New Roman" w:hAnsi="Times New Roman" w:cs="Times New Roman"/>
          <w:b w:val="0"/>
          <w:bCs/>
          <w:sz w:val="20"/>
          <w:szCs w:val="20"/>
        </w:rPr>
        <w:t>Greve et al. (2017) reported the species as having 'Major' impacts following the EICAT workflow, but Michelle Greve updated this score to 'Moderate' [</w:t>
      </w:r>
      <w:proofErr w:type="spellStart"/>
      <w:r w:rsidR="00976FD5" w:rsidRPr="0070212A">
        <w:rPr>
          <w:rFonts w:ascii="Times New Roman" w:eastAsia="Times New Roman" w:hAnsi="Times New Roman" w:cs="Times New Roman"/>
          <w:b w:val="0"/>
          <w:bCs/>
          <w:sz w:val="20"/>
          <w:szCs w:val="20"/>
        </w:rPr>
        <w:t>Gremmen</w:t>
      </w:r>
      <w:proofErr w:type="spellEnd"/>
      <w:r w:rsidR="00976FD5" w:rsidRPr="0070212A">
        <w:rPr>
          <w:rFonts w:ascii="Times New Roman" w:eastAsia="Times New Roman" w:hAnsi="Times New Roman" w:cs="Times New Roman"/>
          <w:b w:val="0"/>
          <w:bCs/>
          <w:sz w:val="20"/>
          <w:szCs w:val="20"/>
        </w:rPr>
        <w:t xml:space="preserve"> (1975) stated that </w:t>
      </w:r>
      <w:r w:rsidR="00976FD5" w:rsidRPr="00E36C9E">
        <w:rPr>
          <w:rFonts w:ascii="Times New Roman" w:eastAsia="Times New Roman" w:hAnsi="Times New Roman" w:cs="Times New Roman"/>
          <w:b w:val="0"/>
          <w:bCs/>
          <w:i/>
          <w:iCs/>
          <w:sz w:val="20"/>
          <w:szCs w:val="20"/>
        </w:rPr>
        <w:t>E. repens</w:t>
      </w:r>
      <w:r w:rsidR="00976FD5" w:rsidRPr="0070212A">
        <w:rPr>
          <w:rFonts w:ascii="Times New Roman" w:eastAsia="Times New Roman" w:hAnsi="Times New Roman" w:cs="Times New Roman"/>
          <w:b w:val="0"/>
          <w:bCs/>
          <w:sz w:val="20"/>
          <w:szCs w:val="20"/>
        </w:rPr>
        <w:t xml:space="preserve"> dominated the vegetation of a stand, and Chown and Froneman (2008) stated that it can form dense stands that smother the native vegetation]. </w:t>
      </w:r>
      <w:r w:rsidR="00C6392C">
        <w:rPr>
          <w:rFonts w:ascii="Times New Roman" w:eastAsia="Times New Roman" w:hAnsi="Times New Roman" w:cs="Times New Roman"/>
          <w:b w:val="0"/>
          <w:bCs/>
          <w:sz w:val="20"/>
          <w:szCs w:val="20"/>
        </w:rPr>
        <w:t>Therefore, it was u</w:t>
      </w:r>
      <w:r w:rsidR="00976FD5" w:rsidRPr="0070212A">
        <w:rPr>
          <w:rFonts w:ascii="Times New Roman" w:eastAsia="Times New Roman" w:hAnsi="Times New Roman" w:cs="Times New Roman"/>
          <w:b w:val="0"/>
          <w:bCs/>
          <w:sz w:val="20"/>
          <w:szCs w:val="20"/>
        </w:rPr>
        <w:t>pdated from Invasion status Category C3 which means 'naturalised but not invasive', and Impact: Major</w:t>
      </w:r>
      <w:r w:rsidR="00B5000F">
        <w:rPr>
          <w:rFonts w:ascii="Times New Roman" w:eastAsia="Times New Roman" w:hAnsi="Times New Roman" w:cs="Times New Roman"/>
          <w:b w:val="0"/>
          <w:bCs/>
          <w:sz w:val="20"/>
          <w:szCs w:val="20"/>
        </w:rPr>
        <w:t xml:space="preserve"> </w:t>
      </w:r>
      <w:r w:rsidR="007D06DB">
        <w:rPr>
          <w:rFonts w:ascii="Times New Roman" w:eastAsia="Times New Roman" w:hAnsi="Times New Roman" w:cs="Times New Roman"/>
          <w:b w:val="0"/>
          <w:bCs/>
          <w:sz w:val="20"/>
          <w:szCs w:val="20"/>
        </w:rPr>
        <w:t>(</w:t>
      </w:r>
      <w:r w:rsidR="007D06DB" w:rsidRPr="007D06DB">
        <w:rPr>
          <w:rFonts w:ascii="Times New Roman" w:eastAsia="Times New Roman" w:hAnsi="Times New Roman" w:cs="Times New Roman"/>
          <w:b w:val="0"/>
          <w:bCs/>
          <w:sz w:val="20"/>
          <w:szCs w:val="20"/>
        </w:rPr>
        <w:t>causes changes in community composition, which are reversible if the alien species is removed</w:t>
      </w:r>
      <w:r w:rsidR="007D06DB">
        <w:rPr>
          <w:rFonts w:ascii="Times New Roman" w:eastAsia="Times New Roman" w:hAnsi="Times New Roman" w:cs="Times New Roman"/>
          <w:b w:val="0"/>
          <w:bCs/>
          <w:sz w:val="20"/>
          <w:szCs w:val="20"/>
        </w:rPr>
        <w:t>)</w:t>
      </w:r>
      <w:r w:rsidR="00976FD5" w:rsidRPr="0070212A">
        <w:rPr>
          <w:rFonts w:ascii="Times New Roman" w:eastAsia="Times New Roman" w:hAnsi="Times New Roman" w:cs="Times New Roman"/>
          <w:b w:val="0"/>
          <w:bCs/>
          <w:sz w:val="20"/>
          <w:szCs w:val="20"/>
        </w:rPr>
        <w:t>; to C1 (same meaning as C3) but Moderate impact</w:t>
      </w:r>
      <w:r w:rsidR="007D06DB">
        <w:rPr>
          <w:rFonts w:ascii="Times New Roman" w:eastAsia="Times New Roman" w:hAnsi="Times New Roman" w:cs="Times New Roman"/>
          <w:b w:val="0"/>
          <w:bCs/>
          <w:sz w:val="20"/>
          <w:szCs w:val="20"/>
        </w:rPr>
        <w:t xml:space="preserve"> (</w:t>
      </w:r>
      <w:r w:rsidR="00600B26" w:rsidRPr="00600B26">
        <w:rPr>
          <w:rFonts w:ascii="Times New Roman" w:eastAsia="Times New Roman" w:hAnsi="Times New Roman" w:cs="Times New Roman"/>
          <w:b w:val="0"/>
          <w:bCs/>
          <w:sz w:val="20"/>
          <w:szCs w:val="20"/>
        </w:rPr>
        <w:t xml:space="preserve">causes declines in population </w:t>
      </w:r>
      <w:r w:rsidR="00600B26" w:rsidRPr="00511E7E">
        <w:rPr>
          <w:rFonts w:ascii="Times New Roman" w:eastAsia="Times New Roman" w:hAnsi="Times New Roman" w:cs="Times New Roman"/>
          <w:b w:val="0"/>
          <w:bCs/>
          <w:sz w:val="20"/>
          <w:szCs w:val="20"/>
        </w:rPr>
        <w:t>densities, but no changes in community composition)</w:t>
      </w:r>
      <w:r w:rsidR="00976FD5" w:rsidRPr="00511E7E">
        <w:rPr>
          <w:rFonts w:ascii="Times New Roman" w:eastAsia="Times New Roman" w:hAnsi="Times New Roman" w:cs="Times New Roman"/>
          <w:b w:val="0"/>
          <w:bCs/>
          <w:sz w:val="20"/>
          <w:szCs w:val="20"/>
        </w:rPr>
        <w:t xml:space="preserve">. </w:t>
      </w:r>
      <w:r w:rsidR="009E7330" w:rsidRPr="00511E7E">
        <w:rPr>
          <w:rFonts w:ascii="Times New Roman" w:eastAsia="Times New Roman" w:hAnsi="Times New Roman" w:cs="Times New Roman"/>
          <w:b w:val="0"/>
          <w:bCs/>
          <w:sz w:val="20"/>
          <w:szCs w:val="20"/>
        </w:rPr>
        <w:t xml:space="preserve">This level of detail can be found in Appendix 1 (Species list), </w:t>
      </w:r>
      <w:r w:rsidR="0070212A" w:rsidRPr="00511E7E">
        <w:rPr>
          <w:rFonts w:ascii="Times New Roman" w:eastAsia="Times New Roman" w:hAnsi="Times New Roman" w:cs="Times New Roman"/>
          <w:b w:val="0"/>
          <w:bCs/>
          <w:sz w:val="20"/>
          <w:szCs w:val="20"/>
        </w:rPr>
        <w:t>column ‘</w:t>
      </w:r>
      <w:proofErr w:type="spellStart"/>
      <w:r w:rsidR="0070212A" w:rsidRPr="00511E7E">
        <w:rPr>
          <w:rFonts w:ascii="Times New Roman" w:eastAsia="Times New Roman" w:hAnsi="Times New Roman" w:cs="Times New Roman"/>
          <w:b w:val="0"/>
          <w:bCs/>
          <w:sz w:val="20"/>
          <w:szCs w:val="20"/>
        </w:rPr>
        <w:t>historyOfInvasion</w:t>
      </w:r>
      <w:proofErr w:type="spellEnd"/>
      <w:r w:rsidR="0070212A" w:rsidRPr="00511E7E">
        <w:rPr>
          <w:rFonts w:ascii="Times New Roman" w:eastAsia="Times New Roman" w:hAnsi="Times New Roman" w:cs="Times New Roman"/>
          <w:b w:val="0"/>
          <w:bCs/>
          <w:sz w:val="20"/>
          <w:szCs w:val="20"/>
        </w:rPr>
        <w:t xml:space="preserve">’. </w:t>
      </w:r>
    </w:p>
    <w:p w14:paraId="65C7F67D" w14:textId="77777777" w:rsidR="00BA78CD" w:rsidRDefault="00BA78CD" w:rsidP="00BA78CD">
      <w:pPr>
        <w:pStyle w:val="Heading2"/>
        <w:spacing w:line="360" w:lineRule="auto"/>
        <w:rPr>
          <w:rFonts w:ascii="Times New Roman" w:hAnsi="Times New Roman" w:cs="Times New Roman"/>
          <w:sz w:val="20"/>
          <w:szCs w:val="20"/>
        </w:rPr>
      </w:pPr>
      <w:r>
        <w:rPr>
          <w:rFonts w:ascii="Times New Roman" w:hAnsi="Times New Roman" w:cs="Times New Roman"/>
          <w:sz w:val="20"/>
          <w:szCs w:val="20"/>
        </w:rPr>
        <w:t>Sites</w:t>
      </w:r>
    </w:p>
    <w:p w14:paraId="575081B4" w14:textId="536F021D" w:rsidR="00BA78CD" w:rsidRDefault="00BA78CD" w:rsidP="00A129B4">
      <w:pPr>
        <w:pStyle w:val="Heading2"/>
        <w:rPr>
          <w:rFonts w:ascii="Times New Roman" w:hAnsi="Times New Roman" w:cs="Times New Roman"/>
          <w:sz w:val="20"/>
          <w:szCs w:val="20"/>
        </w:rPr>
      </w:pPr>
      <w:r w:rsidRPr="00045EF1">
        <w:rPr>
          <w:rFonts w:ascii="Times New Roman" w:hAnsi="Times New Roman" w:cs="Times New Roman"/>
          <w:sz w:val="20"/>
          <w:szCs w:val="20"/>
        </w:rPr>
        <w:t>Extent</w:t>
      </w:r>
      <w:r w:rsidR="008366F3" w:rsidRPr="008366F3">
        <w:rPr>
          <w:rFonts w:ascii="Times New Roman" w:hAnsi="Times New Roman" w:cs="Times New Roman"/>
          <w:sz w:val="20"/>
          <w:szCs w:val="20"/>
        </w:rPr>
        <w:t xml:space="preserve"> of area that suffers ‘Major’ impacts from invasions</w:t>
      </w:r>
      <w:r w:rsidR="008366F3">
        <w:rPr>
          <w:rFonts w:ascii="Times New Roman" w:hAnsi="Times New Roman" w:cs="Times New Roman"/>
          <w:sz w:val="20"/>
          <w:szCs w:val="20"/>
        </w:rPr>
        <w:t xml:space="preserve"> (indicator 3)</w:t>
      </w:r>
    </w:p>
    <w:p w14:paraId="4BB3A5BC" w14:textId="179F4C90" w:rsidR="008366F3" w:rsidRDefault="00640DCC" w:rsidP="001D1A5D">
      <w:pPr>
        <w:spacing w:line="240" w:lineRule="auto"/>
        <w:rPr>
          <w:rFonts w:ascii="Times New Roman" w:hAnsi="Times New Roman" w:cs="Times New Roman"/>
          <w:sz w:val="20"/>
          <w:szCs w:val="20"/>
          <w:lang w:val="en-ZA"/>
        </w:rPr>
      </w:pPr>
      <w:r>
        <w:rPr>
          <w:rFonts w:ascii="Times New Roman" w:hAnsi="Times New Roman" w:cs="Times New Roman"/>
          <w:sz w:val="20"/>
          <w:szCs w:val="20"/>
          <w:lang w:val="en-ZA"/>
        </w:rPr>
        <w:t>Al</w:t>
      </w:r>
      <w:r w:rsidR="008E3C09" w:rsidRPr="008E3C09">
        <w:rPr>
          <w:rFonts w:ascii="Times New Roman" w:hAnsi="Times New Roman" w:cs="Times New Roman"/>
          <w:sz w:val="20"/>
          <w:szCs w:val="20"/>
          <w:lang w:val="en-ZA"/>
        </w:rPr>
        <w:t xml:space="preserve">though </w:t>
      </w:r>
      <w:r w:rsidR="008E3C09">
        <w:rPr>
          <w:rFonts w:ascii="Times New Roman" w:hAnsi="Times New Roman" w:cs="Times New Roman"/>
          <w:sz w:val="20"/>
          <w:szCs w:val="20"/>
          <w:lang w:val="en-ZA"/>
        </w:rPr>
        <w:t xml:space="preserve">this indicator was not </w:t>
      </w:r>
      <w:r>
        <w:rPr>
          <w:rFonts w:ascii="Times New Roman" w:hAnsi="Times New Roman" w:cs="Times New Roman"/>
          <w:sz w:val="20"/>
          <w:szCs w:val="20"/>
          <w:lang w:val="en-ZA"/>
        </w:rPr>
        <w:t xml:space="preserve">directly </w:t>
      </w:r>
      <w:r w:rsidR="00A129B4">
        <w:rPr>
          <w:rFonts w:ascii="Times New Roman" w:hAnsi="Times New Roman" w:cs="Times New Roman"/>
          <w:sz w:val="20"/>
          <w:szCs w:val="20"/>
          <w:lang w:val="en-ZA"/>
        </w:rPr>
        <w:t xml:space="preserve">assessed, </w:t>
      </w:r>
      <w:r w:rsidR="00075D62">
        <w:rPr>
          <w:rFonts w:ascii="Times New Roman" w:hAnsi="Times New Roman" w:cs="Times New Roman"/>
          <w:sz w:val="20"/>
          <w:szCs w:val="20"/>
          <w:lang w:val="en-ZA"/>
        </w:rPr>
        <w:t>an</w:t>
      </w:r>
      <w:r w:rsidR="001F3DAF">
        <w:rPr>
          <w:rFonts w:ascii="Times New Roman" w:hAnsi="Times New Roman" w:cs="Times New Roman"/>
          <w:sz w:val="20"/>
          <w:szCs w:val="20"/>
          <w:lang w:val="en-ZA"/>
        </w:rPr>
        <w:t xml:space="preserve"> estimated area could be calculated </w:t>
      </w:r>
      <w:r w:rsidR="00313343">
        <w:rPr>
          <w:rFonts w:ascii="Times New Roman" w:hAnsi="Times New Roman" w:cs="Times New Roman"/>
          <w:sz w:val="20"/>
          <w:szCs w:val="20"/>
          <w:lang w:val="en-ZA"/>
        </w:rPr>
        <w:t>by</w:t>
      </w:r>
      <w:r w:rsidR="002C465F">
        <w:rPr>
          <w:rFonts w:ascii="Times New Roman" w:hAnsi="Times New Roman" w:cs="Times New Roman"/>
          <w:sz w:val="20"/>
          <w:szCs w:val="20"/>
          <w:lang w:val="en-ZA"/>
        </w:rPr>
        <w:t xml:space="preserve"> </w:t>
      </w:r>
      <w:r w:rsidR="00075D62">
        <w:rPr>
          <w:rFonts w:ascii="Times New Roman" w:hAnsi="Times New Roman" w:cs="Times New Roman"/>
          <w:sz w:val="20"/>
          <w:szCs w:val="20"/>
          <w:lang w:val="en-ZA"/>
        </w:rPr>
        <w:t>consider</w:t>
      </w:r>
      <w:r w:rsidR="00313343">
        <w:rPr>
          <w:rFonts w:ascii="Times New Roman" w:hAnsi="Times New Roman" w:cs="Times New Roman"/>
          <w:sz w:val="20"/>
          <w:szCs w:val="20"/>
          <w:lang w:val="en-ZA"/>
        </w:rPr>
        <w:t>ing</w:t>
      </w:r>
      <w:r w:rsidR="002C465F">
        <w:rPr>
          <w:rFonts w:ascii="Times New Roman" w:hAnsi="Times New Roman" w:cs="Times New Roman"/>
          <w:sz w:val="20"/>
          <w:szCs w:val="20"/>
          <w:lang w:val="en-ZA"/>
        </w:rPr>
        <w:t xml:space="preserve"> the four species with </w:t>
      </w:r>
      <w:r w:rsidR="00075D62">
        <w:rPr>
          <w:rFonts w:ascii="Times New Roman" w:hAnsi="Times New Roman" w:cs="Times New Roman"/>
          <w:sz w:val="20"/>
          <w:szCs w:val="20"/>
          <w:lang w:val="en-ZA"/>
        </w:rPr>
        <w:t>M</w:t>
      </w:r>
      <w:r w:rsidR="002C465F">
        <w:rPr>
          <w:rFonts w:ascii="Times New Roman" w:hAnsi="Times New Roman" w:cs="Times New Roman"/>
          <w:sz w:val="20"/>
          <w:szCs w:val="20"/>
          <w:lang w:val="en-ZA"/>
        </w:rPr>
        <w:t>assive</w:t>
      </w:r>
      <w:r w:rsidR="00075D62">
        <w:rPr>
          <w:rFonts w:ascii="Times New Roman" w:hAnsi="Times New Roman" w:cs="Times New Roman"/>
          <w:sz w:val="20"/>
          <w:szCs w:val="20"/>
          <w:lang w:val="en-ZA"/>
        </w:rPr>
        <w:t xml:space="preserve"> (house mouse)</w:t>
      </w:r>
      <w:r w:rsidR="002C465F">
        <w:rPr>
          <w:rFonts w:ascii="Times New Roman" w:hAnsi="Times New Roman" w:cs="Times New Roman"/>
          <w:sz w:val="20"/>
          <w:szCs w:val="20"/>
          <w:lang w:val="en-ZA"/>
        </w:rPr>
        <w:t xml:space="preserve"> and </w:t>
      </w:r>
      <w:r w:rsidR="00075D62">
        <w:rPr>
          <w:rFonts w:ascii="Times New Roman" w:hAnsi="Times New Roman" w:cs="Times New Roman"/>
          <w:sz w:val="20"/>
          <w:szCs w:val="20"/>
          <w:lang w:val="en-ZA"/>
        </w:rPr>
        <w:t>M</w:t>
      </w:r>
      <w:r w:rsidR="002C465F">
        <w:rPr>
          <w:rFonts w:ascii="Times New Roman" w:hAnsi="Times New Roman" w:cs="Times New Roman"/>
          <w:sz w:val="20"/>
          <w:szCs w:val="20"/>
          <w:lang w:val="en-ZA"/>
        </w:rPr>
        <w:t>ajor impacts (three invasive plants</w:t>
      </w:r>
      <w:r w:rsidR="00075D62">
        <w:rPr>
          <w:rFonts w:ascii="Times New Roman" w:hAnsi="Times New Roman" w:cs="Times New Roman"/>
          <w:sz w:val="20"/>
          <w:szCs w:val="20"/>
          <w:lang w:val="en-ZA"/>
        </w:rPr>
        <w:t xml:space="preserve">: </w:t>
      </w:r>
      <w:r w:rsidR="003A309B" w:rsidRPr="00984B0D">
        <w:rPr>
          <w:rFonts w:ascii="Times New Roman" w:hAnsi="Times New Roman" w:cs="Times New Roman"/>
          <w:i/>
          <w:iCs/>
          <w:sz w:val="20"/>
          <w:szCs w:val="20"/>
          <w:lang w:val="en-ZA"/>
        </w:rPr>
        <w:t>Agrostis stolonifera</w:t>
      </w:r>
      <w:r w:rsidR="003A309B" w:rsidRPr="003A309B">
        <w:rPr>
          <w:rFonts w:ascii="Times New Roman" w:hAnsi="Times New Roman" w:cs="Times New Roman"/>
          <w:sz w:val="20"/>
          <w:szCs w:val="20"/>
          <w:lang w:val="en-ZA"/>
        </w:rPr>
        <w:t xml:space="preserve">, </w:t>
      </w:r>
      <w:r w:rsidR="003A309B" w:rsidRPr="00984B0D">
        <w:rPr>
          <w:rFonts w:ascii="Times New Roman" w:hAnsi="Times New Roman" w:cs="Times New Roman"/>
          <w:i/>
          <w:iCs/>
          <w:sz w:val="20"/>
          <w:szCs w:val="20"/>
          <w:lang w:val="en-ZA"/>
        </w:rPr>
        <w:t>Festuca rubra</w:t>
      </w:r>
      <w:r w:rsidR="003A309B" w:rsidRPr="003A309B">
        <w:rPr>
          <w:rFonts w:ascii="Times New Roman" w:hAnsi="Times New Roman" w:cs="Times New Roman"/>
          <w:sz w:val="20"/>
          <w:szCs w:val="20"/>
          <w:lang w:val="en-ZA"/>
        </w:rPr>
        <w:t xml:space="preserve"> and </w:t>
      </w:r>
      <w:r w:rsidR="003A309B" w:rsidRPr="00984B0D">
        <w:rPr>
          <w:rFonts w:ascii="Times New Roman" w:hAnsi="Times New Roman" w:cs="Times New Roman"/>
          <w:i/>
          <w:iCs/>
          <w:sz w:val="20"/>
          <w:szCs w:val="20"/>
          <w:lang w:val="en-ZA"/>
        </w:rPr>
        <w:t>Sagina procumbens</w:t>
      </w:r>
      <w:r w:rsidR="002C465F">
        <w:rPr>
          <w:rFonts w:ascii="Times New Roman" w:hAnsi="Times New Roman" w:cs="Times New Roman"/>
          <w:sz w:val="20"/>
          <w:szCs w:val="20"/>
          <w:lang w:val="en-ZA"/>
        </w:rPr>
        <w:t xml:space="preserve">). </w:t>
      </w:r>
      <w:r w:rsidR="00656B58">
        <w:rPr>
          <w:rFonts w:ascii="Times New Roman" w:hAnsi="Times New Roman" w:cs="Times New Roman"/>
          <w:sz w:val="20"/>
          <w:szCs w:val="20"/>
          <w:lang w:val="en-ZA"/>
        </w:rPr>
        <w:t xml:space="preserve">The house mouse is </w:t>
      </w:r>
      <w:r w:rsidR="00313343">
        <w:rPr>
          <w:rFonts w:ascii="Times New Roman" w:hAnsi="Times New Roman" w:cs="Times New Roman"/>
          <w:sz w:val="20"/>
          <w:szCs w:val="20"/>
          <w:lang w:val="en-ZA"/>
        </w:rPr>
        <w:t xml:space="preserve">found across </w:t>
      </w:r>
      <w:r w:rsidR="00BC3B47">
        <w:rPr>
          <w:rFonts w:ascii="Times New Roman" w:hAnsi="Times New Roman" w:cs="Times New Roman"/>
          <w:sz w:val="20"/>
          <w:szCs w:val="20"/>
          <w:lang w:val="en-ZA"/>
        </w:rPr>
        <w:t>most</w:t>
      </w:r>
      <w:r w:rsidR="00656B58">
        <w:rPr>
          <w:rFonts w:ascii="Times New Roman" w:hAnsi="Times New Roman" w:cs="Times New Roman"/>
          <w:sz w:val="20"/>
          <w:szCs w:val="20"/>
          <w:lang w:val="en-ZA"/>
        </w:rPr>
        <w:t xml:space="preserve"> of Marion Island</w:t>
      </w:r>
      <w:r w:rsidR="00BC3B47">
        <w:rPr>
          <w:rFonts w:ascii="Times New Roman" w:hAnsi="Times New Roman" w:cs="Times New Roman"/>
          <w:sz w:val="20"/>
          <w:szCs w:val="20"/>
          <w:lang w:val="en-ZA"/>
        </w:rPr>
        <w:t>,</w:t>
      </w:r>
      <w:r w:rsidR="004E751C">
        <w:rPr>
          <w:rFonts w:ascii="Times New Roman" w:hAnsi="Times New Roman" w:cs="Times New Roman"/>
          <w:sz w:val="20"/>
          <w:szCs w:val="20"/>
          <w:lang w:val="en-ZA"/>
        </w:rPr>
        <w:t xml:space="preserve"> and i</w:t>
      </w:r>
      <w:r w:rsidR="009D627E">
        <w:rPr>
          <w:rFonts w:ascii="Times New Roman" w:hAnsi="Times New Roman" w:cs="Times New Roman"/>
          <w:sz w:val="20"/>
          <w:szCs w:val="20"/>
          <w:lang w:val="en-ZA"/>
        </w:rPr>
        <w:t>t</w:t>
      </w:r>
      <w:r w:rsidR="004E751C">
        <w:rPr>
          <w:rFonts w:ascii="Times New Roman" w:hAnsi="Times New Roman" w:cs="Times New Roman"/>
          <w:sz w:val="20"/>
          <w:szCs w:val="20"/>
          <w:lang w:val="en-ZA"/>
        </w:rPr>
        <w:t xml:space="preserve">s distribution </w:t>
      </w:r>
      <w:r w:rsidR="009D627E">
        <w:rPr>
          <w:rFonts w:ascii="Times New Roman" w:hAnsi="Times New Roman" w:cs="Times New Roman"/>
          <w:sz w:val="20"/>
          <w:szCs w:val="20"/>
          <w:lang w:val="en-ZA"/>
        </w:rPr>
        <w:t xml:space="preserve">partially </w:t>
      </w:r>
      <w:r w:rsidR="004E751C">
        <w:rPr>
          <w:rFonts w:ascii="Times New Roman" w:hAnsi="Times New Roman" w:cs="Times New Roman"/>
          <w:sz w:val="20"/>
          <w:szCs w:val="20"/>
          <w:lang w:val="en-ZA"/>
        </w:rPr>
        <w:t xml:space="preserve">overlaps with </w:t>
      </w:r>
      <w:r w:rsidR="00A72819">
        <w:rPr>
          <w:rFonts w:ascii="Times New Roman" w:hAnsi="Times New Roman" w:cs="Times New Roman"/>
          <w:sz w:val="20"/>
          <w:szCs w:val="20"/>
          <w:lang w:val="en-ZA"/>
        </w:rPr>
        <w:t xml:space="preserve">that of </w:t>
      </w:r>
      <w:r w:rsidR="004E751C">
        <w:rPr>
          <w:rFonts w:ascii="Times New Roman" w:hAnsi="Times New Roman" w:cs="Times New Roman"/>
          <w:sz w:val="20"/>
          <w:szCs w:val="20"/>
          <w:lang w:val="en-ZA"/>
        </w:rPr>
        <w:t>the widespread invasive plants</w:t>
      </w:r>
      <w:r w:rsidR="0085799C">
        <w:rPr>
          <w:rFonts w:ascii="Times New Roman" w:hAnsi="Times New Roman" w:cs="Times New Roman"/>
          <w:sz w:val="20"/>
          <w:szCs w:val="20"/>
          <w:lang w:val="en-ZA"/>
        </w:rPr>
        <w:t>.</w:t>
      </w:r>
      <w:r w:rsidR="004E751C">
        <w:rPr>
          <w:rFonts w:ascii="Times New Roman" w:hAnsi="Times New Roman" w:cs="Times New Roman"/>
          <w:sz w:val="20"/>
          <w:szCs w:val="20"/>
          <w:lang w:val="en-ZA"/>
        </w:rPr>
        <w:t xml:space="preserve"> </w:t>
      </w:r>
      <w:r w:rsidR="00A72819">
        <w:rPr>
          <w:rFonts w:ascii="Times New Roman" w:hAnsi="Times New Roman" w:cs="Times New Roman"/>
          <w:sz w:val="20"/>
          <w:szCs w:val="20"/>
          <w:lang w:val="en-ZA"/>
        </w:rPr>
        <w:t>However, t</w:t>
      </w:r>
      <w:r w:rsidR="00CD20FF">
        <w:rPr>
          <w:rFonts w:ascii="Times New Roman" w:hAnsi="Times New Roman" w:cs="Times New Roman"/>
          <w:sz w:val="20"/>
          <w:szCs w:val="20"/>
          <w:lang w:val="en-ZA"/>
        </w:rPr>
        <w:t xml:space="preserve">he </w:t>
      </w:r>
      <w:r w:rsidR="0085799C">
        <w:rPr>
          <w:rFonts w:ascii="Times New Roman" w:hAnsi="Times New Roman" w:cs="Times New Roman"/>
          <w:sz w:val="20"/>
          <w:szCs w:val="20"/>
          <w:lang w:val="en-ZA"/>
        </w:rPr>
        <w:t xml:space="preserve">extent of this </w:t>
      </w:r>
      <w:r w:rsidR="00CD20FF">
        <w:rPr>
          <w:rFonts w:ascii="Times New Roman" w:hAnsi="Times New Roman" w:cs="Times New Roman"/>
          <w:sz w:val="20"/>
          <w:szCs w:val="20"/>
          <w:lang w:val="en-ZA"/>
        </w:rPr>
        <w:t xml:space="preserve">overlap </w:t>
      </w:r>
      <w:r w:rsidR="00A72819">
        <w:rPr>
          <w:rFonts w:ascii="Times New Roman" w:hAnsi="Times New Roman" w:cs="Times New Roman"/>
          <w:sz w:val="20"/>
          <w:szCs w:val="20"/>
          <w:lang w:val="en-ZA"/>
        </w:rPr>
        <w:t>remain</w:t>
      </w:r>
      <w:r w:rsidR="00CD20FF">
        <w:rPr>
          <w:rFonts w:ascii="Times New Roman" w:hAnsi="Times New Roman" w:cs="Times New Roman"/>
          <w:sz w:val="20"/>
          <w:szCs w:val="20"/>
          <w:lang w:val="en-ZA"/>
        </w:rPr>
        <w:t xml:space="preserve">s unknown, as </w:t>
      </w:r>
      <w:r w:rsidR="0085799C">
        <w:rPr>
          <w:rFonts w:ascii="Times New Roman" w:hAnsi="Times New Roman" w:cs="Times New Roman"/>
          <w:sz w:val="20"/>
          <w:szCs w:val="20"/>
          <w:lang w:val="en-ZA"/>
        </w:rPr>
        <w:t xml:space="preserve">the </w:t>
      </w:r>
      <w:r w:rsidR="00CD20FF">
        <w:rPr>
          <w:rFonts w:ascii="Times New Roman" w:hAnsi="Times New Roman" w:cs="Times New Roman"/>
          <w:sz w:val="20"/>
          <w:szCs w:val="20"/>
          <w:lang w:val="en-ZA"/>
        </w:rPr>
        <w:t xml:space="preserve">last assessments were </w:t>
      </w:r>
      <w:r w:rsidR="00B80AAC">
        <w:rPr>
          <w:rFonts w:ascii="Times New Roman" w:hAnsi="Times New Roman" w:cs="Times New Roman"/>
          <w:sz w:val="20"/>
          <w:szCs w:val="20"/>
          <w:lang w:val="en-ZA"/>
        </w:rPr>
        <w:t>conduct</w:t>
      </w:r>
      <w:r w:rsidR="00CD20FF">
        <w:rPr>
          <w:rFonts w:ascii="Times New Roman" w:hAnsi="Times New Roman" w:cs="Times New Roman"/>
          <w:sz w:val="20"/>
          <w:szCs w:val="20"/>
          <w:lang w:val="en-ZA"/>
        </w:rPr>
        <w:t xml:space="preserve">ed </w:t>
      </w:r>
      <w:r w:rsidR="00B80AAC">
        <w:rPr>
          <w:rFonts w:ascii="Times New Roman" w:hAnsi="Times New Roman" w:cs="Times New Roman"/>
          <w:sz w:val="20"/>
          <w:szCs w:val="20"/>
          <w:lang w:val="en-ZA"/>
        </w:rPr>
        <w:t>over</w:t>
      </w:r>
      <w:r w:rsidR="00CD20FF">
        <w:rPr>
          <w:rFonts w:ascii="Times New Roman" w:hAnsi="Times New Roman" w:cs="Times New Roman"/>
          <w:sz w:val="20"/>
          <w:szCs w:val="20"/>
          <w:lang w:val="en-ZA"/>
        </w:rPr>
        <w:t xml:space="preserve"> a decade ago by le Roux et al</w:t>
      </w:r>
      <w:r w:rsidR="0085799C">
        <w:rPr>
          <w:rFonts w:ascii="Times New Roman" w:hAnsi="Times New Roman" w:cs="Times New Roman"/>
          <w:sz w:val="20"/>
          <w:szCs w:val="20"/>
          <w:lang w:val="en-ZA"/>
        </w:rPr>
        <w:t>.</w:t>
      </w:r>
      <w:r w:rsidR="00CD20FF">
        <w:rPr>
          <w:rFonts w:ascii="Times New Roman" w:hAnsi="Times New Roman" w:cs="Times New Roman"/>
          <w:sz w:val="20"/>
          <w:szCs w:val="20"/>
          <w:lang w:val="en-ZA"/>
        </w:rPr>
        <w:t xml:space="preserve"> (2013). </w:t>
      </w:r>
      <w:r w:rsidR="00B964B4">
        <w:rPr>
          <w:rFonts w:ascii="Times New Roman" w:hAnsi="Times New Roman" w:cs="Times New Roman"/>
          <w:sz w:val="20"/>
          <w:szCs w:val="20"/>
          <w:lang w:val="en-ZA"/>
        </w:rPr>
        <w:t>In co</w:t>
      </w:r>
      <w:r w:rsidR="00CD20FF">
        <w:rPr>
          <w:rFonts w:ascii="Times New Roman" w:hAnsi="Times New Roman" w:cs="Times New Roman"/>
          <w:sz w:val="20"/>
          <w:szCs w:val="20"/>
          <w:lang w:val="en-ZA"/>
        </w:rPr>
        <w:t>ntra</w:t>
      </w:r>
      <w:r w:rsidR="00B964B4">
        <w:rPr>
          <w:rFonts w:ascii="Times New Roman" w:hAnsi="Times New Roman" w:cs="Times New Roman"/>
          <w:sz w:val="20"/>
          <w:szCs w:val="20"/>
          <w:lang w:val="en-ZA"/>
        </w:rPr>
        <w:t>st</w:t>
      </w:r>
      <w:r w:rsidR="00CD20FF">
        <w:rPr>
          <w:rFonts w:ascii="Times New Roman" w:hAnsi="Times New Roman" w:cs="Times New Roman"/>
          <w:sz w:val="20"/>
          <w:szCs w:val="20"/>
          <w:lang w:val="en-ZA"/>
        </w:rPr>
        <w:t xml:space="preserve">, Prince Edward Island does not have </w:t>
      </w:r>
      <w:r w:rsidR="00F50003">
        <w:rPr>
          <w:rFonts w:ascii="Times New Roman" w:hAnsi="Times New Roman" w:cs="Times New Roman"/>
          <w:sz w:val="20"/>
          <w:szCs w:val="20"/>
          <w:lang w:val="en-ZA"/>
        </w:rPr>
        <w:t>a</w:t>
      </w:r>
      <w:r w:rsidR="00B964B4">
        <w:rPr>
          <w:rFonts w:ascii="Times New Roman" w:hAnsi="Times New Roman" w:cs="Times New Roman"/>
          <w:sz w:val="20"/>
          <w:szCs w:val="20"/>
          <w:lang w:val="en-ZA"/>
        </w:rPr>
        <w:t xml:space="preserve"> mous</w:t>
      </w:r>
      <w:r w:rsidR="00F50003">
        <w:rPr>
          <w:rFonts w:ascii="Times New Roman" w:hAnsi="Times New Roman" w:cs="Times New Roman"/>
          <w:sz w:val="20"/>
          <w:szCs w:val="20"/>
          <w:lang w:val="en-ZA"/>
        </w:rPr>
        <w:t>e</w:t>
      </w:r>
      <w:r w:rsidR="00B964B4">
        <w:rPr>
          <w:rFonts w:ascii="Times New Roman" w:hAnsi="Times New Roman" w:cs="Times New Roman"/>
          <w:sz w:val="20"/>
          <w:szCs w:val="20"/>
          <w:lang w:val="en-ZA"/>
        </w:rPr>
        <w:t xml:space="preserve"> invasion</w:t>
      </w:r>
      <w:r w:rsidR="00C15958">
        <w:rPr>
          <w:rFonts w:ascii="Times New Roman" w:hAnsi="Times New Roman" w:cs="Times New Roman"/>
          <w:sz w:val="20"/>
          <w:szCs w:val="20"/>
          <w:lang w:val="en-ZA"/>
        </w:rPr>
        <w:t xml:space="preserve">. For this island, </w:t>
      </w:r>
      <w:r w:rsidR="00E44247">
        <w:rPr>
          <w:rFonts w:ascii="Times New Roman" w:hAnsi="Times New Roman" w:cs="Times New Roman"/>
          <w:sz w:val="20"/>
          <w:szCs w:val="20"/>
          <w:lang w:val="en-ZA"/>
        </w:rPr>
        <w:t>th</w:t>
      </w:r>
      <w:r w:rsidR="00C15958">
        <w:rPr>
          <w:rFonts w:ascii="Times New Roman" w:hAnsi="Times New Roman" w:cs="Times New Roman"/>
          <w:sz w:val="20"/>
          <w:szCs w:val="20"/>
          <w:lang w:val="en-ZA"/>
        </w:rPr>
        <w:t>e</w:t>
      </w:r>
      <w:r w:rsidR="00E44247">
        <w:rPr>
          <w:rFonts w:ascii="Times New Roman" w:hAnsi="Times New Roman" w:cs="Times New Roman"/>
          <w:sz w:val="20"/>
          <w:szCs w:val="20"/>
          <w:lang w:val="en-ZA"/>
        </w:rPr>
        <w:t xml:space="preserve"> indicator </w:t>
      </w:r>
      <w:r w:rsidR="00F50003">
        <w:rPr>
          <w:rFonts w:ascii="Times New Roman" w:hAnsi="Times New Roman" w:cs="Times New Roman"/>
          <w:sz w:val="20"/>
          <w:szCs w:val="20"/>
          <w:lang w:val="en-ZA"/>
        </w:rPr>
        <w:t>c</w:t>
      </w:r>
      <w:r w:rsidR="00E44247">
        <w:rPr>
          <w:rFonts w:ascii="Times New Roman" w:hAnsi="Times New Roman" w:cs="Times New Roman"/>
          <w:sz w:val="20"/>
          <w:szCs w:val="20"/>
          <w:lang w:val="en-ZA"/>
        </w:rPr>
        <w:t>ould be calculated by assessing the area occupied by the three invasive plant species</w:t>
      </w:r>
      <w:r w:rsidR="00C15958">
        <w:rPr>
          <w:rFonts w:ascii="Times New Roman" w:hAnsi="Times New Roman" w:cs="Times New Roman"/>
          <w:sz w:val="20"/>
          <w:szCs w:val="20"/>
          <w:lang w:val="en-ZA"/>
        </w:rPr>
        <w:t xml:space="preserve">, which are the </w:t>
      </w:r>
      <w:r w:rsidR="00F50003">
        <w:rPr>
          <w:rFonts w:ascii="Times New Roman" w:hAnsi="Times New Roman" w:cs="Times New Roman"/>
          <w:sz w:val="20"/>
          <w:szCs w:val="20"/>
          <w:lang w:val="en-ZA"/>
        </w:rPr>
        <w:t xml:space="preserve">same </w:t>
      </w:r>
      <w:r w:rsidR="004A5F69">
        <w:rPr>
          <w:rFonts w:ascii="Times New Roman" w:hAnsi="Times New Roman" w:cs="Times New Roman"/>
          <w:sz w:val="20"/>
          <w:szCs w:val="20"/>
          <w:lang w:val="en-ZA"/>
        </w:rPr>
        <w:t xml:space="preserve">as those present </w:t>
      </w:r>
      <w:r w:rsidR="00F50003">
        <w:rPr>
          <w:rFonts w:ascii="Times New Roman" w:hAnsi="Times New Roman" w:cs="Times New Roman"/>
          <w:sz w:val="20"/>
          <w:szCs w:val="20"/>
          <w:lang w:val="en-ZA"/>
        </w:rPr>
        <w:t>on Marion</w:t>
      </w:r>
      <w:r w:rsidR="004A5F69">
        <w:rPr>
          <w:rFonts w:ascii="Times New Roman" w:hAnsi="Times New Roman" w:cs="Times New Roman"/>
          <w:sz w:val="20"/>
          <w:szCs w:val="20"/>
          <w:lang w:val="en-ZA"/>
        </w:rPr>
        <w:t xml:space="preserve"> Island</w:t>
      </w:r>
      <w:r w:rsidR="00E44247">
        <w:rPr>
          <w:rFonts w:ascii="Times New Roman" w:hAnsi="Times New Roman" w:cs="Times New Roman"/>
          <w:sz w:val="20"/>
          <w:szCs w:val="20"/>
          <w:lang w:val="en-ZA"/>
        </w:rPr>
        <w:t xml:space="preserve">. </w:t>
      </w:r>
    </w:p>
    <w:p w14:paraId="5DAA5413" w14:textId="77777777" w:rsidR="001F3DAF" w:rsidRPr="008E3C09" w:rsidRDefault="001F3DAF" w:rsidP="00A129B4">
      <w:pPr>
        <w:spacing w:line="240" w:lineRule="auto"/>
        <w:rPr>
          <w:rFonts w:ascii="Times New Roman" w:hAnsi="Times New Roman" w:cs="Times New Roman"/>
          <w:sz w:val="20"/>
          <w:szCs w:val="20"/>
          <w:lang w:val="en-ZA"/>
        </w:rPr>
      </w:pPr>
    </w:p>
    <w:p w14:paraId="55114D03" w14:textId="229611E9" w:rsidR="00511E7E" w:rsidRPr="007C732A" w:rsidRDefault="00511E7E" w:rsidP="00D442E7">
      <w:pPr>
        <w:pStyle w:val="Heading2"/>
        <w:spacing w:line="360" w:lineRule="auto"/>
        <w:rPr>
          <w:rFonts w:ascii="Times New Roman" w:eastAsia="Times New Roman" w:hAnsi="Times New Roman" w:cs="Times New Roman"/>
          <w:sz w:val="20"/>
          <w:szCs w:val="20"/>
        </w:rPr>
      </w:pPr>
      <w:r w:rsidRPr="007C732A">
        <w:rPr>
          <w:rFonts w:ascii="Times New Roman" w:hAnsi="Times New Roman" w:cs="Times New Roman"/>
          <w:sz w:val="20"/>
          <w:szCs w:val="20"/>
        </w:rPr>
        <w:lastRenderedPageBreak/>
        <w:t>Interventions</w:t>
      </w:r>
    </w:p>
    <w:p w14:paraId="235BE0C3" w14:textId="4AFE7E23" w:rsidR="00D442E7" w:rsidRDefault="00214FAD" w:rsidP="00E30086">
      <w:pPr>
        <w:spacing w:line="360" w:lineRule="auto"/>
        <w:rPr>
          <w:rFonts w:ascii="Times New Roman" w:hAnsi="Times New Roman" w:cs="Times New Roman"/>
          <w:sz w:val="20"/>
          <w:szCs w:val="20"/>
          <w:lang w:val="en-ZA"/>
        </w:rPr>
      </w:pPr>
      <w:r w:rsidRPr="002C2BD2">
        <w:rPr>
          <w:rFonts w:ascii="Times New Roman" w:hAnsi="Times New Roman" w:cs="Times New Roman"/>
          <w:i/>
          <w:iCs/>
          <w:sz w:val="20"/>
          <w:szCs w:val="20"/>
          <w:lang w:val="en-ZA"/>
        </w:rPr>
        <w:t>Money spent</w:t>
      </w:r>
      <w:r w:rsidR="0017662C">
        <w:rPr>
          <w:rFonts w:ascii="Times New Roman" w:hAnsi="Times New Roman" w:cs="Times New Roman"/>
          <w:sz w:val="20"/>
          <w:szCs w:val="20"/>
          <w:lang w:val="en-ZA"/>
        </w:rPr>
        <w:t xml:space="preserve"> (indicator </w:t>
      </w:r>
      <w:r w:rsidR="00E30086">
        <w:rPr>
          <w:rFonts w:ascii="Times New Roman" w:hAnsi="Times New Roman" w:cs="Times New Roman"/>
          <w:sz w:val="20"/>
          <w:szCs w:val="20"/>
          <w:lang w:val="en-ZA"/>
        </w:rPr>
        <w:t>4.2): a</w:t>
      </w:r>
      <w:r w:rsidRPr="00214FAD">
        <w:rPr>
          <w:rFonts w:ascii="Times New Roman" w:hAnsi="Times New Roman" w:cs="Times New Roman"/>
          <w:sz w:val="20"/>
          <w:szCs w:val="20"/>
          <w:lang w:val="en-ZA"/>
        </w:rPr>
        <w:t xml:space="preserve"> budget was provided by Debbie Muir with expenses on herbicide, pesticide and personal protective equipment (PPE). However, the time invested by the ECOs on managing invasive species has not been included in the calculations of money spent, as there was no information provided on either the salary of the ECOs or how many hours per month or year they invest in controlling invasive taxa. </w:t>
      </w:r>
    </w:p>
    <w:p w14:paraId="273D9D88" w14:textId="77777777" w:rsidR="00F77C93" w:rsidRPr="00B05A9C" w:rsidRDefault="00F77C93" w:rsidP="00214FAD">
      <w:pPr>
        <w:rPr>
          <w:rFonts w:ascii="Times New Roman" w:hAnsi="Times New Roman" w:cs="Times New Roman"/>
          <w:b/>
          <w:bCs/>
          <w:sz w:val="20"/>
          <w:szCs w:val="20"/>
          <w:lang w:val="en-ZA"/>
        </w:rPr>
      </w:pPr>
    </w:p>
    <w:p w14:paraId="51F72211" w14:textId="6C338850" w:rsidR="00EC73E9" w:rsidRPr="007C732A" w:rsidRDefault="00511E7E" w:rsidP="00214FAD">
      <w:pPr>
        <w:rPr>
          <w:rFonts w:ascii="Times New Roman" w:hAnsi="Times New Roman" w:cs="Times New Roman"/>
          <w:b/>
          <w:bCs/>
          <w:sz w:val="20"/>
          <w:szCs w:val="20"/>
          <w:lang w:val="en-ZA"/>
        </w:rPr>
      </w:pPr>
      <w:r w:rsidRPr="00B05A9C">
        <w:rPr>
          <w:rFonts w:ascii="Times New Roman" w:hAnsi="Times New Roman" w:cs="Times New Roman"/>
          <w:b/>
          <w:bCs/>
          <w:sz w:val="20"/>
          <w:szCs w:val="20"/>
          <w:lang w:val="en-ZA"/>
        </w:rPr>
        <w:t xml:space="preserve">Effectiveness </w:t>
      </w:r>
      <w:r w:rsidR="000612B7" w:rsidRPr="00B05A9C">
        <w:rPr>
          <w:rFonts w:ascii="Times New Roman" w:hAnsi="Times New Roman" w:cs="Times New Roman"/>
          <w:b/>
          <w:bCs/>
          <w:sz w:val="20"/>
          <w:szCs w:val="20"/>
          <w:lang w:val="en-ZA"/>
        </w:rPr>
        <w:t>of species treat</w:t>
      </w:r>
      <w:r w:rsidR="004A5163" w:rsidRPr="00B05A9C">
        <w:rPr>
          <w:rFonts w:ascii="Times New Roman" w:hAnsi="Times New Roman" w:cs="Times New Roman"/>
          <w:b/>
          <w:bCs/>
          <w:sz w:val="20"/>
          <w:szCs w:val="20"/>
          <w:lang w:val="en-ZA"/>
        </w:rPr>
        <w:t>ments</w:t>
      </w:r>
      <w:r w:rsidR="00521851" w:rsidRPr="007C732A">
        <w:rPr>
          <w:rFonts w:ascii="Times New Roman" w:hAnsi="Times New Roman" w:cs="Times New Roman"/>
          <w:b/>
          <w:bCs/>
          <w:sz w:val="20"/>
          <w:szCs w:val="20"/>
          <w:lang w:val="en-ZA"/>
        </w:rPr>
        <w:t xml:space="preserve"> (indicator </w:t>
      </w:r>
      <w:r w:rsidR="004A5163" w:rsidRPr="007C732A">
        <w:rPr>
          <w:rFonts w:ascii="Times New Roman" w:hAnsi="Times New Roman" w:cs="Times New Roman"/>
          <w:b/>
          <w:bCs/>
          <w:sz w:val="20"/>
          <w:szCs w:val="20"/>
          <w:lang w:val="en-ZA"/>
        </w:rPr>
        <w:t>4.8)</w:t>
      </w:r>
    </w:p>
    <w:p w14:paraId="32F45AAF" w14:textId="692BD77F" w:rsidR="00364BB4" w:rsidRDefault="00511E7E" w:rsidP="001A5ABF">
      <w:pPr>
        <w:spacing w:line="360" w:lineRule="auto"/>
        <w:rPr>
          <w:rFonts w:ascii="Times New Roman" w:hAnsi="Times New Roman" w:cs="Times New Roman"/>
          <w:sz w:val="20"/>
          <w:szCs w:val="20"/>
          <w:lang w:val="en-ZA"/>
        </w:rPr>
      </w:pPr>
      <w:r w:rsidRPr="00511E7E">
        <w:rPr>
          <w:rFonts w:ascii="Times New Roman" w:hAnsi="Times New Roman" w:cs="Times New Roman"/>
          <w:sz w:val="20"/>
          <w:szCs w:val="20"/>
          <w:lang w:val="en-ZA"/>
        </w:rPr>
        <w:t>A ‘First party assessment’ is performed by the ECOs (they assess their own work), and they produce one report every year where they report on their management actions and findings.</w:t>
      </w:r>
      <w:r w:rsidR="00EC73E9">
        <w:rPr>
          <w:rFonts w:ascii="Times New Roman" w:hAnsi="Times New Roman" w:cs="Times New Roman"/>
          <w:sz w:val="20"/>
          <w:szCs w:val="20"/>
          <w:lang w:val="en-ZA"/>
        </w:rPr>
        <w:t xml:space="preserve"> </w:t>
      </w:r>
      <w:r w:rsidRPr="00511E7E">
        <w:rPr>
          <w:rFonts w:ascii="Times New Roman" w:hAnsi="Times New Roman" w:cs="Times New Roman"/>
          <w:sz w:val="20"/>
          <w:szCs w:val="20"/>
          <w:lang w:val="en-ZA"/>
        </w:rPr>
        <w:t>Then, a ‘Second party assessment’ occurs every three years to perform quality assurance: a DFFE member goes to the island and checks that everything is properly used/done. This assessment involves field assessments and checking ECOs' reports.</w:t>
      </w:r>
    </w:p>
    <w:p w14:paraId="429FD6E8" w14:textId="77777777" w:rsidR="00EC73E9" w:rsidRPr="00EC73E9" w:rsidRDefault="00EC73E9" w:rsidP="00735FF5">
      <w:pPr>
        <w:rPr>
          <w:rFonts w:ascii="Times New Roman" w:hAnsi="Times New Roman" w:cs="Times New Roman"/>
          <w:sz w:val="20"/>
          <w:szCs w:val="20"/>
          <w:lang w:val="en-ZA"/>
        </w:rPr>
      </w:pPr>
    </w:p>
    <w:p w14:paraId="00000059" w14:textId="52132F07" w:rsidR="00073819" w:rsidRDefault="008E351B">
      <w:pPr>
        <w:pStyle w:val="Heading2"/>
      </w:pPr>
      <w:bookmarkStart w:id="4" w:name="_heading=h.ucil8b8yfnyz" w:colFirst="0" w:colLast="0"/>
      <w:bookmarkEnd w:id="4"/>
      <w:r>
        <w:rPr>
          <w:rFonts w:ascii="Times New Roman" w:eastAsia="Times New Roman" w:hAnsi="Times New Roman" w:cs="Times New Roman"/>
          <w:sz w:val="20"/>
          <w:szCs w:val="20"/>
        </w:rPr>
        <w:t xml:space="preserve">S3 </w:t>
      </w:r>
      <w:r w:rsidRPr="00511E7E">
        <w:rPr>
          <w:rFonts w:ascii="Times New Roman" w:eastAsia="Times New Roman" w:hAnsi="Times New Roman" w:cs="Times New Roman"/>
          <w:sz w:val="20"/>
          <w:szCs w:val="20"/>
        </w:rPr>
        <w:t>Supplementary material</w:t>
      </w:r>
      <w:r>
        <w:rPr>
          <w:rFonts w:ascii="Times New Roman" w:eastAsia="Times New Roman" w:hAnsi="Times New Roman" w:cs="Times New Roman"/>
          <w:sz w:val="20"/>
          <w:szCs w:val="20"/>
        </w:rPr>
        <w:t xml:space="preserve"> for Results</w:t>
      </w:r>
    </w:p>
    <w:p w14:paraId="0000005A" w14:textId="78603CDD" w:rsidR="00073819" w:rsidRDefault="0099474B">
      <w:pPr>
        <w:pStyle w:val="Heading2"/>
        <w:rPr>
          <w:rFonts w:ascii="Times New Roman" w:eastAsia="Times New Roman" w:hAnsi="Times New Roman" w:cs="Times New Roman"/>
          <w:b w:val="0"/>
          <w:sz w:val="20"/>
          <w:szCs w:val="20"/>
        </w:rPr>
      </w:pPr>
      <w:r>
        <w:rPr>
          <w:rFonts w:ascii="Times New Roman" w:eastAsia="Times New Roman" w:hAnsi="Times New Roman" w:cs="Times New Roman"/>
          <w:sz w:val="20"/>
          <w:szCs w:val="20"/>
        </w:rPr>
        <w:t>Pathways</w:t>
      </w:r>
      <w:r w:rsidR="00125CBB">
        <w:rPr>
          <w:rFonts w:ascii="Times New Roman" w:eastAsia="Times New Roman" w:hAnsi="Times New Roman" w:cs="Times New Roman"/>
          <w:sz w:val="20"/>
          <w:szCs w:val="20"/>
        </w:rPr>
        <w:t xml:space="preserve"> (indicators 1.1 - 1.4)</w:t>
      </w:r>
    </w:p>
    <w:p w14:paraId="0000005B" w14:textId="25BB1195" w:rsidR="00073819" w:rsidRDefault="0099474B" w:rsidP="008E351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From the 1700s, Marion Island was visited sporadically by sealers who introduced species either intentionally (e.g., the trout as release in nature - fishery in the wild) or accidentally (e.g., the house mouse as transport stowaway - hitchhikers on a ship, Table S2</w:t>
      </w:r>
      <w:r w:rsidR="002A3545">
        <w:rPr>
          <w:rFonts w:ascii="Times New Roman" w:eastAsia="Times New Roman" w:hAnsi="Times New Roman" w:cs="Times New Roman"/>
          <w:sz w:val="20"/>
          <w:szCs w:val="20"/>
        </w:rPr>
        <w:t xml:space="preserve">; and see Table S3 for criteria used to determine </w:t>
      </w:r>
      <w:r w:rsidR="00FF7E31">
        <w:rPr>
          <w:rFonts w:ascii="Times New Roman" w:eastAsia="Times New Roman" w:hAnsi="Times New Roman" w:cs="Times New Roman"/>
          <w:sz w:val="20"/>
          <w:szCs w:val="20"/>
        </w:rPr>
        <w:t xml:space="preserve">pathway </w:t>
      </w:r>
      <w:r w:rsidR="002A3545">
        <w:rPr>
          <w:rFonts w:ascii="Times New Roman" w:eastAsia="Times New Roman" w:hAnsi="Times New Roman" w:cs="Times New Roman"/>
          <w:sz w:val="20"/>
          <w:szCs w:val="20"/>
        </w:rPr>
        <w:t>prominence</w:t>
      </w:r>
      <w:r>
        <w:rPr>
          <w:rFonts w:ascii="Times New Roman" w:eastAsia="Times New Roman" w:hAnsi="Times New Roman" w:cs="Times New Roman"/>
          <w:sz w:val="20"/>
          <w:szCs w:val="20"/>
        </w:rPr>
        <w:t xml:space="preserve">). In 1948 the islands were annexed by South Africa, which used the islands for scientific research and environmental monitoring. The first biosecurity measures were </w:t>
      </w:r>
      <w:r w:rsidR="004159CB">
        <w:rPr>
          <w:rFonts w:ascii="Times New Roman" w:eastAsia="Times New Roman" w:hAnsi="Times New Roman" w:cs="Times New Roman"/>
          <w:sz w:val="20"/>
          <w:szCs w:val="20"/>
        </w:rPr>
        <w:t xml:space="preserve">officially </w:t>
      </w:r>
      <w:r>
        <w:rPr>
          <w:rFonts w:ascii="Times New Roman" w:eastAsia="Times New Roman" w:hAnsi="Times New Roman" w:cs="Times New Roman"/>
          <w:sz w:val="20"/>
          <w:szCs w:val="20"/>
        </w:rPr>
        <w:t>implemented in 1996 when the first management plan for the islands was produced</w:t>
      </w:r>
      <w:r w:rsidR="004159CB">
        <w:rPr>
          <w:rFonts w:ascii="Times New Roman" w:eastAsia="Times New Roman" w:hAnsi="Times New Roman" w:cs="Times New Roman"/>
          <w:sz w:val="20"/>
          <w:szCs w:val="20"/>
        </w:rPr>
        <w:t xml:space="preserve">, although some actions had been implemented </w:t>
      </w:r>
      <w:r w:rsidR="004159CB" w:rsidRPr="004159CB">
        <w:rPr>
          <w:rFonts w:ascii="Times New Roman" w:eastAsia="Times New Roman" w:hAnsi="Times New Roman" w:cs="Times New Roman"/>
          <w:sz w:val="20"/>
          <w:szCs w:val="20"/>
        </w:rPr>
        <w:t xml:space="preserve">since the 1980s </w:t>
      </w:r>
      <w:r w:rsidR="004159CB">
        <w:rPr>
          <w:rFonts w:ascii="Times New Roman" w:eastAsia="Times New Roman" w:hAnsi="Times New Roman" w:cs="Times New Roman"/>
          <w:sz w:val="20"/>
          <w:szCs w:val="20"/>
        </w:rPr>
        <w:t>through a</w:t>
      </w:r>
      <w:r w:rsidR="004159CB" w:rsidRPr="004159CB">
        <w:rPr>
          <w:rFonts w:ascii="Times New Roman" w:eastAsia="Times New Roman" w:hAnsi="Times New Roman" w:cs="Times New Roman"/>
          <w:sz w:val="20"/>
          <w:szCs w:val="20"/>
        </w:rPr>
        <w:t>n informal code of conduct</w:t>
      </w:r>
      <w:r>
        <w:rPr>
          <w:rFonts w:ascii="Times New Roman" w:eastAsia="Times New Roman" w:hAnsi="Times New Roman" w:cs="Times New Roman"/>
          <w:sz w:val="20"/>
          <w:szCs w:val="20"/>
        </w:rPr>
        <w:t>. Opportunities for introductions have, therefore, changed markedly over time (Table S</w:t>
      </w:r>
      <w:r w:rsidR="00B40547">
        <w:rPr>
          <w:rFonts w:ascii="Times New Roman" w:eastAsia="Times New Roman" w:hAnsi="Times New Roman" w:cs="Times New Roman"/>
          <w:sz w:val="20"/>
          <w:szCs w:val="20"/>
        </w:rPr>
        <w:t>4</w:t>
      </w:r>
      <w:r>
        <w:rPr>
          <w:rFonts w:ascii="Times New Roman" w:eastAsia="Times New Roman" w:hAnsi="Times New Roman" w:cs="Times New Roman"/>
          <w:sz w:val="20"/>
          <w:szCs w:val="20"/>
        </w:rPr>
        <w:t>). The volume of food and other cargo transported to the Prince Edward Islands (PEIs) has also been variable over time, although no long-term pattern is apparent (Fig. S1).</w:t>
      </w:r>
      <w:r w:rsidR="00ED6BE4">
        <w:rPr>
          <w:rFonts w:ascii="Times New Roman" w:eastAsia="Times New Roman" w:hAnsi="Times New Roman" w:cs="Times New Roman"/>
          <w:sz w:val="20"/>
          <w:szCs w:val="20"/>
        </w:rPr>
        <w:t xml:space="preserve"> </w:t>
      </w:r>
      <w:r w:rsidR="00840A79" w:rsidRPr="002123D5">
        <w:rPr>
          <w:rFonts w:ascii="Times New Roman" w:eastAsia="Times New Roman" w:hAnsi="Times New Roman" w:cs="Times New Roman"/>
          <w:sz w:val="20"/>
          <w:szCs w:val="20"/>
        </w:rPr>
        <w:t>No pathways were considered “major” because, in all, no pathways to the islands are prominent due to low overall visits to the islands (Greve et al. 2017).</w:t>
      </w:r>
      <w:r w:rsidR="0038740C">
        <w:rPr>
          <w:rFonts w:ascii="Times New Roman" w:eastAsia="Times New Roman" w:hAnsi="Times New Roman" w:cs="Times New Roman"/>
          <w:sz w:val="20"/>
          <w:szCs w:val="20"/>
        </w:rPr>
        <w:t xml:space="preserve"> </w:t>
      </w:r>
      <w:r w:rsidR="00F143B4" w:rsidRPr="00F143B4">
        <w:rPr>
          <w:rFonts w:ascii="Times New Roman" w:eastAsia="Times New Roman" w:hAnsi="Times New Roman" w:cs="Times New Roman"/>
          <w:sz w:val="20"/>
          <w:szCs w:val="20"/>
        </w:rPr>
        <w:t xml:space="preserve">Out of 44 pathways, only three are present within the islands (Table </w:t>
      </w:r>
      <w:r w:rsidR="00F143B4">
        <w:rPr>
          <w:rFonts w:ascii="Times New Roman" w:eastAsia="Times New Roman" w:hAnsi="Times New Roman" w:cs="Times New Roman"/>
          <w:sz w:val="20"/>
          <w:szCs w:val="20"/>
        </w:rPr>
        <w:t>S</w:t>
      </w:r>
      <w:r w:rsidR="00897A8D">
        <w:rPr>
          <w:rFonts w:ascii="Times New Roman" w:eastAsia="Times New Roman" w:hAnsi="Times New Roman" w:cs="Times New Roman"/>
          <w:sz w:val="20"/>
          <w:szCs w:val="20"/>
        </w:rPr>
        <w:t>5</w:t>
      </w:r>
      <w:r w:rsidR="00F143B4" w:rsidRPr="00F143B4">
        <w:rPr>
          <w:rFonts w:ascii="Times New Roman" w:eastAsia="Times New Roman" w:hAnsi="Times New Roman" w:cs="Times New Roman"/>
          <w:sz w:val="20"/>
          <w:szCs w:val="20"/>
        </w:rPr>
        <w:t>).</w:t>
      </w:r>
    </w:p>
    <w:p w14:paraId="79EF9324" w14:textId="36FF3573" w:rsidR="0029239C" w:rsidRDefault="006301CA" w:rsidP="0029239C">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w:t>
      </w:r>
      <w:r w:rsidR="002C4091">
        <w:rPr>
          <w:rFonts w:ascii="Times New Roman" w:eastAsia="Times New Roman" w:hAnsi="Times New Roman" w:cs="Times New Roman"/>
          <w:sz w:val="20"/>
          <w:szCs w:val="20"/>
        </w:rPr>
        <w:t xml:space="preserve">e </w:t>
      </w:r>
      <w:r>
        <w:rPr>
          <w:rFonts w:ascii="Times New Roman" w:eastAsia="Times New Roman" w:hAnsi="Times New Roman" w:cs="Times New Roman"/>
          <w:sz w:val="20"/>
          <w:szCs w:val="20"/>
        </w:rPr>
        <w:t>specified</w:t>
      </w:r>
      <w:r w:rsidR="002C4091">
        <w:rPr>
          <w:rFonts w:ascii="Times New Roman" w:eastAsia="Times New Roman" w:hAnsi="Times New Roman" w:cs="Times New Roman"/>
          <w:sz w:val="20"/>
          <w:szCs w:val="20"/>
        </w:rPr>
        <w:t xml:space="preserve"> a confidence level to the scoring of </w:t>
      </w:r>
      <w:r w:rsidR="003372AC">
        <w:rPr>
          <w:rFonts w:ascii="Times New Roman" w:eastAsia="Times New Roman" w:hAnsi="Times New Roman" w:cs="Times New Roman"/>
          <w:sz w:val="20"/>
          <w:szCs w:val="20"/>
        </w:rPr>
        <w:t xml:space="preserve">introduction </w:t>
      </w:r>
      <w:r w:rsidR="002C4091">
        <w:rPr>
          <w:rFonts w:ascii="Times New Roman" w:eastAsia="Times New Roman" w:hAnsi="Times New Roman" w:cs="Times New Roman"/>
          <w:sz w:val="20"/>
          <w:szCs w:val="20"/>
        </w:rPr>
        <w:t>pathway prominence</w:t>
      </w:r>
      <w:r w:rsidR="003372AC">
        <w:rPr>
          <w:rFonts w:ascii="Times New Roman" w:eastAsia="Times New Roman" w:hAnsi="Times New Roman" w:cs="Times New Roman"/>
          <w:sz w:val="20"/>
          <w:szCs w:val="20"/>
        </w:rPr>
        <w:t xml:space="preserve"> </w:t>
      </w:r>
      <w:r w:rsidR="0029239C" w:rsidRPr="0029239C">
        <w:rPr>
          <w:rFonts w:ascii="Times New Roman" w:eastAsia="Times New Roman" w:hAnsi="Times New Roman" w:cs="Times New Roman"/>
          <w:sz w:val="20"/>
          <w:szCs w:val="20"/>
        </w:rPr>
        <w:t>acc</w:t>
      </w:r>
      <w:r w:rsidR="003372AC">
        <w:rPr>
          <w:rFonts w:ascii="Times New Roman" w:eastAsia="Times New Roman" w:hAnsi="Times New Roman" w:cs="Times New Roman"/>
          <w:sz w:val="20"/>
          <w:szCs w:val="20"/>
        </w:rPr>
        <w:t>o</w:t>
      </w:r>
      <w:r w:rsidR="0029239C" w:rsidRPr="0029239C">
        <w:rPr>
          <w:rFonts w:ascii="Times New Roman" w:eastAsia="Times New Roman" w:hAnsi="Times New Roman" w:cs="Times New Roman"/>
          <w:sz w:val="20"/>
          <w:szCs w:val="20"/>
        </w:rPr>
        <w:t>rding to Wilson</w:t>
      </w:r>
      <w:r w:rsidR="00622E0F">
        <w:rPr>
          <w:rFonts w:ascii="Times New Roman" w:eastAsia="Times New Roman" w:hAnsi="Times New Roman" w:cs="Times New Roman"/>
          <w:sz w:val="20"/>
          <w:szCs w:val="20"/>
        </w:rPr>
        <w:t xml:space="preserve"> et al. (2018)</w:t>
      </w:r>
      <w:r w:rsidR="0007153B">
        <w:rPr>
          <w:rFonts w:ascii="Times New Roman" w:eastAsia="Times New Roman" w:hAnsi="Times New Roman" w:cs="Times New Roman"/>
          <w:sz w:val="20"/>
          <w:szCs w:val="20"/>
        </w:rPr>
        <w:t xml:space="preserve"> (see Table 2)</w:t>
      </w:r>
      <w:r w:rsidR="0029239C" w:rsidRPr="0029239C">
        <w:rPr>
          <w:rFonts w:ascii="Times New Roman" w:eastAsia="Times New Roman" w:hAnsi="Times New Roman" w:cs="Times New Roman"/>
          <w:sz w:val="20"/>
          <w:szCs w:val="20"/>
        </w:rPr>
        <w:t xml:space="preserve">. </w:t>
      </w:r>
      <w:r w:rsidR="00C171B1">
        <w:rPr>
          <w:rFonts w:ascii="Times New Roman" w:eastAsia="Times New Roman" w:hAnsi="Times New Roman" w:cs="Times New Roman"/>
          <w:sz w:val="20"/>
          <w:szCs w:val="20"/>
        </w:rPr>
        <w:t xml:space="preserve">We </w:t>
      </w:r>
      <w:r w:rsidR="0029239C" w:rsidRPr="0029239C">
        <w:rPr>
          <w:rFonts w:ascii="Times New Roman" w:eastAsia="Times New Roman" w:hAnsi="Times New Roman" w:cs="Times New Roman"/>
          <w:sz w:val="20"/>
          <w:szCs w:val="20"/>
        </w:rPr>
        <w:t xml:space="preserve">have scored every pathway that is now prohibited as </w:t>
      </w:r>
      <w:r w:rsidR="00C171B1">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high</w:t>
      </w:r>
      <w:r w:rsidR="00C171B1">
        <w:rPr>
          <w:rFonts w:ascii="Times New Roman" w:eastAsia="Times New Roman" w:hAnsi="Times New Roman" w:cs="Times New Roman"/>
          <w:sz w:val="20"/>
          <w:szCs w:val="20"/>
        </w:rPr>
        <w:t>’</w:t>
      </w:r>
      <w:r w:rsidR="00DA5D70">
        <w:rPr>
          <w:rFonts w:ascii="Times New Roman" w:eastAsia="Times New Roman" w:hAnsi="Times New Roman" w:cs="Times New Roman"/>
          <w:sz w:val="20"/>
          <w:szCs w:val="20"/>
        </w:rPr>
        <w:t xml:space="preserve"> </w:t>
      </w:r>
      <w:r w:rsidR="00C171B1">
        <w:rPr>
          <w:rFonts w:ascii="Times New Roman" w:eastAsia="Times New Roman" w:hAnsi="Times New Roman" w:cs="Times New Roman"/>
          <w:sz w:val="20"/>
          <w:szCs w:val="20"/>
        </w:rPr>
        <w:t xml:space="preserve">confidence </w:t>
      </w:r>
      <w:r w:rsidR="0007153B">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i</w:t>
      </w:r>
      <w:r w:rsidR="00DA5D70">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e</w:t>
      </w:r>
      <w:r w:rsidR="00DA5D70">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 xml:space="preserve"> deliberate introductions), those for which we have volume/numbers of goods/people as </w:t>
      </w:r>
      <w:r w:rsidR="003B4F52">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medium</w:t>
      </w:r>
      <w:r w:rsidR="003B4F52">
        <w:rPr>
          <w:rFonts w:ascii="Times New Roman" w:eastAsia="Times New Roman" w:hAnsi="Times New Roman" w:cs="Times New Roman"/>
          <w:sz w:val="20"/>
          <w:szCs w:val="20"/>
        </w:rPr>
        <w:t>’</w:t>
      </w:r>
      <w:r w:rsidR="0029239C" w:rsidRPr="0029239C">
        <w:rPr>
          <w:rFonts w:ascii="Times New Roman" w:eastAsia="Times New Roman" w:hAnsi="Times New Roman" w:cs="Times New Roman"/>
          <w:sz w:val="20"/>
          <w:szCs w:val="20"/>
        </w:rPr>
        <w:t xml:space="preserve">, and those </w:t>
      </w:r>
      <w:r w:rsidR="003B4F52">
        <w:rPr>
          <w:rFonts w:ascii="Times New Roman" w:eastAsia="Times New Roman" w:hAnsi="Times New Roman" w:cs="Times New Roman"/>
          <w:sz w:val="20"/>
          <w:szCs w:val="20"/>
        </w:rPr>
        <w:t xml:space="preserve">for which </w:t>
      </w:r>
      <w:r w:rsidR="0029239C" w:rsidRPr="0029239C">
        <w:rPr>
          <w:rFonts w:ascii="Times New Roman" w:eastAsia="Times New Roman" w:hAnsi="Times New Roman" w:cs="Times New Roman"/>
          <w:sz w:val="20"/>
          <w:szCs w:val="20"/>
        </w:rPr>
        <w:t>we do</w:t>
      </w:r>
      <w:r w:rsidR="003B4F52">
        <w:rPr>
          <w:rFonts w:ascii="Times New Roman" w:eastAsia="Times New Roman" w:hAnsi="Times New Roman" w:cs="Times New Roman"/>
          <w:sz w:val="20"/>
          <w:szCs w:val="20"/>
        </w:rPr>
        <w:t xml:space="preserve"> not have data as ‘low’.</w:t>
      </w:r>
    </w:p>
    <w:p w14:paraId="0000005C" w14:textId="77777777" w:rsidR="00073819" w:rsidRDefault="0099474B">
      <w:pPr>
        <w:spacing w:before="240" w:after="120" w:line="240" w:lineRule="auto"/>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Table S2 </w:t>
      </w:r>
      <w:r>
        <w:rPr>
          <w:rFonts w:ascii="Times New Roman" w:eastAsia="Times New Roman" w:hAnsi="Times New Roman" w:cs="Times New Roman"/>
          <w:sz w:val="20"/>
          <w:szCs w:val="20"/>
        </w:rPr>
        <w:t xml:space="preserve">Breakdown of pathway categories and their introduction pathway prominence on the Prince Edward Islands (PEIs) as of December 2023. </w:t>
      </w:r>
    </w:p>
    <w:tbl>
      <w:tblPr>
        <w:tblStyle w:val="a3"/>
        <w:tblW w:w="901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37"/>
        <w:gridCol w:w="1418"/>
        <w:gridCol w:w="5103"/>
        <w:gridCol w:w="1258"/>
      </w:tblGrid>
      <w:tr w:rsidR="00073819" w14:paraId="4E1A3961" w14:textId="77777777">
        <w:trPr>
          <w:tblHeader/>
        </w:trPr>
        <w:tc>
          <w:tcPr>
            <w:tcW w:w="1237" w:type="dxa"/>
            <w:vAlign w:val="bottom"/>
          </w:tcPr>
          <w:p w14:paraId="0000005D" w14:textId="77777777" w:rsidR="00073819" w:rsidRDefault="00073819">
            <w:pPr>
              <w:rPr>
                <w:rFonts w:ascii="Times New Roman" w:eastAsia="Times New Roman" w:hAnsi="Times New Roman" w:cs="Times New Roman"/>
                <w:b/>
                <w:sz w:val="16"/>
                <w:szCs w:val="16"/>
              </w:rPr>
            </w:pPr>
          </w:p>
        </w:tc>
        <w:tc>
          <w:tcPr>
            <w:tcW w:w="1418" w:type="dxa"/>
            <w:vAlign w:val="bottom"/>
          </w:tcPr>
          <w:p w14:paraId="0000005E" w14:textId="77777777" w:rsidR="00073819" w:rsidRDefault="0099474B">
            <w:pPr>
              <w:rPr>
                <w:rFonts w:ascii="Times New Roman" w:eastAsia="Times New Roman" w:hAnsi="Times New Roman" w:cs="Times New Roman"/>
                <w:b/>
                <w:sz w:val="16"/>
                <w:szCs w:val="16"/>
              </w:rPr>
            </w:pPr>
            <w:r>
              <w:rPr>
                <w:rFonts w:ascii="Times New Roman" w:eastAsia="Times New Roman" w:hAnsi="Times New Roman" w:cs="Times New Roman"/>
                <w:b/>
                <w:sz w:val="16"/>
                <w:szCs w:val="16"/>
              </w:rPr>
              <w:t>Category</w:t>
            </w:r>
          </w:p>
        </w:tc>
        <w:tc>
          <w:tcPr>
            <w:tcW w:w="5103" w:type="dxa"/>
            <w:vAlign w:val="bottom"/>
          </w:tcPr>
          <w:p w14:paraId="0000005F" w14:textId="77777777" w:rsidR="00073819" w:rsidRDefault="0099474B">
            <w:pPr>
              <w:rPr>
                <w:rFonts w:ascii="Times New Roman" w:eastAsia="Times New Roman" w:hAnsi="Times New Roman" w:cs="Times New Roman"/>
                <w:b/>
                <w:sz w:val="16"/>
                <w:szCs w:val="16"/>
              </w:rPr>
            </w:pPr>
            <w:r>
              <w:rPr>
                <w:rFonts w:ascii="Times New Roman" w:eastAsia="Times New Roman" w:hAnsi="Times New Roman" w:cs="Times New Roman"/>
                <w:b/>
                <w:sz w:val="16"/>
                <w:szCs w:val="16"/>
              </w:rPr>
              <w:t>Subcategory</w:t>
            </w:r>
          </w:p>
        </w:tc>
        <w:tc>
          <w:tcPr>
            <w:tcW w:w="1258" w:type="dxa"/>
            <w:vAlign w:val="bottom"/>
          </w:tcPr>
          <w:p w14:paraId="00000060" w14:textId="77777777" w:rsidR="00073819" w:rsidRPr="006E03FE" w:rsidRDefault="0099474B">
            <w:pPr>
              <w:rPr>
                <w:rFonts w:ascii="Times New Roman" w:eastAsia="Times New Roman" w:hAnsi="Times New Roman" w:cs="Times New Roman"/>
                <w:b/>
                <w:sz w:val="16"/>
                <w:szCs w:val="16"/>
              </w:rPr>
            </w:pPr>
            <w:r w:rsidRPr="006E03FE">
              <w:rPr>
                <w:rFonts w:ascii="Times New Roman" w:eastAsia="Times New Roman" w:hAnsi="Times New Roman" w:cs="Times New Roman"/>
                <w:b/>
                <w:sz w:val="16"/>
                <w:szCs w:val="16"/>
              </w:rPr>
              <w:t>Introduction pathway prominence</w:t>
            </w:r>
          </w:p>
        </w:tc>
      </w:tr>
      <w:tr w:rsidR="00073819" w14:paraId="5F1829E9" w14:textId="77777777">
        <w:tc>
          <w:tcPr>
            <w:tcW w:w="1237" w:type="dxa"/>
            <w:vMerge w:val="restart"/>
            <w:vAlign w:val="center"/>
          </w:tcPr>
          <w:p w14:paraId="0000006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Movement </w:t>
            </w:r>
          </w:p>
          <w:p w14:paraId="0000006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of </w:t>
            </w:r>
          </w:p>
          <w:p w14:paraId="00000063"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commodity</w:t>
            </w:r>
          </w:p>
        </w:tc>
        <w:tc>
          <w:tcPr>
            <w:tcW w:w="1418" w:type="dxa"/>
            <w:vMerge w:val="restart"/>
            <w:vAlign w:val="center"/>
          </w:tcPr>
          <w:p w14:paraId="00000064"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Release in nature</w:t>
            </w:r>
          </w:p>
        </w:tc>
        <w:tc>
          <w:tcPr>
            <w:tcW w:w="5103" w:type="dxa"/>
            <w:vAlign w:val="bottom"/>
          </w:tcPr>
          <w:p w14:paraId="0000006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Biological control</w:t>
            </w:r>
          </w:p>
        </w:tc>
        <w:tc>
          <w:tcPr>
            <w:tcW w:w="1258" w:type="dxa"/>
            <w:vAlign w:val="bottom"/>
          </w:tcPr>
          <w:p w14:paraId="0000006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3D0CAA29" w14:textId="77777777">
        <w:tc>
          <w:tcPr>
            <w:tcW w:w="1237" w:type="dxa"/>
            <w:vMerge/>
            <w:vAlign w:val="center"/>
          </w:tcPr>
          <w:p w14:paraId="00000067"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6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6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Erosion control/ dune stabilization (windbreaks, hedges, …)</w:t>
            </w:r>
          </w:p>
        </w:tc>
        <w:tc>
          <w:tcPr>
            <w:tcW w:w="1258" w:type="dxa"/>
            <w:vAlign w:val="bottom"/>
          </w:tcPr>
          <w:p w14:paraId="0000006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29E8AA8E" w14:textId="77777777">
        <w:tc>
          <w:tcPr>
            <w:tcW w:w="1237" w:type="dxa"/>
            <w:vMerge/>
            <w:vAlign w:val="center"/>
          </w:tcPr>
          <w:p w14:paraId="0000006B"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6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6D"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Fishery in the wild (including game fishing)</w:t>
            </w:r>
          </w:p>
        </w:tc>
        <w:tc>
          <w:tcPr>
            <w:tcW w:w="1258" w:type="dxa"/>
            <w:vAlign w:val="bottom"/>
          </w:tcPr>
          <w:p w14:paraId="0000006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5DE3E43F" w14:textId="77777777">
        <w:tc>
          <w:tcPr>
            <w:tcW w:w="1237" w:type="dxa"/>
            <w:vMerge/>
            <w:vAlign w:val="center"/>
          </w:tcPr>
          <w:p w14:paraId="0000006F"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7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7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Hunting</w:t>
            </w:r>
          </w:p>
        </w:tc>
        <w:tc>
          <w:tcPr>
            <w:tcW w:w="1258" w:type="dxa"/>
            <w:vAlign w:val="bottom"/>
          </w:tcPr>
          <w:p w14:paraId="0000007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0AB83CDA" w14:textId="77777777">
        <w:tc>
          <w:tcPr>
            <w:tcW w:w="1237" w:type="dxa"/>
            <w:vMerge/>
            <w:vAlign w:val="center"/>
          </w:tcPr>
          <w:p w14:paraId="0000007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7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7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Landscape/flora/fauna ‘improvement’ in the wild</w:t>
            </w:r>
          </w:p>
        </w:tc>
        <w:tc>
          <w:tcPr>
            <w:tcW w:w="1258" w:type="dxa"/>
            <w:vAlign w:val="bottom"/>
          </w:tcPr>
          <w:p w14:paraId="0000007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59032340" w14:textId="77777777">
        <w:tc>
          <w:tcPr>
            <w:tcW w:w="1237" w:type="dxa"/>
            <w:vMerge/>
            <w:vAlign w:val="center"/>
          </w:tcPr>
          <w:p w14:paraId="00000077"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7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7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Introduction for conservation purposes or wildlife management</w:t>
            </w:r>
          </w:p>
        </w:tc>
        <w:tc>
          <w:tcPr>
            <w:tcW w:w="1258" w:type="dxa"/>
            <w:vAlign w:val="bottom"/>
          </w:tcPr>
          <w:p w14:paraId="0000007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686C46F5" w14:textId="77777777">
        <w:tc>
          <w:tcPr>
            <w:tcW w:w="1237" w:type="dxa"/>
            <w:vMerge/>
            <w:vAlign w:val="center"/>
          </w:tcPr>
          <w:p w14:paraId="0000007B"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7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7D"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Release in nature for use (other than above, e.g., fur, transport, medical use)</w:t>
            </w:r>
          </w:p>
        </w:tc>
        <w:tc>
          <w:tcPr>
            <w:tcW w:w="1258" w:type="dxa"/>
            <w:vAlign w:val="bottom"/>
          </w:tcPr>
          <w:p w14:paraId="0000007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1CEB16BF" w14:textId="77777777">
        <w:tc>
          <w:tcPr>
            <w:tcW w:w="1237" w:type="dxa"/>
            <w:vMerge/>
            <w:vAlign w:val="center"/>
          </w:tcPr>
          <w:p w14:paraId="0000007F"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8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8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Other intentional release</w:t>
            </w:r>
          </w:p>
        </w:tc>
        <w:tc>
          <w:tcPr>
            <w:tcW w:w="1258" w:type="dxa"/>
            <w:vAlign w:val="bottom"/>
          </w:tcPr>
          <w:p w14:paraId="0000008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01D46CE4" w14:textId="77777777">
        <w:tc>
          <w:tcPr>
            <w:tcW w:w="1237" w:type="dxa"/>
            <w:vMerge/>
            <w:vAlign w:val="center"/>
          </w:tcPr>
          <w:p w14:paraId="0000008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restart"/>
            <w:vAlign w:val="center"/>
          </w:tcPr>
          <w:p w14:paraId="00000084"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Escape from confinement</w:t>
            </w:r>
          </w:p>
        </w:tc>
        <w:tc>
          <w:tcPr>
            <w:tcW w:w="5103" w:type="dxa"/>
            <w:vAlign w:val="bottom"/>
          </w:tcPr>
          <w:p w14:paraId="0000008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Agriculture (including Biofuel feedstocks)</w:t>
            </w:r>
          </w:p>
        </w:tc>
        <w:tc>
          <w:tcPr>
            <w:tcW w:w="1258" w:type="dxa"/>
            <w:vAlign w:val="bottom"/>
          </w:tcPr>
          <w:p w14:paraId="0000008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4D620F97" w14:textId="77777777">
        <w:tc>
          <w:tcPr>
            <w:tcW w:w="1237" w:type="dxa"/>
            <w:vMerge/>
            <w:vAlign w:val="center"/>
          </w:tcPr>
          <w:p w14:paraId="00000087"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8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8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Aquaculture / mariculture</w:t>
            </w:r>
          </w:p>
        </w:tc>
        <w:tc>
          <w:tcPr>
            <w:tcW w:w="1258" w:type="dxa"/>
            <w:vAlign w:val="bottom"/>
          </w:tcPr>
          <w:p w14:paraId="0000008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45FCE681" w14:textId="77777777">
        <w:tc>
          <w:tcPr>
            <w:tcW w:w="1237" w:type="dxa"/>
            <w:vMerge/>
            <w:vAlign w:val="center"/>
          </w:tcPr>
          <w:p w14:paraId="0000008B"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8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8D"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Botanical garden/zoo/aquaria (excluding domestic aquaria)</w:t>
            </w:r>
          </w:p>
        </w:tc>
        <w:tc>
          <w:tcPr>
            <w:tcW w:w="1258" w:type="dxa"/>
            <w:vAlign w:val="bottom"/>
          </w:tcPr>
          <w:p w14:paraId="0000008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1223BAC2" w14:textId="77777777">
        <w:tc>
          <w:tcPr>
            <w:tcW w:w="1237" w:type="dxa"/>
            <w:vMerge/>
            <w:vAlign w:val="center"/>
          </w:tcPr>
          <w:p w14:paraId="0000008F"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9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9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Pet/aquarium/terrarium species (including live food for such species)</w:t>
            </w:r>
          </w:p>
        </w:tc>
        <w:tc>
          <w:tcPr>
            <w:tcW w:w="1258" w:type="dxa"/>
            <w:vAlign w:val="bottom"/>
          </w:tcPr>
          <w:p w14:paraId="0000009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FC05A6C" w14:textId="77777777">
        <w:tc>
          <w:tcPr>
            <w:tcW w:w="1237" w:type="dxa"/>
            <w:vMerge/>
            <w:vAlign w:val="center"/>
          </w:tcPr>
          <w:p w14:paraId="0000009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9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9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Farmed animals (including animals left under limited control)</w:t>
            </w:r>
          </w:p>
        </w:tc>
        <w:tc>
          <w:tcPr>
            <w:tcW w:w="1258" w:type="dxa"/>
            <w:vAlign w:val="bottom"/>
          </w:tcPr>
          <w:p w14:paraId="0000009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1159D90C" w14:textId="77777777">
        <w:tc>
          <w:tcPr>
            <w:tcW w:w="1237" w:type="dxa"/>
            <w:vMerge/>
            <w:vAlign w:val="center"/>
          </w:tcPr>
          <w:p w14:paraId="00000097"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9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9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Forestry (including reforestation)</w:t>
            </w:r>
          </w:p>
        </w:tc>
        <w:tc>
          <w:tcPr>
            <w:tcW w:w="1258" w:type="dxa"/>
            <w:vAlign w:val="bottom"/>
          </w:tcPr>
          <w:p w14:paraId="0000009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3EE865EB" w14:textId="77777777">
        <w:tc>
          <w:tcPr>
            <w:tcW w:w="1237" w:type="dxa"/>
            <w:vMerge/>
            <w:vAlign w:val="center"/>
          </w:tcPr>
          <w:p w14:paraId="0000009B"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9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9D"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Fur farms</w:t>
            </w:r>
          </w:p>
        </w:tc>
        <w:tc>
          <w:tcPr>
            <w:tcW w:w="1258" w:type="dxa"/>
            <w:vAlign w:val="bottom"/>
          </w:tcPr>
          <w:p w14:paraId="0000009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49AC9ED" w14:textId="77777777">
        <w:tc>
          <w:tcPr>
            <w:tcW w:w="1237" w:type="dxa"/>
            <w:vMerge/>
            <w:vAlign w:val="center"/>
          </w:tcPr>
          <w:p w14:paraId="0000009F"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A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A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Horticulture</w:t>
            </w:r>
          </w:p>
        </w:tc>
        <w:tc>
          <w:tcPr>
            <w:tcW w:w="1258" w:type="dxa"/>
            <w:vAlign w:val="bottom"/>
          </w:tcPr>
          <w:p w14:paraId="000000A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14175F7" w14:textId="77777777">
        <w:tc>
          <w:tcPr>
            <w:tcW w:w="1237" w:type="dxa"/>
            <w:vMerge/>
            <w:vAlign w:val="center"/>
          </w:tcPr>
          <w:p w14:paraId="000000A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A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A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Ornamental purpose other than horticulture</w:t>
            </w:r>
          </w:p>
        </w:tc>
        <w:tc>
          <w:tcPr>
            <w:tcW w:w="1258" w:type="dxa"/>
            <w:vAlign w:val="bottom"/>
          </w:tcPr>
          <w:p w14:paraId="000000A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7578215" w14:textId="77777777">
        <w:tc>
          <w:tcPr>
            <w:tcW w:w="1237" w:type="dxa"/>
            <w:vMerge/>
            <w:vAlign w:val="center"/>
          </w:tcPr>
          <w:p w14:paraId="000000A7"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A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A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Research and ex-situ breeding (in facilities)</w:t>
            </w:r>
          </w:p>
        </w:tc>
        <w:tc>
          <w:tcPr>
            <w:tcW w:w="1258" w:type="dxa"/>
            <w:vAlign w:val="bottom"/>
          </w:tcPr>
          <w:p w14:paraId="000000A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3265B7C" w14:textId="77777777">
        <w:tc>
          <w:tcPr>
            <w:tcW w:w="1237" w:type="dxa"/>
            <w:vMerge/>
            <w:vAlign w:val="center"/>
          </w:tcPr>
          <w:p w14:paraId="000000AB"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A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AD"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Live food and live bait</w:t>
            </w:r>
          </w:p>
        </w:tc>
        <w:tc>
          <w:tcPr>
            <w:tcW w:w="1258" w:type="dxa"/>
            <w:vAlign w:val="bottom"/>
          </w:tcPr>
          <w:p w14:paraId="000000A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219087A1" w14:textId="77777777">
        <w:tc>
          <w:tcPr>
            <w:tcW w:w="1237" w:type="dxa"/>
            <w:vMerge/>
            <w:vAlign w:val="center"/>
          </w:tcPr>
          <w:p w14:paraId="000000AF"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B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B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Other escape from confinement</w:t>
            </w:r>
          </w:p>
        </w:tc>
        <w:tc>
          <w:tcPr>
            <w:tcW w:w="1258" w:type="dxa"/>
            <w:vAlign w:val="bottom"/>
          </w:tcPr>
          <w:p w14:paraId="000000B2"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40AFEE66" w14:textId="77777777">
        <w:tc>
          <w:tcPr>
            <w:tcW w:w="1237" w:type="dxa"/>
            <w:vMerge/>
            <w:vAlign w:val="center"/>
          </w:tcPr>
          <w:p w14:paraId="000000B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restart"/>
            <w:vAlign w:val="center"/>
          </w:tcPr>
          <w:p w14:paraId="000000B4"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Transport – contaminant</w:t>
            </w:r>
          </w:p>
          <w:p w14:paraId="540DB0CA" w14:textId="77777777" w:rsidR="00277344" w:rsidRDefault="00277344">
            <w:pPr>
              <w:rPr>
                <w:rFonts w:ascii="Times New Roman" w:eastAsia="Times New Roman" w:hAnsi="Times New Roman" w:cs="Times New Roman"/>
                <w:sz w:val="16"/>
                <w:szCs w:val="16"/>
              </w:rPr>
            </w:pPr>
          </w:p>
          <w:p w14:paraId="2FA16BC0" w14:textId="77777777" w:rsidR="00277344" w:rsidRDefault="00277344">
            <w:pPr>
              <w:rPr>
                <w:rFonts w:ascii="Times New Roman" w:eastAsia="Times New Roman" w:hAnsi="Times New Roman" w:cs="Times New Roman"/>
                <w:sz w:val="16"/>
                <w:szCs w:val="16"/>
              </w:rPr>
            </w:pPr>
          </w:p>
          <w:p w14:paraId="4EEB4603" w14:textId="77777777" w:rsidR="00277344" w:rsidRDefault="00277344">
            <w:pPr>
              <w:rPr>
                <w:rFonts w:ascii="Times New Roman" w:eastAsia="Times New Roman" w:hAnsi="Times New Roman" w:cs="Times New Roman"/>
                <w:sz w:val="16"/>
                <w:szCs w:val="16"/>
              </w:rPr>
            </w:pPr>
          </w:p>
          <w:p w14:paraId="0F2F2A99" w14:textId="77777777" w:rsidR="00277344" w:rsidRDefault="00277344">
            <w:pPr>
              <w:rPr>
                <w:rFonts w:ascii="Times New Roman" w:eastAsia="Times New Roman" w:hAnsi="Times New Roman" w:cs="Times New Roman"/>
                <w:sz w:val="16"/>
                <w:szCs w:val="16"/>
              </w:rPr>
            </w:pPr>
          </w:p>
          <w:p w14:paraId="2CA8E7D3" w14:textId="77777777" w:rsidR="00277344" w:rsidRDefault="00277344">
            <w:pPr>
              <w:rPr>
                <w:rFonts w:ascii="Times New Roman" w:eastAsia="Times New Roman" w:hAnsi="Times New Roman" w:cs="Times New Roman"/>
                <w:sz w:val="16"/>
                <w:szCs w:val="16"/>
              </w:rPr>
            </w:pPr>
          </w:p>
          <w:p w14:paraId="5AF6999A" w14:textId="77777777" w:rsidR="00277344" w:rsidRDefault="00277344">
            <w:pPr>
              <w:rPr>
                <w:rFonts w:ascii="Times New Roman" w:eastAsia="Times New Roman" w:hAnsi="Times New Roman" w:cs="Times New Roman"/>
                <w:sz w:val="16"/>
                <w:szCs w:val="16"/>
              </w:rPr>
            </w:pPr>
          </w:p>
          <w:p w14:paraId="550030B8" w14:textId="77777777" w:rsidR="00277344" w:rsidRDefault="00277344">
            <w:pPr>
              <w:rPr>
                <w:rFonts w:ascii="Times New Roman" w:eastAsia="Times New Roman" w:hAnsi="Times New Roman" w:cs="Times New Roman"/>
                <w:sz w:val="16"/>
                <w:szCs w:val="16"/>
              </w:rPr>
            </w:pPr>
          </w:p>
          <w:p w14:paraId="40A7430F" w14:textId="77777777" w:rsidR="003729B4" w:rsidRDefault="003729B4">
            <w:pPr>
              <w:rPr>
                <w:rFonts w:ascii="Times New Roman" w:eastAsia="Times New Roman" w:hAnsi="Times New Roman" w:cs="Times New Roman"/>
                <w:sz w:val="16"/>
                <w:szCs w:val="16"/>
              </w:rPr>
            </w:pPr>
          </w:p>
          <w:p w14:paraId="62865201" w14:textId="77777777" w:rsidR="003729B4" w:rsidRDefault="003729B4">
            <w:pPr>
              <w:rPr>
                <w:rFonts w:ascii="Times New Roman" w:eastAsia="Times New Roman" w:hAnsi="Times New Roman" w:cs="Times New Roman"/>
                <w:sz w:val="16"/>
                <w:szCs w:val="16"/>
              </w:rPr>
            </w:pPr>
          </w:p>
          <w:p w14:paraId="000000B5"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Transport - stowaway</w:t>
            </w:r>
          </w:p>
        </w:tc>
        <w:tc>
          <w:tcPr>
            <w:tcW w:w="5103" w:type="dxa"/>
            <w:vAlign w:val="bottom"/>
          </w:tcPr>
          <w:p w14:paraId="000000B6" w14:textId="2FE327A0" w:rsidR="00073819" w:rsidRPr="008E17AE" w:rsidRDefault="0031028A">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Nursery material contaminant</w:t>
            </w:r>
          </w:p>
        </w:tc>
        <w:tc>
          <w:tcPr>
            <w:tcW w:w="1258" w:type="dxa"/>
            <w:vAlign w:val="bottom"/>
          </w:tcPr>
          <w:p w14:paraId="000000B7"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3859A0C3" w14:textId="77777777">
        <w:tc>
          <w:tcPr>
            <w:tcW w:w="1237" w:type="dxa"/>
            <w:vMerge/>
            <w:vAlign w:val="center"/>
          </w:tcPr>
          <w:p w14:paraId="000000B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B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BA" w14:textId="4B67C7EB" w:rsidR="00073819" w:rsidRPr="008E17AE" w:rsidRDefault="003C2BB9">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Bait contaminant</w:t>
            </w:r>
          </w:p>
        </w:tc>
        <w:tc>
          <w:tcPr>
            <w:tcW w:w="1258" w:type="dxa"/>
            <w:vAlign w:val="bottom"/>
          </w:tcPr>
          <w:p w14:paraId="000000BB"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61792D48" w14:textId="77777777">
        <w:tc>
          <w:tcPr>
            <w:tcW w:w="1237" w:type="dxa"/>
            <w:vMerge/>
            <w:vAlign w:val="center"/>
          </w:tcPr>
          <w:p w14:paraId="000000B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B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BE"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Food contaminant (including of live food)</w:t>
            </w:r>
          </w:p>
        </w:tc>
        <w:tc>
          <w:tcPr>
            <w:tcW w:w="1258" w:type="dxa"/>
            <w:vAlign w:val="bottom"/>
          </w:tcPr>
          <w:p w14:paraId="000000BF" w14:textId="6139292B"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mo</w:t>
            </w:r>
            <w:r w:rsidR="00202026" w:rsidRPr="008E17AE">
              <w:rPr>
                <w:rFonts w:ascii="Times New Roman" w:eastAsia="Times New Roman" w:hAnsi="Times New Roman" w:cs="Times New Roman"/>
                <w:sz w:val="16"/>
                <w:szCs w:val="16"/>
              </w:rPr>
              <w:t>de</w:t>
            </w:r>
            <w:r w:rsidRPr="008E17AE">
              <w:rPr>
                <w:rFonts w:ascii="Times New Roman" w:eastAsia="Times New Roman" w:hAnsi="Times New Roman" w:cs="Times New Roman"/>
                <w:sz w:val="16"/>
                <w:szCs w:val="16"/>
              </w:rPr>
              <w:t>r</w:t>
            </w:r>
            <w:r w:rsidR="00202026" w:rsidRPr="008E17AE">
              <w:rPr>
                <w:rFonts w:ascii="Times New Roman" w:eastAsia="Times New Roman" w:hAnsi="Times New Roman" w:cs="Times New Roman"/>
                <w:sz w:val="16"/>
                <w:szCs w:val="16"/>
              </w:rPr>
              <w:t>ate</w:t>
            </w:r>
          </w:p>
        </w:tc>
      </w:tr>
      <w:tr w:rsidR="00073819" w14:paraId="00CB1833" w14:textId="77777777">
        <w:tc>
          <w:tcPr>
            <w:tcW w:w="1237" w:type="dxa"/>
            <w:vMerge/>
            <w:vAlign w:val="center"/>
          </w:tcPr>
          <w:p w14:paraId="000000C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C1"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C2" w14:textId="6A7FC964"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Contaminant o</w:t>
            </w:r>
            <w:r w:rsidR="003C2BB9" w:rsidRPr="008E17AE">
              <w:rPr>
                <w:rFonts w:ascii="Times New Roman" w:eastAsia="Times New Roman" w:hAnsi="Times New Roman" w:cs="Times New Roman"/>
                <w:sz w:val="16"/>
                <w:szCs w:val="16"/>
              </w:rPr>
              <w:t>f</w:t>
            </w:r>
            <w:r w:rsidRPr="008E17AE">
              <w:rPr>
                <w:rFonts w:ascii="Times New Roman" w:eastAsia="Times New Roman" w:hAnsi="Times New Roman" w:cs="Times New Roman"/>
                <w:sz w:val="16"/>
                <w:szCs w:val="16"/>
              </w:rPr>
              <w:t xml:space="preserve"> animals (except parasites, species transported by host/vector)</w:t>
            </w:r>
          </w:p>
        </w:tc>
        <w:tc>
          <w:tcPr>
            <w:tcW w:w="1258" w:type="dxa"/>
            <w:vAlign w:val="bottom"/>
          </w:tcPr>
          <w:p w14:paraId="000000C3"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0A6C055E" w14:textId="77777777">
        <w:tc>
          <w:tcPr>
            <w:tcW w:w="1237" w:type="dxa"/>
            <w:vMerge/>
            <w:vAlign w:val="center"/>
          </w:tcPr>
          <w:p w14:paraId="000000C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C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C6" w14:textId="03490B50"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Parasites o</w:t>
            </w:r>
            <w:r w:rsidR="003C2BB9" w:rsidRPr="008E17AE">
              <w:rPr>
                <w:rFonts w:ascii="Times New Roman" w:eastAsia="Times New Roman" w:hAnsi="Times New Roman" w:cs="Times New Roman"/>
                <w:sz w:val="16"/>
                <w:szCs w:val="16"/>
              </w:rPr>
              <w:t>f</w:t>
            </w:r>
            <w:r w:rsidRPr="008E17AE">
              <w:rPr>
                <w:rFonts w:ascii="Times New Roman" w:eastAsia="Times New Roman" w:hAnsi="Times New Roman" w:cs="Times New Roman"/>
                <w:sz w:val="16"/>
                <w:szCs w:val="16"/>
              </w:rPr>
              <w:t xml:space="preserve"> animals (including species transported by host and vector)</w:t>
            </w:r>
          </w:p>
        </w:tc>
        <w:tc>
          <w:tcPr>
            <w:tcW w:w="1258" w:type="dxa"/>
            <w:vAlign w:val="bottom"/>
          </w:tcPr>
          <w:p w14:paraId="000000C7"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6D169A66" w14:textId="77777777">
        <w:tc>
          <w:tcPr>
            <w:tcW w:w="1237" w:type="dxa"/>
            <w:vMerge/>
            <w:vAlign w:val="center"/>
          </w:tcPr>
          <w:p w14:paraId="000000C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C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CA" w14:textId="6000F4BA"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Contaminant o</w:t>
            </w:r>
            <w:r w:rsidR="0034744D" w:rsidRPr="008E17AE">
              <w:rPr>
                <w:rFonts w:ascii="Times New Roman" w:eastAsia="Times New Roman" w:hAnsi="Times New Roman" w:cs="Times New Roman"/>
                <w:sz w:val="16"/>
                <w:szCs w:val="16"/>
              </w:rPr>
              <w:t>f</w:t>
            </w:r>
            <w:r w:rsidRPr="008E17AE">
              <w:rPr>
                <w:rFonts w:ascii="Times New Roman" w:eastAsia="Times New Roman" w:hAnsi="Times New Roman" w:cs="Times New Roman"/>
                <w:sz w:val="16"/>
                <w:szCs w:val="16"/>
              </w:rPr>
              <w:t xml:space="preserve"> plants (except parasites, species transported by host/vector)</w:t>
            </w:r>
          </w:p>
        </w:tc>
        <w:tc>
          <w:tcPr>
            <w:tcW w:w="1258" w:type="dxa"/>
            <w:vAlign w:val="bottom"/>
          </w:tcPr>
          <w:p w14:paraId="000000CB"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172E29B0" w14:textId="77777777">
        <w:tc>
          <w:tcPr>
            <w:tcW w:w="1237" w:type="dxa"/>
            <w:vMerge/>
            <w:vAlign w:val="center"/>
          </w:tcPr>
          <w:p w14:paraId="000000C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C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CE" w14:textId="274F5F2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Parasites o</w:t>
            </w:r>
            <w:r w:rsidR="0034744D" w:rsidRPr="008E17AE">
              <w:rPr>
                <w:rFonts w:ascii="Times New Roman" w:eastAsia="Times New Roman" w:hAnsi="Times New Roman" w:cs="Times New Roman"/>
                <w:sz w:val="16"/>
                <w:szCs w:val="16"/>
              </w:rPr>
              <w:t>f</w:t>
            </w:r>
            <w:r w:rsidRPr="008E17AE">
              <w:rPr>
                <w:rFonts w:ascii="Times New Roman" w:eastAsia="Times New Roman" w:hAnsi="Times New Roman" w:cs="Times New Roman"/>
                <w:sz w:val="16"/>
                <w:szCs w:val="16"/>
              </w:rPr>
              <w:t xml:space="preserve"> plants (including species transported by host and vector)</w:t>
            </w:r>
          </w:p>
        </w:tc>
        <w:tc>
          <w:tcPr>
            <w:tcW w:w="1258" w:type="dxa"/>
            <w:vAlign w:val="bottom"/>
          </w:tcPr>
          <w:p w14:paraId="000000CF"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61021316" w14:textId="77777777">
        <w:tc>
          <w:tcPr>
            <w:tcW w:w="1237" w:type="dxa"/>
            <w:vMerge/>
            <w:vAlign w:val="center"/>
          </w:tcPr>
          <w:p w14:paraId="000000D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D1"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D2"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Seed contaminant</w:t>
            </w:r>
          </w:p>
        </w:tc>
        <w:tc>
          <w:tcPr>
            <w:tcW w:w="1258" w:type="dxa"/>
            <w:vAlign w:val="bottom"/>
          </w:tcPr>
          <w:p w14:paraId="000000D3"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27A31E24" w14:textId="77777777">
        <w:tc>
          <w:tcPr>
            <w:tcW w:w="1237" w:type="dxa"/>
            <w:vMerge/>
            <w:vAlign w:val="center"/>
          </w:tcPr>
          <w:p w14:paraId="000000D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D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D6" w14:textId="49829CD1"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Timber trade</w:t>
            </w:r>
            <w:r w:rsidR="0034744D" w:rsidRPr="008E17AE">
              <w:rPr>
                <w:rFonts w:ascii="Times New Roman" w:eastAsia="Times New Roman" w:hAnsi="Times New Roman" w:cs="Times New Roman"/>
                <w:sz w:val="16"/>
                <w:szCs w:val="16"/>
              </w:rPr>
              <w:t xml:space="preserve"> contaminant</w:t>
            </w:r>
          </w:p>
        </w:tc>
        <w:tc>
          <w:tcPr>
            <w:tcW w:w="1258" w:type="dxa"/>
            <w:vAlign w:val="bottom"/>
          </w:tcPr>
          <w:p w14:paraId="000000D7"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37C81B2D" w14:textId="77777777">
        <w:tc>
          <w:tcPr>
            <w:tcW w:w="1237" w:type="dxa"/>
            <w:vMerge/>
            <w:vAlign w:val="center"/>
          </w:tcPr>
          <w:p w14:paraId="000000D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D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DA" w14:textId="207A68DD" w:rsidR="00073819" w:rsidRPr="00F10753" w:rsidRDefault="0034744D">
            <w:pPr>
              <w:rPr>
                <w:rFonts w:ascii="Times New Roman" w:eastAsia="Times New Roman" w:hAnsi="Times New Roman" w:cs="Times New Roman"/>
                <w:sz w:val="16"/>
                <w:szCs w:val="16"/>
                <w:lang w:val="es-AR"/>
              </w:rPr>
            </w:pPr>
            <w:proofErr w:type="spellStart"/>
            <w:r w:rsidRPr="00F10753">
              <w:rPr>
                <w:rFonts w:ascii="Times New Roman" w:eastAsia="Times New Roman" w:hAnsi="Times New Roman" w:cs="Times New Roman"/>
                <w:sz w:val="16"/>
                <w:szCs w:val="16"/>
                <w:lang w:val="es-AR"/>
              </w:rPr>
              <w:t>Habitat</w:t>
            </w:r>
            <w:proofErr w:type="spellEnd"/>
            <w:r w:rsidRPr="00F10753">
              <w:rPr>
                <w:rFonts w:ascii="Times New Roman" w:eastAsia="Times New Roman" w:hAnsi="Times New Roman" w:cs="Times New Roman"/>
                <w:sz w:val="16"/>
                <w:szCs w:val="16"/>
                <w:lang w:val="es-AR"/>
              </w:rPr>
              <w:t xml:space="preserve"> material </w:t>
            </w:r>
            <w:proofErr w:type="spellStart"/>
            <w:r w:rsidRPr="00F10753">
              <w:rPr>
                <w:rFonts w:ascii="Times New Roman" w:eastAsia="Times New Roman" w:hAnsi="Times New Roman" w:cs="Times New Roman"/>
                <w:sz w:val="16"/>
                <w:szCs w:val="16"/>
                <w:lang w:val="es-AR"/>
              </w:rPr>
              <w:t>contaminant</w:t>
            </w:r>
            <w:proofErr w:type="spellEnd"/>
            <w:r w:rsidRPr="00F10753">
              <w:rPr>
                <w:rFonts w:ascii="Times New Roman" w:eastAsia="Times New Roman" w:hAnsi="Times New Roman" w:cs="Times New Roman"/>
                <w:sz w:val="16"/>
                <w:szCs w:val="16"/>
                <w:lang w:val="es-AR"/>
              </w:rPr>
              <w:t xml:space="preserve"> (</w:t>
            </w:r>
            <w:proofErr w:type="spellStart"/>
            <w:r w:rsidRPr="00F10753">
              <w:rPr>
                <w:rFonts w:ascii="Times New Roman" w:eastAsia="Times New Roman" w:hAnsi="Times New Roman" w:cs="Times New Roman"/>
                <w:sz w:val="16"/>
                <w:szCs w:val="16"/>
                <w:lang w:val="es-AR"/>
              </w:rPr>
              <w:t>soil</w:t>
            </w:r>
            <w:proofErr w:type="spellEnd"/>
            <w:r w:rsidRPr="00F10753">
              <w:rPr>
                <w:rFonts w:ascii="Times New Roman" w:eastAsia="Times New Roman" w:hAnsi="Times New Roman" w:cs="Times New Roman"/>
                <w:sz w:val="16"/>
                <w:szCs w:val="16"/>
                <w:lang w:val="es-AR"/>
              </w:rPr>
              <w:t xml:space="preserve">, </w:t>
            </w:r>
            <w:proofErr w:type="spellStart"/>
            <w:proofErr w:type="gramStart"/>
            <w:r w:rsidRPr="00F10753">
              <w:rPr>
                <w:rFonts w:ascii="Times New Roman" w:eastAsia="Times New Roman" w:hAnsi="Times New Roman" w:cs="Times New Roman"/>
                <w:sz w:val="16"/>
                <w:szCs w:val="16"/>
                <w:lang w:val="es-AR"/>
              </w:rPr>
              <w:t>vegetation</w:t>
            </w:r>
            <w:proofErr w:type="spellEnd"/>
            <w:r w:rsidRPr="00F10753">
              <w:rPr>
                <w:rFonts w:ascii="Times New Roman" w:eastAsia="Times New Roman" w:hAnsi="Times New Roman" w:cs="Times New Roman"/>
                <w:sz w:val="16"/>
                <w:szCs w:val="16"/>
                <w:lang w:val="es-AR"/>
              </w:rPr>
              <w:t>,…</w:t>
            </w:r>
            <w:proofErr w:type="gramEnd"/>
            <w:r w:rsidRPr="00F10753">
              <w:rPr>
                <w:rFonts w:ascii="Times New Roman" w:eastAsia="Times New Roman" w:hAnsi="Times New Roman" w:cs="Times New Roman"/>
                <w:sz w:val="16"/>
                <w:szCs w:val="16"/>
                <w:lang w:val="es-AR"/>
              </w:rPr>
              <w:t>)</w:t>
            </w:r>
          </w:p>
        </w:tc>
        <w:tc>
          <w:tcPr>
            <w:tcW w:w="1258" w:type="dxa"/>
            <w:vAlign w:val="bottom"/>
          </w:tcPr>
          <w:p w14:paraId="000000DB"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12C76DDC" w14:textId="77777777">
        <w:tc>
          <w:tcPr>
            <w:tcW w:w="1237" w:type="dxa"/>
            <w:vMerge w:val="restart"/>
            <w:vAlign w:val="center"/>
          </w:tcPr>
          <w:p w14:paraId="000000DC"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Vector</w:t>
            </w:r>
          </w:p>
        </w:tc>
        <w:tc>
          <w:tcPr>
            <w:tcW w:w="1418" w:type="dxa"/>
            <w:vMerge/>
            <w:vAlign w:val="center"/>
          </w:tcPr>
          <w:p w14:paraId="000000D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DE"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Angling/fishing equipment</w:t>
            </w:r>
          </w:p>
        </w:tc>
        <w:tc>
          <w:tcPr>
            <w:tcW w:w="1258" w:type="dxa"/>
            <w:vAlign w:val="bottom"/>
          </w:tcPr>
          <w:p w14:paraId="000000DF" w14:textId="60EB0B7B" w:rsidR="00073819" w:rsidRPr="008E17AE" w:rsidRDefault="00AA44A9">
            <w:pPr>
              <w:rPr>
                <w:rFonts w:ascii="Times New Roman" w:eastAsia="Times New Roman" w:hAnsi="Times New Roman" w:cs="Times New Roman"/>
                <w:sz w:val="16"/>
                <w:szCs w:val="16"/>
              </w:rPr>
            </w:pPr>
            <w:r>
              <w:rPr>
                <w:rFonts w:ascii="Times New Roman" w:eastAsia="Times New Roman" w:hAnsi="Times New Roman" w:cs="Times New Roman"/>
                <w:sz w:val="16"/>
                <w:szCs w:val="16"/>
              </w:rPr>
              <w:t>minor</w:t>
            </w:r>
          </w:p>
        </w:tc>
      </w:tr>
      <w:tr w:rsidR="00073819" w14:paraId="07CE429A" w14:textId="77777777">
        <w:tc>
          <w:tcPr>
            <w:tcW w:w="1237" w:type="dxa"/>
            <w:vMerge/>
            <w:vAlign w:val="center"/>
          </w:tcPr>
          <w:p w14:paraId="000000E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E1"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E2"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Container/bulk cargo</w:t>
            </w:r>
          </w:p>
        </w:tc>
        <w:tc>
          <w:tcPr>
            <w:tcW w:w="1258" w:type="dxa"/>
            <w:vAlign w:val="bottom"/>
          </w:tcPr>
          <w:p w14:paraId="000000E3"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moderate</w:t>
            </w:r>
          </w:p>
        </w:tc>
      </w:tr>
      <w:tr w:rsidR="00073819" w14:paraId="0EDDD1D5" w14:textId="77777777">
        <w:tc>
          <w:tcPr>
            <w:tcW w:w="1237" w:type="dxa"/>
            <w:vMerge/>
            <w:vAlign w:val="center"/>
          </w:tcPr>
          <w:p w14:paraId="000000E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E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E6"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Hitchhikers in or on airplane</w:t>
            </w:r>
          </w:p>
        </w:tc>
        <w:tc>
          <w:tcPr>
            <w:tcW w:w="1258" w:type="dxa"/>
            <w:vAlign w:val="bottom"/>
          </w:tcPr>
          <w:p w14:paraId="000000E7"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minor</w:t>
            </w:r>
          </w:p>
        </w:tc>
      </w:tr>
      <w:tr w:rsidR="00073819" w14:paraId="6EC7A195" w14:textId="77777777">
        <w:tc>
          <w:tcPr>
            <w:tcW w:w="1237" w:type="dxa"/>
            <w:vMerge/>
            <w:vAlign w:val="center"/>
          </w:tcPr>
          <w:p w14:paraId="000000E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E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EA"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Hitchhikers on ship/boat (excluding ballast water and hull fouling)</w:t>
            </w:r>
          </w:p>
        </w:tc>
        <w:tc>
          <w:tcPr>
            <w:tcW w:w="1258" w:type="dxa"/>
            <w:vAlign w:val="bottom"/>
          </w:tcPr>
          <w:p w14:paraId="000000EB"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minor</w:t>
            </w:r>
          </w:p>
        </w:tc>
      </w:tr>
      <w:tr w:rsidR="00073819" w14:paraId="7B8EBCB9" w14:textId="77777777">
        <w:tc>
          <w:tcPr>
            <w:tcW w:w="1237" w:type="dxa"/>
            <w:vMerge/>
            <w:vAlign w:val="center"/>
          </w:tcPr>
          <w:p w14:paraId="000000E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E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EE"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Machinery/equipment</w:t>
            </w:r>
          </w:p>
        </w:tc>
        <w:tc>
          <w:tcPr>
            <w:tcW w:w="1258" w:type="dxa"/>
            <w:vAlign w:val="bottom"/>
          </w:tcPr>
          <w:p w14:paraId="000000EF" w14:textId="0CDA6979"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w:t>
            </w:r>
            <w:r w:rsidR="002840D8">
              <w:rPr>
                <w:rFonts w:ascii="Times New Roman" w:eastAsia="Times New Roman" w:hAnsi="Times New Roman" w:cs="Times New Roman"/>
                <w:sz w:val="16"/>
                <w:szCs w:val="16"/>
              </w:rPr>
              <w:t>inor</w:t>
            </w:r>
          </w:p>
        </w:tc>
      </w:tr>
      <w:tr w:rsidR="00073819" w14:paraId="2DEAFF1E" w14:textId="77777777">
        <w:tc>
          <w:tcPr>
            <w:tcW w:w="1237" w:type="dxa"/>
            <w:vMerge/>
            <w:vAlign w:val="center"/>
          </w:tcPr>
          <w:p w14:paraId="000000F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F1"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F2" w14:textId="0DE6D884"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People and their luggage/equipment</w:t>
            </w:r>
          </w:p>
        </w:tc>
        <w:tc>
          <w:tcPr>
            <w:tcW w:w="1258" w:type="dxa"/>
            <w:vAlign w:val="bottom"/>
          </w:tcPr>
          <w:p w14:paraId="000000F3"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moderate</w:t>
            </w:r>
          </w:p>
        </w:tc>
      </w:tr>
      <w:tr w:rsidR="00073819" w14:paraId="2B49E9C2" w14:textId="77777777">
        <w:tc>
          <w:tcPr>
            <w:tcW w:w="1237" w:type="dxa"/>
            <w:vMerge/>
            <w:vAlign w:val="center"/>
          </w:tcPr>
          <w:p w14:paraId="000000F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F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F6"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Organic packing material, in particular wood packaging</w:t>
            </w:r>
          </w:p>
        </w:tc>
        <w:tc>
          <w:tcPr>
            <w:tcW w:w="1258" w:type="dxa"/>
            <w:vAlign w:val="bottom"/>
          </w:tcPr>
          <w:p w14:paraId="000000F7"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4D99725F" w14:textId="77777777">
        <w:tc>
          <w:tcPr>
            <w:tcW w:w="1237" w:type="dxa"/>
            <w:vMerge/>
            <w:vAlign w:val="center"/>
          </w:tcPr>
          <w:p w14:paraId="000000F8"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F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FA"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Ship/boat ballast water</w:t>
            </w:r>
          </w:p>
        </w:tc>
        <w:tc>
          <w:tcPr>
            <w:tcW w:w="1258" w:type="dxa"/>
            <w:vAlign w:val="bottom"/>
          </w:tcPr>
          <w:p w14:paraId="000000FB"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minor</w:t>
            </w:r>
          </w:p>
        </w:tc>
      </w:tr>
      <w:tr w:rsidR="00073819" w14:paraId="12C57783" w14:textId="77777777">
        <w:tc>
          <w:tcPr>
            <w:tcW w:w="1237" w:type="dxa"/>
            <w:vMerge/>
            <w:vAlign w:val="center"/>
          </w:tcPr>
          <w:p w14:paraId="000000F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0F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0FE"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Ship/boat hull fouling</w:t>
            </w:r>
          </w:p>
        </w:tc>
        <w:tc>
          <w:tcPr>
            <w:tcW w:w="1258" w:type="dxa"/>
            <w:vAlign w:val="bottom"/>
          </w:tcPr>
          <w:p w14:paraId="000000FF"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minor</w:t>
            </w:r>
          </w:p>
        </w:tc>
      </w:tr>
      <w:tr w:rsidR="00073819" w14:paraId="3C869DA1" w14:textId="77777777">
        <w:tc>
          <w:tcPr>
            <w:tcW w:w="1237" w:type="dxa"/>
            <w:vMerge/>
            <w:vAlign w:val="center"/>
          </w:tcPr>
          <w:p w14:paraId="0000010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101"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102"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Vehicles (car, train, …)</w:t>
            </w:r>
          </w:p>
        </w:tc>
        <w:tc>
          <w:tcPr>
            <w:tcW w:w="1258" w:type="dxa"/>
            <w:vAlign w:val="bottom"/>
          </w:tcPr>
          <w:p w14:paraId="00000103" w14:textId="77777777" w:rsidR="00073819" w:rsidRPr="008E17AE" w:rsidRDefault="0099474B">
            <w:pPr>
              <w:rPr>
                <w:rFonts w:ascii="Times New Roman" w:eastAsia="Times New Roman" w:hAnsi="Times New Roman" w:cs="Times New Roman"/>
                <w:sz w:val="16"/>
                <w:szCs w:val="16"/>
              </w:rPr>
            </w:pPr>
            <w:r w:rsidRPr="008E17AE">
              <w:rPr>
                <w:rFonts w:ascii="Times New Roman" w:eastAsia="Times New Roman" w:hAnsi="Times New Roman" w:cs="Times New Roman"/>
                <w:sz w:val="16"/>
                <w:szCs w:val="16"/>
              </w:rPr>
              <w:t>not present</w:t>
            </w:r>
          </w:p>
        </w:tc>
      </w:tr>
      <w:tr w:rsidR="00073819" w14:paraId="1359F671" w14:textId="77777777">
        <w:tc>
          <w:tcPr>
            <w:tcW w:w="1237" w:type="dxa"/>
            <w:vMerge/>
            <w:vAlign w:val="center"/>
          </w:tcPr>
          <w:p w14:paraId="00000104"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10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106"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Other means of transport</w:t>
            </w:r>
          </w:p>
        </w:tc>
        <w:tc>
          <w:tcPr>
            <w:tcW w:w="1258" w:type="dxa"/>
            <w:vAlign w:val="bottom"/>
          </w:tcPr>
          <w:p w14:paraId="00000107"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7D50156E" w14:textId="77777777">
        <w:tc>
          <w:tcPr>
            <w:tcW w:w="1237" w:type="dxa"/>
            <w:vMerge w:val="restart"/>
            <w:vAlign w:val="center"/>
          </w:tcPr>
          <w:p w14:paraId="00000108"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Spread</w:t>
            </w:r>
          </w:p>
        </w:tc>
        <w:tc>
          <w:tcPr>
            <w:tcW w:w="1418" w:type="dxa"/>
            <w:vMerge w:val="restart"/>
            <w:vAlign w:val="center"/>
          </w:tcPr>
          <w:p w14:paraId="00000109"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Corridor</w:t>
            </w:r>
          </w:p>
        </w:tc>
        <w:tc>
          <w:tcPr>
            <w:tcW w:w="5103" w:type="dxa"/>
            <w:vAlign w:val="bottom"/>
          </w:tcPr>
          <w:p w14:paraId="0000010A"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Interconnected waterways/basins/seas</w:t>
            </w:r>
          </w:p>
        </w:tc>
        <w:tc>
          <w:tcPr>
            <w:tcW w:w="1258" w:type="dxa"/>
            <w:vAlign w:val="bottom"/>
          </w:tcPr>
          <w:p w14:paraId="0000010B"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045308A3" w14:textId="77777777">
        <w:tc>
          <w:tcPr>
            <w:tcW w:w="1237" w:type="dxa"/>
            <w:vMerge/>
            <w:vAlign w:val="center"/>
          </w:tcPr>
          <w:p w14:paraId="0000010C"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Merge/>
            <w:vAlign w:val="center"/>
          </w:tcPr>
          <w:p w14:paraId="0000010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5103" w:type="dxa"/>
            <w:vAlign w:val="bottom"/>
          </w:tcPr>
          <w:p w14:paraId="0000010E"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Tunnels and land bridges</w:t>
            </w:r>
          </w:p>
        </w:tc>
        <w:tc>
          <w:tcPr>
            <w:tcW w:w="1258" w:type="dxa"/>
            <w:vAlign w:val="bottom"/>
          </w:tcPr>
          <w:p w14:paraId="0000010F"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not present</w:t>
            </w:r>
          </w:p>
        </w:tc>
      </w:tr>
      <w:tr w:rsidR="00073819" w14:paraId="007F0972" w14:textId="77777777">
        <w:tc>
          <w:tcPr>
            <w:tcW w:w="1237" w:type="dxa"/>
            <w:vMerge/>
            <w:vAlign w:val="center"/>
          </w:tcPr>
          <w:p w14:paraId="0000011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sz w:val="16"/>
                <w:szCs w:val="16"/>
              </w:rPr>
            </w:pPr>
          </w:p>
        </w:tc>
        <w:tc>
          <w:tcPr>
            <w:tcW w:w="1418" w:type="dxa"/>
            <w:vAlign w:val="bottom"/>
          </w:tcPr>
          <w:p w14:paraId="00000111"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Unaided</w:t>
            </w:r>
          </w:p>
        </w:tc>
        <w:tc>
          <w:tcPr>
            <w:tcW w:w="5103" w:type="dxa"/>
            <w:vAlign w:val="bottom"/>
          </w:tcPr>
          <w:p w14:paraId="00000112" w14:textId="35ACDAF1"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Natural dispersal </w:t>
            </w:r>
          </w:p>
        </w:tc>
        <w:tc>
          <w:tcPr>
            <w:tcW w:w="1258" w:type="dxa"/>
            <w:vAlign w:val="bottom"/>
          </w:tcPr>
          <w:p w14:paraId="00000113" w14:textId="77777777" w:rsidR="00073819" w:rsidRDefault="0099474B">
            <w:pPr>
              <w:rPr>
                <w:rFonts w:ascii="Times New Roman" w:eastAsia="Times New Roman" w:hAnsi="Times New Roman" w:cs="Times New Roman"/>
                <w:sz w:val="16"/>
                <w:szCs w:val="16"/>
              </w:rPr>
            </w:pPr>
            <w:r>
              <w:rPr>
                <w:rFonts w:ascii="Times New Roman" w:eastAsia="Times New Roman" w:hAnsi="Times New Roman" w:cs="Times New Roman"/>
                <w:sz w:val="16"/>
                <w:szCs w:val="16"/>
              </w:rPr>
              <w:t>minor</w:t>
            </w:r>
          </w:p>
        </w:tc>
      </w:tr>
    </w:tbl>
    <w:p w14:paraId="029B22D9" w14:textId="77777777" w:rsidR="00FF7E31" w:rsidRDefault="00FF7E31" w:rsidP="004F42EB">
      <w:pPr>
        <w:rPr>
          <w:rFonts w:ascii="Times New Roman" w:eastAsia="Times New Roman" w:hAnsi="Times New Roman" w:cs="Times New Roman"/>
          <w:bCs/>
          <w:sz w:val="20"/>
          <w:szCs w:val="20"/>
        </w:rPr>
      </w:pPr>
    </w:p>
    <w:p w14:paraId="5E27A9AD" w14:textId="5D9D9CF4" w:rsidR="004F42EB" w:rsidRPr="00C16C48" w:rsidRDefault="004F42EB" w:rsidP="004F42EB">
      <w:pPr>
        <w:rPr>
          <w:rFonts w:ascii="Times New Roman" w:hAnsi="Times New Roman" w:cs="Times New Roman"/>
          <w:sz w:val="20"/>
          <w:szCs w:val="20"/>
        </w:rPr>
      </w:pPr>
      <w:r w:rsidRPr="00C16C48">
        <w:rPr>
          <w:rFonts w:ascii="Times New Roman" w:hAnsi="Times New Roman" w:cs="Times New Roman"/>
          <w:b/>
          <w:bCs/>
          <w:sz w:val="20"/>
          <w:szCs w:val="20"/>
        </w:rPr>
        <w:t>Table S</w:t>
      </w:r>
      <w:r w:rsidR="00296FBD" w:rsidRPr="00C16C48">
        <w:rPr>
          <w:rFonts w:ascii="Times New Roman" w:hAnsi="Times New Roman" w:cs="Times New Roman"/>
          <w:b/>
          <w:bCs/>
          <w:sz w:val="20"/>
          <w:szCs w:val="20"/>
        </w:rPr>
        <w:t>3</w:t>
      </w:r>
      <w:r w:rsidRPr="00C16C48">
        <w:rPr>
          <w:rFonts w:ascii="Times New Roman" w:hAnsi="Times New Roman" w:cs="Times New Roman"/>
          <w:b/>
          <w:bCs/>
          <w:sz w:val="20"/>
          <w:szCs w:val="20"/>
        </w:rPr>
        <w:t>.</w:t>
      </w:r>
      <w:r w:rsidRPr="00C16C48">
        <w:rPr>
          <w:rFonts w:ascii="Times New Roman" w:hAnsi="Times New Roman" w:cs="Times New Roman"/>
          <w:sz w:val="20"/>
          <w:szCs w:val="20"/>
        </w:rPr>
        <w:t xml:space="preserve"> Table indicating ballpark values used to estimate pathway prominence in the PEIs. Values for different pathways were estimated based on expert opinion and would only be applicable for the PEIs and similar remote sub-Antarctic islands. </w:t>
      </w:r>
    </w:p>
    <w:tbl>
      <w:tblPr>
        <w:tblStyle w:val="TableGrid"/>
        <w:tblW w:w="0" w:type="auto"/>
        <w:tblLook w:val="04A0" w:firstRow="1" w:lastRow="0" w:firstColumn="1" w:lastColumn="0" w:noHBand="0" w:noVBand="1"/>
      </w:tblPr>
      <w:tblGrid>
        <w:gridCol w:w="1111"/>
        <w:gridCol w:w="2599"/>
      </w:tblGrid>
      <w:tr w:rsidR="004F42EB" w:rsidRPr="004F42EB" w14:paraId="287D0B31" w14:textId="77777777" w:rsidTr="00567DDB">
        <w:trPr>
          <w:trHeight w:val="270"/>
        </w:trPr>
        <w:tc>
          <w:tcPr>
            <w:tcW w:w="1111" w:type="dxa"/>
            <w:tcBorders>
              <w:left w:val="nil"/>
              <w:bottom w:val="nil"/>
              <w:right w:val="nil"/>
            </w:tcBorders>
            <w:noWrap/>
          </w:tcPr>
          <w:p w14:paraId="32A535E1" w14:textId="77777777" w:rsidR="004F42EB" w:rsidRPr="00C16C48" w:rsidRDefault="004F42EB" w:rsidP="00567DDB">
            <w:pPr>
              <w:rPr>
                <w:rFonts w:ascii="Times New Roman" w:hAnsi="Times New Roman" w:cs="Times New Roman"/>
                <w:b/>
                <w:sz w:val="16"/>
                <w:szCs w:val="16"/>
              </w:rPr>
            </w:pPr>
            <w:r w:rsidRPr="00C16C48">
              <w:rPr>
                <w:rFonts w:ascii="Times New Roman" w:hAnsi="Times New Roman" w:cs="Times New Roman"/>
                <w:b/>
                <w:sz w:val="16"/>
                <w:szCs w:val="16"/>
              </w:rPr>
              <w:t>Vessels</w:t>
            </w:r>
          </w:p>
        </w:tc>
        <w:tc>
          <w:tcPr>
            <w:tcW w:w="2599" w:type="dxa"/>
            <w:tcBorders>
              <w:left w:val="nil"/>
              <w:bottom w:val="nil"/>
              <w:right w:val="nil"/>
            </w:tcBorders>
            <w:noWrap/>
          </w:tcPr>
          <w:p w14:paraId="0710BF06" w14:textId="77777777" w:rsidR="004F42EB" w:rsidRPr="00C16C48" w:rsidRDefault="004F42EB" w:rsidP="00567DDB">
            <w:pPr>
              <w:rPr>
                <w:rFonts w:ascii="Times New Roman" w:hAnsi="Times New Roman" w:cs="Times New Roman"/>
                <w:sz w:val="16"/>
                <w:szCs w:val="16"/>
              </w:rPr>
            </w:pPr>
          </w:p>
        </w:tc>
      </w:tr>
      <w:tr w:rsidR="004F42EB" w:rsidRPr="004F42EB" w14:paraId="644E3237" w14:textId="77777777" w:rsidTr="00567DDB">
        <w:trPr>
          <w:trHeight w:val="270"/>
        </w:trPr>
        <w:tc>
          <w:tcPr>
            <w:tcW w:w="1111" w:type="dxa"/>
            <w:tcBorders>
              <w:top w:val="nil"/>
              <w:left w:val="nil"/>
              <w:bottom w:val="nil"/>
              <w:right w:val="nil"/>
            </w:tcBorders>
            <w:noWrap/>
            <w:hideMark/>
          </w:tcPr>
          <w:p w14:paraId="6023319D"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Minor</w:t>
            </w:r>
          </w:p>
        </w:tc>
        <w:tc>
          <w:tcPr>
            <w:tcW w:w="2599" w:type="dxa"/>
            <w:tcBorders>
              <w:top w:val="nil"/>
              <w:left w:val="nil"/>
              <w:bottom w:val="nil"/>
              <w:right w:val="nil"/>
            </w:tcBorders>
            <w:noWrap/>
            <w:hideMark/>
          </w:tcPr>
          <w:p w14:paraId="41333392"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&lt; 3 vessels</w:t>
            </w:r>
          </w:p>
        </w:tc>
      </w:tr>
      <w:tr w:rsidR="004F42EB" w:rsidRPr="004F42EB" w14:paraId="1651D29F" w14:textId="77777777" w:rsidTr="00567DDB">
        <w:trPr>
          <w:trHeight w:val="270"/>
        </w:trPr>
        <w:tc>
          <w:tcPr>
            <w:tcW w:w="1111" w:type="dxa"/>
            <w:tcBorders>
              <w:top w:val="nil"/>
              <w:left w:val="nil"/>
              <w:bottom w:val="nil"/>
              <w:right w:val="nil"/>
            </w:tcBorders>
            <w:noWrap/>
            <w:hideMark/>
          </w:tcPr>
          <w:p w14:paraId="26E96171"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Moderate</w:t>
            </w:r>
          </w:p>
        </w:tc>
        <w:tc>
          <w:tcPr>
            <w:tcW w:w="2599" w:type="dxa"/>
            <w:tcBorders>
              <w:top w:val="nil"/>
              <w:left w:val="nil"/>
              <w:bottom w:val="nil"/>
              <w:right w:val="nil"/>
            </w:tcBorders>
            <w:noWrap/>
            <w:hideMark/>
          </w:tcPr>
          <w:p w14:paraId="624BF062"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 3 but &lt; 10 vessels</w:t>
            </w:r>
          </w:p>
        </w:tc>
      </w:tr>
      <w:tr w:rsidR="004F42EB" w:rsidRPr="004F42EB" w14:paraId="16F266F1" w14:textId="77777777" w:rsidTr="00567DDB">
        <w:trPr>
          <w:trHeight w:val="270"/>
        </w:trPr>
        <w:tc>
          <w:tcPr>
            <w:tcW w:w="1111" w:type="dxa"/>
            <w:tcBorders>
              <w:top w:val="nil"/>
              <w:left w:val="nil"/>
              <w:bottom w:val="single" w:sz="4" w:space="0" w:color="auto"/>
              <w:right w:val="nil"/>
            </w:tcBorders>
            <w:noWrap/>
            <w:hideMark/>
          </w:tcPr>
          <w:p w14:paraId="5C09CA45"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 xml:space="preserve">Major </w:t>
            </w:r>
          </w:p>
        </w:tc>
        <w:tc>
          <w:tcPr>
            <w:tcW w:w="2599" w:type="dxa"/>
            <w:tcBorders>
              <w:top w:val="nil"/>
              <w:left w:val="nil"/>
              <w:bottom w:val="single" w:sz="4" w:space="0" w:color="auto"/>
              <w:right w:val="nil"/>
            </w:tcBorders>
            <w:noWrap/>
            <w:hideMark/>
          </w:tcPr>
          <w:p w14:paraId="7EA18EDB"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 10 vessels</w:t>
            </w:r>
          </w:p>
        </w:tc>
      </w:tr>
      <w:tr w:rsidR="004F42EB" w:rsidRPr="004F42EB" w14:paraId="2F6B2854" w14:textId="77777777" w:rsidTr="00567DDB">
        <w:trPr>
          <w:trHeight w:val="270"/>
        </w:trPr>
        <w:tc>
          <w:tcPr>
            <w:tcW w:w="1111" w:type="dxa"/>
            <w:tcBorders>
              <w:left w:val="nil"/>
              <w:bottom w:val="nil"/>
              <w:right w:val="nil"/>
            </w:tcBorders>
            <w:noWrap/>
            <w:hideMark/>
          </w:tcPr>
          <w:p w14:paraId="6C63D6EF" w14:textId="77777777" w:rsidR="004F42EB" w:rsidRPr="00C16C48" w:rsidRDefault="004F42EB" w:rsidP="00567DDB">
            <w:pPr>
              <w:rPr>
                <w:rFonts w:ascii="Times New Roman" w:hAnsi="Times New Roman" w:cs="Times New Roman"/>
                <w:b/>
                <w:sz w:val="16"/>
                <w:szCs w:val="16"/>
              </w:rPr>
            </w:pPr>
            <w:r w:rsidRPr="00C16C48">
              <w:rPr>
                <w:rFonts w:ascii="Times New Roman" w:hAnsi="Times New Roman" w:cs="Times New Roman"/>
                <w:b/>
                <w:sz w:val="16"/>
                <w:szCs w:val="16"/>
              </w:rPr>
              <w:t>People</w:t>
            </w:r>
          </w:p>
        </w:tc>
        <w:tc>
          <w:tcPr>
            <w:tcW w:w="2599" w:type="dxa"/>
            <w:tcBorders>
              <w:left w:val="nil"/>
              <w:bottom w:val="nil"/>
              <w:right w:val="nil"/>
            </w:tcBorders>
            <w:noWrap/>
            <w:hideMark/>
          </w:tcPr>
          <w:p w14:paraId="4D396F2E" w14:textId="5CC24150" w:rsidR="004F42EB" w:rsidRPr="00C16C48" w:rsidRDefault="004F42EB" w:rsidP="00567DDB">
            <w:pPr>
              <w:rPr>
                <w:rFonts w:ascii="Times New Roman" w:hAnsi="Times New Roman" w:cs="Times New Roman"/>
                <w:sz w:val="16"/>
                <w:szCs w:val="16"/>
              </w:rPr>
            </w:pPr>
          </w:p>
        </w:tc>
      </w:tr>
      <w:tr w:rsidR="004F42EB" w:rsidRPr="004F42EB" w14:paraId="66D0F8FE" w14:textId="77777777" w:rsidTr="00567DDB">
        <w:trPr>
          <w:trHeight w:val="270"/>
        </w:trPr>
        <w:tc>
          <w:tcPr>
            <w:tcW w:w="1111" w:type="dxa"/>
            <w:tcBorders>
              <w:top w:val="nil"/>
              <w:left w:val="nil"/>
              <w:bottom w:val="nil"/>
              <w:right w:val="nil"/>
            </w:tcBorders>
            <w:noWrap/>
            <w:hideMark/>
          </w:tcPr>
          <w:p w14:paraId="3CF6F894"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Minor</w:t>
            </w:r>
          </w:p>
        </w:tc>
        <w:tc>
          <w:tcPr>
            <w:tcW w:w="2599" w:type="dxa"/>
            <w:tcBorders>
              <w:top w:val="nil"/>
              <w:left w:val="nil"/>
              <w:bottom w:val="nil"/>
              <w:right w:val="nil"/>
            </w:tcBorders>
            <w:noWrap/>
            <w:hideMark/>
          </w:tcPr>
          <w:p w14:paraId="69AB2C57"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&lt;10 people</w:t>
            </w:r>
          </w:p>
        </w:tc>
      </w:tr>
      <w:tr w:rsidR="004F42EB" w:rsidRPr="004F42EB" w14:paraId="6E6F7E1E" w14:textId="77777777" w:rsidTr="00567DDB">
        <w:trPr>
          <w:trHeight w:val="270"/>
        </w:trPr>
        <w:tc>
          <w:tcPr>
            <w:tcW w:w="1111" w:type="dxa"/>
            <w:tcBorders>
              <w:top w:val="nil"/>
              <w:left w:val="nil"/>
              <w:bottom w:val="nil"/>
              <w:right w:val="nil"/>
            </w:tcBorders>
            <w:noWrap/>
            <w:hideMark/>
          </w:tcPr>
          <w:p w14:paraId="79ED1DFC"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Moderate</w:t>
            </w:r>
          </w:p>
        </w:tc>
        <w:tc>
          <w:tcPr>
            <w:tcW w:w="2599" w:type="dxa"/>
            <w:tcBorders>
              <w:top w:val="nil"/>
              <w:left w:val="nil"/>
              <w:bottom w:val="nil"/>
              <w:right w:val="nil"/>
            </w:tcBorders>
            <w:noWrap/>
            <w:hideMark/>
          </w:tcPr>
          <w:p w14:paraId="18A4341A"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&gt;10 but &lt; 1 000 people</w:t>
            </w:r>
          </w:p>
        </w:tc>
      </w:tr>
      <w:tr w:rsidR="004F42EB" w:rsidRPr="004F42EB" w14:paraId="5341CF32" w14:textId="77777777" w:rsidTr="00567DDB">
        <w:trPr>
          <w:trHeight w:val="270"/>
        </w:trPr>
        <w:tc>
          <w:tcPr>
            <w:tcW w:w="1111" w:type="dxa"/>
            <w:tcBorders>
              <w:top w:val="nil"/>
              <w:left w:val="nil"/>
              <w:bottom w:val="single" w:sz="4" w:space="0" w:color="auto"/>
              <w:right w:val="nil"/>
            </w:tcBorders>
            <w:noWrap/>
            <w:hideMark/>
          </w:tcPr>
          <w:p w14:paraId="46463956"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 xml:space="preserve">Major </w:t>
            </w:r>
          </w:p>
        </w:tc>
        <w:tc>
          <w:tcPr>
            <w:tcW w:w="2599" w:type="dxa"/>
            <w:tcBorders>
              <w:top w:val="nil"/>
              <w:left w:val="nil"/>
              <w:bottom w:val="single" w:sz="4" w:space="0" w:color="auto"/>
              <w:right w:val="nil"/>
            </w:tcBorders>
            <w:noWrap/>
            <w:hideMark/>
          </w:tcPr>
          <w:p w14:paraId="0F127C93"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 1 000 people</w:t>
            </w:r>
          </w:p>
        </w:tc>
      </w:tr>
      <w:tr w:rsidR="004F42EB" w:rsidRPr="004F42EB" w14:paraId="3F5FAC81" w14:textId="77777777" w:rsidTr="00567DDB">
        <w:trPr>
          <w:trHeight w:val="270"/>
        </w:trPr>
        <w:tc>
          <w:tcPr>
            <w:tcW w:w="1111" w:type="dxa"/>
            <w:tcBorders>
              <w:left w:val="nil"/>
              <w:bottom w:val="nil"/>
              <w:right w:val="nil"/>
            </w:tcBorders>
            <w:noWrap/>
            <w:hideMark/>
          </w:tcPr>
          <w:p w14:paraId="1EB6890F" w14:textId="77777777" w:rsidR="004F42EB" w:rsidRPr="00C16C48" w:rsidRDefault="004F42EB" w:rsidP="00567DDB">
            <w:pPr>
              <w:rPr>
                <w:rFonts w:ascii="Times New Roman" w:hAnsi="Times New Roman" w:cs="Times New Roman"/>
                <w:b/>
                <w:sz w:val="16"/>
                <w:szCs w:val="16"/>
              </w:rPr>
            </w:pPr>
            <w:r w:rsidRPr="00C16C48">
              <w:rPr>
                <w:rFonts w:ascii="Times New Roman" w:hAnsi="Times New Roman" w:cs="Times New Roman"/>
                <w:b/>
                <w:sz w:val="16"/>
                <w:szCs w:val="16"/>
              </w:rPr>
              <w:t>Tonnage</w:t>
            </w:r>
          </w:p>
        </w:tc>
        <w:tc>
          <w:tcPr>
            <w:tcW w:w="2599" w:type="dxa"/>
            <w:tcBorders>
              <w:left w:val="nil"/>
              <w:bottom w:val="nil"/>
              <w:right w:val="nil"/>
            </w:tcBorders>
            <w:noWrap/>
            <w:hideMark/>
          </w:tcPr>
          <w:p w14:paraId="5BB4BA65" w14:textId="1457B24A" w:rsidR="004F42EB" w:rsidRPr="00C16C48" w:rsidRDefault="004F42EB" w:rsidP="00567DDB">
            <w:pPr>
              <w:rPr>
                <w:rFonts w:ascii="Times New Roman" w:hAnsi="Times New Roman" w:cs="Times New Roman"/>
                <w:sz w:val="16"/>
                <w:szCs w:val="16"/>
              </w:rPr>
            </w:pPr>
          </w:p>
        </w:tc>
      </w:tr>
      <w:tr w:rsidR="004F42EB" w:rsidRPr="004F42EB" w14:paraId="3BBA955D" w14:textId="77777777" w:rsidTr="00567DDB">
        <w:trPr>
          <w:trHeight w:val="270"/>
        </w:trPr>
        <w:tc>
          <w:tcPr>
            <w:tcW w:w="1111" w:type="dxa"/>
            <w:tcBorders>
              <w:top w:val="nil"/>
              <w:left w:val="nil"/>
              <w:bottom w:val="nil"/>
              <w:right w:val="nil"/>
            </w:tcBorders>
            <w:noWrap/>
            <w:hideMark/>
          </w:tcPr>
          <w:p w14:paraId="54699559"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Minor</w:t>
            </w:r>
          </w:p>
        </w:tc>
        <w:tc>
          <w:tcPr>
            <w:tcW w:w="2599" w:type="dxa"/>
            <w:tcBorders>
              <w:top w:val="nil"/>
              <w:left w:val="nil"/>
              <w:bottom w:val="nil"/>
              <w:right w:val="nil"/>
            </w:tcBorders>
            <w:noWrap/>
            <w:hideMark/>
          </w:tcPr>
          <w:p w14:paraId="719351EB"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&lt;20 000 kg</w:t>
            </w:r>
          </w:p>
        </w:tc>
      </w:tr>
      <w:tr w:rsidR="004F42EB" w:rsidRPr="004F42EB" w14:paraId="3D0AB150" w14:textId="77777777" w:rsidTr="00567DDB">
        <w:trPr>
          <w:trHeight w:val="270"/>
        </w:trPr>
        <w:tc>
          <w:tcPr>
            <w:tcW w:w="1111" w:type="dxa"/>
            <w:tcBorders>
              <w:top w:val="nil"/>
              <w:left w:val="nil"/>
              <w:bottom w:val="nil"/>
              <w:right w:val="nil"/>
            </w:tcBorders>
            <w:noWrap/>
            <w:hideMark/>
          </w:tcPr>
          <w:p w14:paraId="0000E755"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Moderate</w:t>
            </w:r>
          </w:p>
        </w:tc>
        <w:tc>
          <w:tcPr>
            <w:tcW w:w="2599" w:type="dxa"/>
            <w:tcBorders>
              <w:top w:val="nil"/>
              <w:left w:val="nil"/>
              <w:bottom w:val="nil"/>
              <w:right w:val="nil"/>
            </w:tcBorders>
            <w:noWrap/>
            <w:hideMark/>
          </w:tcPr>
          <w:p w14:paraId="3DB7537D"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 20 000 but &lt; 100 000 kg</w:t>
            </w:r>
          </w:p>
        </w:tc>
      </w:tr>
      <w:tr w:rsidR="004F42EB" w:rsidRPr="004F42EB" w14:paraId="744B4720" w14:textId="77777777" w:rsidTr="00567DDB">
        <w:trPr>
          <w:trHeight w:val="270"/>
        </w:trPr>
        <w:tc>
          <w:tcPr>
            <w:tcW w:w="1111" w:type="dxa"/>
            <w:tcBorders>
              <w:top w:val="nil"/>
              <w:left w:val="nil"/>
              <w:right w:val="nil"/>
            </w:tcBorders>
            <w:noWrap/>
            <w:hideMark/>
          </w:tcPr>
          <w:p w14:paraId="5E411597"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 xml:space="preserve">Major </w:t>
            </w:r>
          </w:p>
        </w:tc>
        <w:tc>
          <w:tcPr>
            <w:tcW w:w="2599" w:type="dxa"/>
            <w:tcBorders>
              <w:top w:val="nil"/>
              <w:left w:val="nil"/>
              <w:right w:val="nil"/>
            </w:tcBorders>
            <w:noWrap/>
            <w:hideMark/>
          </w:tcPr>
          <w:p w14:paraId="01E61F4C" w14:textId="77777777" w:rsidR="004F42EB" w:rsidRPr="00C16C48" w:rsidRDefault="004F42EB" w:rsidP="00567DDB">
            <w:pPr>
              <w:rPr>
                <w:rFonts w:ascii="Times New Roman" w:hAnsi="Times New Roman" w:cs="Times New Roman"/>
                <w:sz w:val="16"/>
                <w:szCs w:val="16"/>
              </w:rPr>
            </w:pPr>
            <w:r w:rsidRPr="00C16C48">
              <w:rPr>
                <w:rFonts w:ascii="Times New Roman" w:hAnsi="Times New Roman" w:cs="Times New Roman"/>
                <w:sz w:val="16"/>
                <w:szCs w:val="16"/>
              </w:rPr>
              <w:t>&gt; 100 000 kg</w:t>
            </w:r>
          </w:p>
        </w:tc>
      </w:tr>
    </w:tbl>
    <w:p w14:paraId="06F49064" w14:textId="77777777" w:rsidR="004F42EB" w:rsidRDefault="004F42EB" w:rsidP="004F42EB"/>
    <w:p w14:paraId="00000114" w14:textId="4588E3D1" w:rsidR="004F42EB" w:rsidRDefault="004F42EB">
      <w:pPr>
        <w:spacing w:before="240" w:after="120" w:line="240" w:lineRule="auto"/>
        <w:jc w:val="both"/>
        <w:rPr>
          <w:rFonts w:ascii="Times New Roman" w:eastAsia="Times New Roman" w:hAnsi="Times New Roman" w:cs="Times New Roman"/>
          <w:b/>
          <w:sz w:val="20"/>
          <w:szCs w:val="20"/>
        </w:rPr>
        <w:sectPr w:rsidR="004F42EB" w:rsidSect="0099474B">
          <w:type w:val="continuous"/>
          <w:pgSz w:w="11906" w:h="16838"/>
          <w:pgMar w:top="1440" w:right="1440" w:bottom="1440" w:left="1440" w:header="708" w:footer="708" w:gutter="0"/>
          <w:cols w:space="720"/>
          <w:docGrid w:linePitch="299"/>
        </w:sectPr>
      </w:pPr>
    </w:p>
    <w:p w14:paraId="00000115" w14:textId="26A6C27F" w:rsidR="00073819" w:rsidRDefault="0099474B">
      <w:pPr>
        <w:spacing w:before="240" w:after="120"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lastRenderedPageBreak/>
        <w:t>Table S</w:t>
      </w:r>
      <w:r w:rsidR="002E2C82">
        <w:rPr>
          <w:rFonts w:ascii="Times New Roman" w:eastAsia="Times New Roman" w:hAnsi="Times New Roman" w:cs="Times New Roman"/>
          <w:b/>
          <w:sz w:val="20"/>
          <w:szCs w:val="20"/>
        </w:rPr>
        <w:t>4</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 xml:space="preserve">Number of recorded introductions by pathway category, subcategory and decade, and corresponding confidence level (i.e., introduction rates). For full details see Appendix 1. In this case, each taxon was assigned to a single </w:t>
      </w:r>
      <w:r w:rsidR="004159CB">
        <w:rPr>
          <w:rFonts w:ascii="Times New Roman" w:eastAsia="Times New Roman" w:hAnsi="Times New Roman" w:cs="Times New Roman"/>
          <w:sz w:val="20"/>
          <w:szCs w:val="20"/>
        </w:rPr>
        <w:t xml:space="preserve">introduction </w:t>
      </w:r>
      <w:r>
        <w:rPr>
          <w:rFonts w:ascii="Times New Roman" w:eastAsia="Times New Roman" w:hAnsi="Times New Roman" w:cs="Times New Roman"/>
          <w:sz w:val="20"/>
          <w:szCs w:val="20"/>
        </w:rPr>
        <w:t>pathway, although multiple pathways could have been operating</w:t>
      </w:r>
    </w:p>
    <w:p w14:paraId="00000116" w14:textId="77777777" w:rsidR="00073819" w:rsidRDefault="00073819">
      <w:pPr>
        <w:spacing w:after="0" w:line="240" w:lineRule="auto"/>
        <w:jc w:val="center"/>
        <w:rPr>
          <w:rFonts w:ascii="Times New Roman" w:eastAsia="Times New Roman" w:hAnsi="Times New Roman" w:cs="Times New Roman"/>
          <w:b/>
          <w:color w:val="000000"/>
          <w:sz w:val="16"/>
          <w:szCs w:val="16"/>
        </w:rPr>
      </w:pPr>
    </w:p>
    <w:tbl>
      <w:tblPr>
        <w:tblStyle w:val="a4"/>
        <w:tblW w:w="10795" w:type="dxa"/>
        <w:jc w:val="center"/>
        <w:tblLayout w:type="fixed"/>
        <w:tblLook w:val="0400" w:firstRow="0" w:lastRow="0" w:firstColumn="0" w:lastColumn="0" w:noHBand="0" w:noVBand="1"/>
      </w:tblPr>
      <w:tblGrid>
        <w:gridCol w:w="1062"/>
        <w:gridCol w:w="1201"/>
        <w:gridCol w:w="426"/>
        <w:gridCol w:w="425"/>
        <w:gridCol w:w="425"/>
        <w:gridCol w:w="425"/>
        <w:gridCol w:w="426"/>
        <w:gridCol w:w="425"/>
        <w:gridCol w:w="425"/>
        <w:gridCol w:w="425"/>
        <w:gridCol w:w="426"/>
        <w:gridCol w:w="424"/>
        <w:gridCol w:w="416"/>
        <w:gridCol w:w="415"/>
        <w:gridCol w:w="415"/>
        <w:gridCol w:w="425"/>
        <w:gridCol w:w="914"/>
        <w:gridCol w:w="615"/>
        <w:gridCol w:w="1080"/>
      </w:tblGrid>
      <w:tr w:rsidR="00073819" w14:paraId="2499FEAE" w14:textId="77777777">
        <w:trPr>
          <w:trHeight w:val="1050"/>
          <w:jc w:val="center"/>
        </w:trPr>
        <w:tc>
          <w:tcPr>
            <w:tcW w:w="2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0000117"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Pathway categories &amp; subcategories</w:t>
            </w:r>
          </w:p>
        </w:tc>
        <w:tc>
          <w:tcPr>
            <w:tcW w:w="426" w:type="dxa"/>
            <w:tcBorders>
              <w:top w:val="single" w:sz="4" w:space="0" w:color="000000"/>
              <w:left w:val="nil"/>
              <w:bottom w:val="single" w:sz="4" w:space="0" w:color="000000"/>
              <w:right w:val="single" w:sz="4" w:space="0" w:color="000000"/>
            </w:tcBorders>
            <w:shd w:val="clear" w:color="auto" w:fill="auto"/>
            <w:vAlign w:val="center"/>
          </w:tcPr>
          <w:p w14:paraId="00000119"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1800s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1A"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1810s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1B"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1870s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1C"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1910s</w:t>
            </w:r>
          </w:p>
        </w:tc>
        <w:tc>
          <w:tcPr>
            <w:tcW w:w="426" w:type="dxa"/>
            <w:tcBorders>
              <w:top w:val="single" w:sz="4" w:space="0" w:color="000000"/>
              <w:left w:val="nil"/>
              <w:bottom w:val="single" w:sz="4" w:space="0" w:color="000000"/>
              <w:right w:val="single" w:sz="4" w:space="0" w:color="000000"/>
            </w:tcBorders>
            <w:shd w:val="clear" w:color="auto" w:fill="auto"/>
            <w:vAlign w:val="center"/>
          </w:tcPr>
          <w:p w14:paraId="0000011D"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1930s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1E"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1940s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1F"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1950s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20"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1960s</w:t>
            </w:r>
          </w:p>
        </w:tc>
        <w:tc>
          <w:tcPr>
            <w:tcW w:w="426" w:type="dxa"/>
            <w:tcBorders>
              <w:top w:val="single" w:sz="4" w:space="0" w:color="000000"/>
              <w:left w:val="nil"/>
              <w:bottom w:val="single" w:sz="4" w:space="0" w:color="000000"/>
              <w:right w:val="single" w:sz="4" w:space="0" w:color="000000"/>
            </w:tcBorders>
            <w:shd w:val="clear" w:color="auto" w:fill="auto"/>
            <w:vAlign w:val="center"/>
          </w:tcPr>
          <w:p w14:paraId="00000121"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1970s</w:t>
            </w:r>
          </w:p>
        </w:tc>
        <w:tc>
          <w:tcPr>
            <w:tcW w:w="424" w:type="dxa"/>
            <w:tcBorders>
              <w:top w:val="single" w:sz="4" w:space="0" w:color="000000"/>
              <w:left w:val="nil"/>
              <w:bottom w:val="single" w:sz="4" w:space="0" w:color="000000"/>
              <w:right w:val="single" w:sz="4" w:space="0" w:color="000000"/>
            </w:tcBorders>
            <w:shd w:val="clear" w:color="auto" w:fill="auto"/>
            <w:vAlign w:val="center"/>
          </w:tcPr>
          <w:p w14:paraId="00000122"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1980s</w:t>
            </w:r>
          </w:p>
        </w:tc>
        <w:tc>
          <w:tcPr>
            <w:tcW w:w="416" w:type="dxa"/>
            <w:tcBorders>
              <w:top w:val="single" w:sz="4" w:space="0" w:color="000000"/>
              <w:left w:val="nil"/>
              <w:bottom w:val="single" w:sz="4" w:space="0" w:color="000000"/>
              <w:right w:val="single" w:sz="4" w:space="0" w:color="000000"/>
            </w:tcBorders>
            <w:shd w:val="clear" w:color="auto" w:fill="auto"/>
            <w:vAlign w:val="center"/>
          </w:tcPr>
          <w:p w14:paraId="00000123"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1990s</w:t>
            </w:r>
          </w:p>
        </w:tc>
        <w:tc>
          <w:tcPr>
            <w:tcW w:w="415" w:type="dxa"/>
            <w:tcBorders>
              <w:top w:val="single" w:sz="4" w:space="0" w:color="000000"/>
              <w:left w:val="nil"/>
              <w:bottom w:val="single" w:sz="4" w:space="0" w:color="000000"/>
              <w:right w:val="single" w:sz="4" w:space="0" w:color="000000"/>
            </w:tcBorders>
            <w:shd w:val="clear" w:color="auto" w:fill="auto"/>
            <w:vAlign w:val="center"/>
          </w:tcPr>
          <w:p w14:paraId="00000124"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2000s</w:t>
            </w:r>
          </w:p>
        </w:tc>
        <w:tc>
          <w:tcPr>
            <w:tcW w:w="415" w:type="dxa"/>
            <w:tcBorders>
              <w:top w:val="single" w:sz="4" w:space="0" w:color="000000"/>
              <w:left w:val="nil"/>
              <w:bottom w:val="single" w:sz="4" w:space="0" w:color="000000"/>
              <w:right w:val="single" w:sz="4" w:space="0" w:color="000000"/>
            </w:tcBorders>
            <w:shd w:val="clear" w:color="auto" w:fill="auto"/>
            <w:vAlign w:val="center"/>
          </w:tcPr>
          <w:p w14:paraId="00000125"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2010s</w:t>
            </w:r>
          </w:p>
        </w:tc>
        <w:tc>
          <w:tcPr>
            <w:tcW w:w="425" w:type="dxa"/>
            <w:tcBorders>
              <w:top w:val="single" w:sz="4" w:space="0" w:color="000000"/>
              <w:left w:val="nil"/>
              <w:bottom w:val="single" w:sz="4" w:space="0" w:color="000000"/>
              <w:right w:val="single" w:sz="4" w:space="0" w:color="000000"/>
            </w:tcBorders>
            <w:shd w:val="clear" w:color="auto" w:fill="auto"/>
            <w:vAlign w:val="center"/>
          </w:tcPr>
          <w:p w14:paraId="00000126"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2020s</w:t>
            </w:r>
          </w:p>
        </w:tc>
        <w:tc>
          <w:tcPr>
            <w:tcW w:w="914" w:type="dxa"/>
            <w:tcBorders>
              <w:top w:val="single" w:sz="4" w:space="0" w:color="000000"/>
              <w:left w:val="nil"/>
              <w:bottom w:val="single" w:sz="4" w:space="0" w:color="000000"/>
              <w:right w:val="single" w:sz="4" w:space="0" w:color="000000"/>
            </w:tcBorders>
            <w:shd w:val="clear" w:color="auto" w:fill="auto"/>
            <w:vAlign w:val="center"/>
          </w:tcPr>
          <w:p w14:paraId="00000127"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Unknown</w:t>
            </w:r>
          </w:p>
        </w:tc>
        <w:tc>
          <w:tcPr>
            <w:tcW w:w="615" w:type="dxa"/>
            <w:tcBorders>
              <w:top w:val="single" w:sz="4" w:space="0" w:color="000000"/>
              <w:left w:val="nil"/>
              <w:bottom w:val="single" w:sz="4" w:space="0" w:color="000000"/>
              <w:right w:val="single" w:sz="4" w:space="0" w:color="000000"/>
            </w:tcBorders>
            <w:shd w:val="clear" w:color="auto" w:fill="auto"/>
            <w:vAlign w:val="center"/>
          </w:tcPr>
          <w:p w14:paraId="00000128"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Total</w:t>
            </w:r>
          </w:p>
        </w:tc>
        <w:tc>
          <w:tcPr>
            <w:tcW w:w="1080" w:type="dxa"/>
            <w:tcBorders>
              <w:top w:val="single" w:sz="4" w:space="0" w:color="000000"/>
              <w:left w:val="nil"/>
              <w:bottom w:val="single" w:sz="4" w:space="0" w:color="000000"/>
              <w:right w:val="single" w:sz="4" w:space="0" w:color="000000"/>
            </w:tcBorders>
            <w:shd w:val="clear" w:color="auto" w:fill="auto"/>
            <w:vAlign w:val="center"/>
          </w:tcPr>
          <w:p w14:paraId="00000129" w14:textId="77777777" w:rsidR="00073819" w:rsidRDefault="0099474B">
            <w:pP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Confidence</w:t>
            </w:r>
          </w:p>
        </w:tc>
      </w:tr>
      <w:tr w:rsidR="00073819" w14:paraId="42CC2FC1" w14:textId="77777777">
        <w:trPr>
          <w:trHeight w:val="450"/>
          <w:jc w:val="center"/>
        </w:trPr>
        <w:tc>
          <w:tcPr>
            <w:tcW w:w="1062" w:type="dxa"/>
            <w:vMerge w:val="restart"/>
            <w:tcBorders>
              <w:top w:val="nil"/>
              <w:left w:val="single" w:sz="4" w:space="0" w:color="000000"/>
              <w:bottom w:val="single" w:sz="4" w:space="0" w:color="000000"/>
              <w:right w:val="single" w:sz="4" w:space="0" w:color="000000"/>
            </w:tcBorders>
            <w:shd w:val="clear" w:color="auto" w:fill="auto"/>
            <w:vAlign w:val="center"/>
          </w:tcPr>
          <w:p w14:paraId="0000012A"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Release</w:t>
            </w:r>
          </w:p>
        </w:tc>
        <w:tc>
          <w:tcPr>
            <w:tcW w:w="1201" w:type="dxa"/>
            <w:tcBorders>
              <w:top w:val="nil"/>
              <w:left w:val="nil"/>
              <w:bottom w:val="single" w:sz="4" w:space="0" w:color="000000"/>
              <w:right w:val="single" w:sz="4" w:space="0" w:color="000000"/>
            </w:tcBorders>
            <w:shd w:val="clear" w:color="auto" w:fill="auto"/>
            <w:vAlign w:val="center"/>
          </w:tcPr>
          <w:p w14:paraId="0000012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Landscape Improvement</w:t>
            </w:r>
          </w:p>
        </w:tc>
        <w:tc>
          <w:tcPr>
            <w:tcW w:w="426" w:type="dxa"/>
            <w:tcBorders>
              <w:top w:val="nil"/>
              <w:left w:val="nil"/>
              <w:bottom w:val="single" w:sz="4" w:space="0" w:color="000000"/>
              <w:right w:val="single" w:sz="4" w:space="0" w:color="000000"/>
            </w:tcBorders>
            <w:shd w:val="clear" w:color="auto" w:fill="auto"/>
            <w:vAlign w:val="center"/>
          </w:tcPr>
          <w:p w14:paraId="0000012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2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2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2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3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3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132"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25" w:type="dxa"/>
            <w:tcBorders>
              <w:top w:val="nil"/>
              <w:left w:val="nil"/>
              <w:bottom w:val="single" w:sz="4" w:space="0" w:color="000000"/>
              <w:right w:val="single" w:sz="4" w:space="0" w:color="000000"/>
            </w:tcBorders>
            <w:shd w:val="clear" w:color="auto" w:fill="auto"/>
            <w:vAlign w:val="bottom"/>
          </w:tcPr>
          <w:p w14:paraId="0000013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3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bottom"/>
          </w:tcPr>
          <w:p w14:paraId="0000013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3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3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3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3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3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3B"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3</w:t>
            </w:r>
          </w:p>
        </w:tc>
        <w:tc>
          <w:tcPr>
            <w:tcW w:w="1080" w:type="dxa"/>
            <w:tcBorders>
              <w:top w:val="nil"/>
              <w:left w:val="nil"/>
              <w:bottom w:val="single" w:sz="4" w:space="0" w:color="000000"/>
              <w:right w:val="single" w:sz="4" w:space="0" w:color="000000"/>
            </w:tcBorders>
            <w:shd w:val="clear" w:color="auto" w:fill="auto"/>
            <w:vAlign w:val="center"/>
          </w:tcPr>
          <w:p w14:paraId="0000013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2E50DC96" w14:textId="77777777">
        <w:trPr>
          <w:trHeight w:val="28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3D"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3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Biological Control</w:t>
            </w:r>
          </w:p>
        </w:tc>
        <w:tc>
          <w:tcPr>
            <w:tcW w:w="426" w:type="dxa"/>
            <w:tcBorders>
              <w:top w:val="nil"/>
              <w:left w:val="nil"/>
              <w:bottom w:val="single" w:sz="4" w:space="0" w:color="000000"/>
              <w:right w:val="single" w:sz="4" w:space="0" w:color="000000"/>
            </w:tcBorders>
            <w:shd w:val="clear" w:color="auto" w:fill="auto"/>
            <w:vAlign w:val="center"/>
          </w:tcPr>
          <w:p w14:paraId="0000013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140"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14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4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4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144"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bottom"/>
          </w:tcPr>
          <w:p w14:paraId="0000014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4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center"/>
          </w:tcPr>
          <w:p w14:paraId="00000147"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4" w:type="dxa"/>
            <w:tcBorders>
              <w:top w:val="nil"/>
              <w:left w:val="nil"/>
              <w:bottom w:val="single" w:sz="4" w:space="0" w:color="000000"/>
              <w:right w:val="single" w:sz="4" w:space="0" w:color="000000"/>
            </w:tcBorders>
            <w:shd w:val="clear" w:color="auto" w:fill="auto"/>
            <w:vAlign w:val="bottom"/>
          </w:tcPr>
          <w:p w14:paraId="0000014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4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4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4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4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4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4E"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4</w:t>
            </w:r>
          </w:p>
        </w:tc>
        <w:tc>
          <w:tcPr>
            <w:tcW w:w="1080" w:type="dxa"/>
            <w:tcBorders>
              <w:top w:val="nil"/>
              <w:left w:val="nil"/>
              <w:bottom w:val="single" w:sz="4" w:space="0" w:color="000000"/>
              <w:right w:val="single" w:sz="4" w:space="0" w:color="000000"/>
            </w:tcBorders>
            <w:shd w:val="clear" w:color="auto" w:fill="auto"/>
            <w:vAlign w:val="center"/>
          </w:tcPr>
          <w:p w14:paraId="0000014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6F2B4400" w14:textId="77777777">
        <w:trPr>
          <w:trHeight w:val="28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50"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5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Fishery In Wild</w:t>
            </w:r>
          </w:p>
        </w:tc>
        <w:tc>
          <w:tcPr>
            <w:tcW w:w="426" w:type="dxa"/>
            <w:tcBorders>
              <w:top w:val="nil"/>
              <w:left w:val="nil"/>
              <w:bottom w:val="single" w:sz="4" w:space="0" w:color="000000"/>
              <w:right w:val="single" w:sz="4" w:space="0" w:color="000000"/>
            </w:tcBorders>
            <w:shd w:val="clear" w:color="auto" w:fill="auto"/>
            <w:vAlign w:val="center"/>
          </w:tcPr>
          <w:p w14:paraId="0000015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5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8"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159"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bottom"/>
          </w:tcPr>
          <w:p w14:paraId="0000015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bottom"/>
          </w:tcPr>
          <w:p w14:paraId="0000015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5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5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5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5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6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61"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w:t>
            </w:r>
          </w:p>
        </w:tc>
        <w:tc>
          <w:tcPr>
            <w:tcW w:w="1080" w:type="dxa"/>
            <w:tcBorders>
              <w:top w:val="nil"/>
              <w:left w:val="nil"/>
              <w:bottom w:val="single" w:sz="4" w:space="0" w:color="000000"/>
              <w:right w:val="single" w:sz="4" w:space="0" w:color="000000"/>
            </w:tcBorders>
            <w:shd w:val="clear" w:color="auto" w:fill="auto"/>
            <w:vAlign w:val="center"/>
          </w:tcPr>
          <w:p w14:paraId="0000016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69DCA836" w14:textId="77777777">
        <w:trPr>
          <w:trHeight w:val="28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63"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6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Hunting </w:t>
            </w:r>
          </w:p>
        </w:tc>
        <w:tc>
          <w:tcPr>
            <w:tcW w:w="426" w:type="dxa"/>
            <w:tcBorders>
              <w:top w:val="nil"/>
              <w:left w:val="nil"/>
              <w:bottom w:val="single" w:sz="4" w:space="0" w:color="000000"/>
              <w:right w:val="single" w:sz="4" w:space="0" w:color="000000"/>
            </w:tcBorders>
            <w:shd w:val="clear" w:color="auto" w:fill="auto"/>
            <w:vAlign w:val="center"/>
          </w:tcPr>
          <w:p w14:paraId="00000165"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16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6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6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6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6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6B"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16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6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bottom"/>
          </w:tcPr>
          <w:p w14:paraId="0000016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6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7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7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7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7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74"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w:t>
            </w:r>
          </w:p>
        </w:tc>
        <w:tc>
          <w:tcPr>
            <w:tcW w:w="1080" w:type="dxa"/>
            <w:tcBorders>
              <w:top w:val="nil"/>
              <w:left w:val="nil"/>
              <w:bottom w:val="single" w:sz="4" w:space="0" w:color="000000"/>
              <w:right w:val="single" w:sz="4" w:space="0" w:color="000000"/>
            </w:tcBorders>
            <w:shd w:val="clear" w:color="auto" w:fill="auto"/>
            <w:vAlign w:val="center"/>
          </w:tcPr>
          <w:p w14:paraId="0000017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512E1554" w14:textId="77777777">
        <w:trPr>
          <w:trHeight w:val="288"/>
          <w:jc w:val="center"/>
        </w:trPr>
        <w:tc>
          <w:tcPr>
            <w:tcW w:w="1062" w:type="dxa"/>
            <w:vMerge w:val="restart"/>
            <w:tcBorders>
              <w:top w:val="nil"/>
              <w:left w:val="single" w:sz="4" w:space="0" w:color="000000"/>
              <w:bottom w:val="single" w:sz="4" w:space="0" w:color="000000"/>
              <w:right w:val="single" w:sz="4" w:space="0" w:color="000000"/>
            </w:tcBorders>
            <w:shd w:val="clear" w:color="auto" w:fill="auto"/>
            <w:vAlign w:val="center"/>
          </w:tcPr>
          <w:p w14:paraId="00000176"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Escape</w:t>
            </w:r>
          </w:p>
        </w:tc>
        <w:tc>
          <w:tcPr>
            <w:tcW w:w="1201" w:type="dxa"/>
            <w:tcBorders>
              <w:top w:val="nil"/>
              <w:left w:val="nil"/>
              <w:bottom w:val="single" w:sz="4" w:space="0" w:color="000000"/>
              <w:right w:val="single" w:sz="4" w:space="0" w:color="000000"/>
            </w:tcBorders>
            <w:shd w:val="clear" w:color="auto" w:fill="auto"/>
            <w:vAlign w:val="center"/>
          </w:tcPr>
          <w:p w14:paraId="0000017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Pets</w:t>
            </w:r>
          </w:p>
        </w:tc>
        <w:tc>
          <w:tcPr>
            <w:tcW w:w="426" w:type="dxa"/>
            <w:tcBorders>
              <w:top w:val="nil"/>
              <w:left w:val="nil"/>
              <w:bottom w:val="single" w:sz="4" w:space="0" w:color="000000"/>
              <w:right w:val="single" w:sz="4" w:space="0" w:color="000000"/>
            </w:tcBorders>
            <w:shd w:val="clear" w:color="auto" w:fill="auto"/>
            <w:vAlign w:val="center"/>
          </w:tcPr>
          <w:p w14:paraId="0000017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79"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bottom"/>
          </w:tcPr>
          <w:p w14:paraId="0000017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7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7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7D"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center"/>
          </w:tcPr>
          <w:p w14:paraId="0000017E"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7F"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26" w:type="dxa"/>
            <w:tcBorders>
              <w:top w:val="nil"/>
              <w:left w:val="nil"/>
              <w:bottom w:val="single" w:sz="4" w:space="0" w:color="000000"/>
              <w:right w:val="single" w:sz="4" w:space="0" w:color="000000"/>
            </w:tcBorders>
            <w:shd w:val="clear" w:color="auto" w:fill="auto"/>
            <w:vAlign w:val="bottom"/>
          </w:tcPr>
          <w:p w14:paraId="00000180"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4" w:type="dxa"/>
            <w:tcBorders>
              <w:top w:val="nil"/>
              <w:left w:val="nil"/>
              <w:bottom w:val="single" w:sz="4" w:space="0" w:color="000000"/>
              <w:right w:val="single" w:sz="4" w:space="0" w:color="000000"/>
            </w:tcBorders>
            <w:shd w:val="clear" w:color="auto" w:fill="auto"/>
            <w:vAlign w:val="bottom"/>
          </w:tcPr>
          <w:p w14:paraId="0000018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8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8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8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8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8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87"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8</w:t>
            </w:r>
          </w:p>
        </w:tc>
        <w:tc>
          <w:tcPr>
            <w:tcW w:w="1080" w:type="dxa"/>
            <w:tcBorders>
              <w:top w:val="nil"/>
              <w:left w:val="nil"/>
              <w:bottom w:val="single" w:sz="4" w:space="0" w:color="000000"/>
              <w:right w:val="single" w:sz="4" w:space="0" w:color="000000"/>
            </w:tcBorders>
            <w:shd w:val="clear" w:color="auto" w:fill="auto"/>
            <w:vAlign w:val="center"/>
          </w:tcPr>
          <w:p w14:paraId="0000018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6FF51F10" w14:textId="77777777">
        <w:trPr>
          <w:trHeight w:val="28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89"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8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Farmed Animals</w:t>
            </w:r>
          </w:p>
        </w:tc>
        <w:tc>
          <w:tcPr>
            <w:tcW w:w="426" w:type="dxa"/>
            <w:tcBorders>
              <w:top w:val="nil"/>
              <w:left w:val="nil"/>
              <w:bottom w:val="single" w:sz="4" w:space="0" w:color="000000"/>
              <w:right w:val="single" w:sz="4" w:space="0" w:color="000000"/>
            </w:tcBorders>
            <w:shd w:val="clear" w:color="auto" w:fill="auto"/>
            <w:vAlign w:val="center"/>
          </w:tcPr>
          <w:p w14:paraId="0000018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8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8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8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8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90"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center"/>
          </w:tcPr>
          <w:p w14:paraId="00000191"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25" w:type="dxa"/>
            <w:tcBorders>
              <w:top w:val="nil"/>
              <w:left w:val="nil"/>
              <w:bottom w:val="single" w:sz="4" w:space="0" w:color="000000"/>
              <w:right w:val="single" w:sz="4" w:space="0" w:color="000000"/>
            </w:tcBorders>
            <w:shd w:val="clear" w:color="auto" w:fill="auto"/>
            <w:vAlign w:val="bottom"/>
          </w:tcPr>
          <w:p w14:paraId="0000019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9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bottom"/>
          </w:tcPr>
          <w:p w14:paraId="0000019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9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9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9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9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9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9A"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5</w:t>
            </w:r>
          </w:p>
        </w:tc>
        <w:tc>
          <w:tcPr>
            <w:tcW w:w="1080" w:type="dxa"/>
            <w:tcBorders>
              <w:top w:val="nil"/>
              <w:left w:val="nil"/>
              <w:bottom w:val="single" w:sz="4" w:space="0" w:color="000000"/>
              <w:right w:val="single" w:sz="4" w:space="0" w:color="000000"/>
            </w:tcBorders>
            <w:shd w:val="clear" w:color="auto" w:fill="auto"/>
            <w:vAlign w:val="center"/>
          </w:tcPr>
          <w:p w14:paraId="0000019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29B5AA11" w14:textId="77777777">
        <w:trPr>
          <w:trHeight w:val="288"/>
          <w:jc w:val="center"/>
        </w:trPr>
        <w:tc>
          <w:tcPr>
            <w:tcW w:w="1062" w:type="dxa"/>
            <w:tcBorders>
              <w:top w:val="nil"/>
              <w:left w:val="single" w:sz="4" w:space="0" w:color="000000"/>
              <w:bottom w:val="single" w:sz="4" w:space="0" w:color="000000"/>
              <w:right w:val="single" w:sz="4" w:space="0" w:color="000000"/>
            </w:tcBorders>
            <w:shd w:val="clear" w:color="auto" w:fill="auto"/>
            <w:vAlign w:val="center"/>
          </w:tcPr>
          <w:p w14:paraId="0000019C"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Contaminant</w:t>
            </w:r>
          </w:p>
        </w:tc>
        <w:tc>
          <w:tcPr>
            <w:tcW w:w="1201" w:type="dxa"/>
            <w:tcBorders>
              <w:top w:val="nil"/>
              <w:left w:val="nil"/>
              <w:bottom w:val="single" w:sz="4" w:space="0" w:color="000000"/>
              <w:right w:val="single" w:sz="4" w:space="0" w:color="000000"/>
            </w:tcBorders>
            <w:shd w:val="clear" w:color="auto" w:fill="auto"/>
            <w:vAlign w:val="center"/>
          </w:tcPr>
          <w:p w14:paraId="0000019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Food Contaminant</w:t>
            </w:r>
          </w:p>
        </w:tc>
        <w:tc>
          <w:tcPr>
            <w:tcW w:w="426" w:type="dxa"/>
            <w:tcBorders>
              <w:top w:val="nil"/>
              <w:left w:val="nil"/>
              <w:bottom w:val="single" w:sz="4" w:space="0" w:color="000000"/>
              <w:right w:val="single" w:sz="4" w:space="0" w:color="000000"/>
            </w:tcBorders>
            <w:shd w:val="clear" w:color="auto" w:fill="auto"/>
            <w:vAlign w:val="center"/>
          </w:tcPr>
          <w:p w14:paraId="0000019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9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A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A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A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A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A4"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1A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center"/>
          </w:tcPr>
          <w:p w14:paraId="000001A6"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w:t>
            </w:r>
          </w:p>
        </w:tc>
        <w:tc>
          <w:tcPr>
            <w:tcW w:w="424" w:type="dxa"/>
            <w:tcBorders>
              <w:top w:val="nil"/>
              <w:left w:val="nil"/>
              <w:bottom w:val="single" w:sz="4" w:space="0" w:color="000000"/>
              <w:right w:val="single" w:sz="4" w:space="0" w:color="000000"/>
            </w:tcBorders>
            <w:shd w:val="clear" w:color="auto" w:fill="auto"/>
            <w:vAlign w:val="bottom"/>
          </w:tcPr>
          <w:p w14:paraId="000001A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center"/>
          </w:tcPr>
          <w:p w14:paraId="000001A8"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w:t>
            </w:r>
          </w:p>
        </w:tc>
        <w:tc>
          <w:tcPr>
            <w:tcW w:w="415" w:type="dxa"/>
            <w:tcBorders>
              <w:top w:val="nil"/>
              <w:left w:val="nil"/>
              <w:bottom w:val="single" w:sz="4" w:space="0" w:color="000000"/>
              <w:right w:val="single" w:sz="4" w:space="0" w:color="000000"/>
            </w:tcBorders>
            <w:shd w:val="clear" w:color="auto" w:fill="auto"/>
            <w:vAlign w:val="center"/>
          </w:tcPr>
          <w:p w14:paraId="000001A9"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15" w:type="dxa"/>
            <w:tcBorders>
              <w:top w:val="nil"/>
              <w:left w:val="nil"/>
              <w:bottom w:val="single" w:sz="4" w:space="0" w:color="000000"/>
              <w:right w:val="single" w:sz="4" w:space="0" w:color="000000"/>
            </w:tcBorders>
            <w:shd w:val="clear" w:color="auto" w:fill="auto"/>
            <w:vAlign w:val="center"/>
          </w:tcPr>
          <w:p w14:paraId="000001A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A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center"/>
          </w:tcPr>
          <w:p w14:paraId="000001A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AD"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10</w:t>
            </w:r>
          </w:p>
        </w:tc>
        <w:tc>
          <w:tcPr>
            <w:tcW w:w="1080" w:type="dxa"/>
            <w:tcBorders>
              <w:top w:val="nil"/>
              <w:left w:val="nil"/>
              <w:bottom w:val="single" w:sz="4" w:space="0" w:color="000000"/>
              <w:right w:val="single" w:sz="4" w:space="0" w:color="000000"/>
            </w:tcBorders>
            <w:shd w:val="clear" w:color="auto" w:fill="auto"/>
            <w:vAlign w:val="center"/>
          </w:tcPr>
          <w:p w14:paraId="000001A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Low</w:t>
            </w:r>
          </w:p>
        </w:tc>
      </w:tr>
      <w:tr w:rsidR="00073819" w14:paraId="394A0E64" w14:textId="77777777">
        <w:trPr>
          <w:trHeight w:val="288"/>
          <w:jc w:val="center"/>
        </w:trPr>
        <w:tc>
          <w:tcPr>
            <w:tcW w:w="1062" w:type="dxa"/>
            <w:vMerge w:val="restart"/>
            <w:tcBorders>
              <w:top w:val="nil"/>
              <w:left w:val="single" w:sz="4" w:space="0" w:color="000000"/>
              <w:bottom w:val="single" w:sz="4" w:space="0" w:color="000000"/>
              <w:right w:val="single" w:sz="4" w:space="0" w:color="000000"/>
            </w:tcBorders>
            <w:shd w:val="clear" w:color="auto" w:fill="auto"/>
            <w:vAlign w:val="center"/>
          </w:tcPr>
          <w:p w14:paraId="000001AF"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Stowaway</w:t>
            </w:r>
          </w:p>
        </w:tc>
        <w:tc>
          <w:tcPr>
            <w:tcW w:w="1201" w:type="dxa"/>
            <w:tcBorders>
              <w:top w:val="nil"/>
              <w:left w:val="nil"/>
              <w:bottom w:val="single" w:sz="4" w:space="0" w:color="000000"/>
              <w:right w:val="single" w:sz="4" w:space="0" w:color="000000"/>
            </w:tcBorders>
            <w:shd w:val="clear" w:color="auto" w:fill="auto"/>
            <w:vAlign w:val="center"/>
          </w:tcPr>
          <w:p w14:paraId="000001B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Machinery And Equipment</w:t>
            </w:r>
          </w:p>
        </w:tc>
        <w:tc>
          <w:tcPr>
            <w:tcW w:w="426" w:type="dxa"/>
            <w:tcBorders>
              <w:top w:val="nil"/>
              <w:left w:val="nil"/>
              <w:bottom w:val="single" w:sz="4" w:space="0" w:color="000000"/>
              <w:right w:val="single" w:sz="4" w:space="0" w:color="000000"/>
            </w:tcBorders>
            <w:shd w:val="clear" w:color="auto" w:fill="auto"/>
            <w:vAlign w:val="center"/>
          </w:tcPr>
          <w:p w14:paraId="000001B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B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1B8"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6" w:type="dxa"/>
            <w:tcBorders>
              <w:top w:val="nil"/>
              <w:left w:val="nil"/>
              <w:bottom w:val="single" w:sz="4" w:space="0" w:color="000000"/>
              <w:right w:val="single" w:sz="4" w:space="0" w:color="000000"/>
            </w:tcBorders>
            <w:shd w:val="clear" w:color="auto" w:fill="auto"/>
            <w:vAlign w:val="bottom"/>
          </w:tcPr>
          <w:p w14:paraId="000001B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center"/>
          </w:tcPr>
          <w:p w14:paraId="000001BA"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16" w:type="dxa"/>
            <w:tcBorders>
              <w:top w:val="nil"/>
              <w:left w:val="nil"/>
              <w:bottom w:val="single" w:sz="4" w:space="0" w:color="000000"/>
              <w:right w:val="single" w:sz="4" w:space="0" w:color="000000"/>
            </w:tcBorders>
            <w:shd w:val="clear" w:color="auto" w:fill="auto"/>
            <w:vAlign w:val="bottom"/>
          </w:tcPr>
          <w:p w14:paraId="000001BB"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15" w:type="dxa"/>
            <w:tcBorders>
              <w:top w:val="nil"/>
              <w:left w:val="nil"/>
              <w:bottom w:val="single" w:sz="4" w:space="0" w:color="000000"/>
              <w:right w:val="single" w:sz="4" w:space="0" w:color="000000"/>
            </w:tcBorders>
            <w:shd w:val="clear" w:color="auto" w:fill="auto"/>
            <w:vAlign w:val="center"/>
          </w:tcPr>
          <w:p w14:paraId="000001BC"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15" w:type="dxa"/>
            <w:tcBorders>
              <w:top w:val="nil"/>
              <w:left w:val="nil"/>
              <w:bottom w:val="single" w:sz="4" w:space="0" w:color="000000"/>
              <w:right w:val="single" w:sz="4" w:space="0" w:color="000000"/>
            </w:tcBorders>
            <w:shd w:val="clear" w:color="auto" w:fill="auto"/>
            <w:vAlign w:val="center"/>
          </w:tcPr>
          <w:p w14:paraId="000001BD"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B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B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C0"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8</w:t>
            </w:r>
          </w:p>
        </w:tc>
        <w:tc>
          <w:tcPr>
            <w:tcW w:w="1080" w:type="dxa"/>
            <w:tcBorders>
              <w:top w:val="nil"/>
              <w:left w:val="nil"/>
              <w:bottom w:val="single" w:sz="4" w:space="0" w:color="000000"/>
              <w:right w:val="single" w:sz="4" w:space="0" w:color="000000"/>
            </w:tcBorders>
            <w:shd w:val="clear" w:color="auto" w:fill="auto"/>
            <w:vAlign w:val="center"/>
          </w:tcPr>
          <w:p w14:paraId="000001C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Medium</w:t>
            </w:r>
          </w:p>
        </w:tc>
      </w:tr>
      <w:tr w:rsidR="00073819" w14:paraId="6916DF5A" w14:textId="77777777">
        <w:trPr>
          <w:trHeight w:val="28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C2"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C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People And Luggage</w:t>
            </w:r>
          </w:p>
        </w:tc>
        <w:tc>
          <w:tcPr>
            <w:tcW w:w="426" w:type="dxa"/>
            <w:tcBorders>
              <w:top w:val="nil"/>
              <w:left w:val="nil"/>
              <w:bottom w:val="single" w:sz="4" w:space="0" w:color="000000"/>
              <w:right w:val="single" w:sz="4" w:space="0" w:color="000000"/>
            </w:tcBorders>
            <w:shd w:val="clear" w:color="auto" w:fill="auto"/>
            <w:vAlign w:val="center"/>
          </w:tcPr>
          <w:p w14:paraId="000001C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C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C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C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C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C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1CA"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CB"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bottom"/>
          </w:tcPr>
          <w:p w14:paraId="000001C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bottom"/>
          </w:tcPr>
          <w:p w14:paraId="000001C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C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C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D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D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D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D3"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1080" w:type="dxa"/>
            <w:tcBorders>
              <w:top w:val="nil"/>
              <w:left w:val="nil"/>
              <w:bottom w:val="single" w:sz="4" w:space="0" w:color="000000"/>
              <w:right w:val="single" w:sz="4" w:space="0" w:color="000000"/>
            </w:tcBorders>
            <w:shd w:val="clear" w:color="auto" w:fill="auto"/>
            <w:vAlign w:val="center"/>
          </w:tcPr>
          <w:p w14:paraId="000001D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Medium</w:t>
            </w:r>
          </w:p>
        </w:tc>
      </w:tr>
      <w:tr w:rsidR="00073819" w14:paraId="2D837569" w14:textId="77777777">
        <w:trPr>
          <w:trHeight w:val="408"/>
          <w:jc w:val="center"/>
        </w:trPr>
        <w:tc>
          <w:tcPr>
            <w:tcW w:w="1062" w:type="dxa"/>
            <w:vMerge/>
            <w:tcBorders>
              <w:top w:val="nil"/>
              <w:left w:val="single" w:sz="4" w:space="0" w:color="000000"/>
              <w:bottom w:val="single" w:sz="4" w:space="0" w:color="000000"/>
              <w:right w:val="single" w:sz="4" w:space="0" w:color="000000"/>
            </w:tcBorders>
            <w:shd w:val="clear" w:color="auto" w:fill="auto"/>
            <w:vAlign w:val="center"/>
          </w:tcPr>
          <w:p w14:paraId="000001D5" w14:textId="77777777" w:rsidR="00073819" w:rsidRDefault="00073819">
            <w:pPr>
              <w:widowControl w:val="0"/>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201" w:type="dxa"/>
            <w:tcBorders>
              <w:top w:val="nil"/>
              <w:left w:val="nil"/>
              <w:bottom w:val="single" w:sz="4" w:space="0" w:color="000000"/>
              <w:right w:val="single" w:sz="4" w:space="0" w:color="000000"/>
            </w:tcBorders>
            <w:shd w:val="clear" w:color="auto" w:fill="auto"/>
            <w:vAlign w:val="center"/>
          </w:tcPr>
          <w:p w14:paraId="000001D6"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Ship Excluding Ballast Water </w:t>
            </w:r>
            <w:proofErr w:type="gramStart"/>
            <w:r>
              <w:rPr>
                <w:rFonts w:ascii="Times New Roman" w:eastAsia="Times New Roman" w:hAnsi="Times New Roman" w:cs="Times New Roman"/>
                <w:color w:val="000000"/>
                <w:sz w:val="16"/>
                <w:szCs w:val="16"/>
              </w:rPr>
              <w:t>Or</w:t>
            </w:r>
            <w:proofErr w:type="gramEnd"/>
            <w:r>
              <w:rPr>
                <w:rFonts w:ascii="Times New Roman" w:eastAsia="Times New Roman" w:hAnsi="Times New Roman" w:cs="Times New Roman"/>
                <w:color w:val="000000"/>
                <w:sz w:val="16"/>
                <w:szCs w:val="16"/>
              </w:rPr>
              <w:t xml:space="preserve"> Hull Fouling</w:t>
            </w:r>
          </w:p>
        </w:tc>
        <w:tc>
          <w:tcPr>
            <w:tcW w:w="426" w:type="dxa"/>
            <w:tcBorders>
              <w:top w:val="nil"/>
              <w:left w:val="nil"/>
              <w:bottom w:val="single" w:sz="4" w:space="0" w:color="000000"/>
              <w:right w:val="single" w:sz="4" w:space="0" w:color="000000"/>
            </w:tcBorders>
            <w:shd w:val="clear" w:color="auto" w:fill="auto"/>
            <w:vAlign w:val="center"/>
          </w:tcPr>
          <w:p w14:paraId="000001D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D8"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1D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D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D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D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DD"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1D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DF"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4" w:type="dxa"/>
            <w:tcBorders>
              <w:top w:val="nil"/>
              <w:left w:val="nil"/>
              <w:bottom w:val="single" w:sz="4" w:space="0" w:color="000000"/>
              <w:right w:val="single" w:sz="4" w:space="0" w:color="000000"/>
            </w:tcBorders>
            <w:shd w:val="clear" w:color="auto" w:fill="auto"/>
            <w:vAlign w:val="bottom"/>
          </w:tcPr>
          <w:p w14:paraId="000001E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6" w:type="dxa"/>
            <w:tcBorders>
              <w:top w:val="nil"/>
              <w:left w:val="nil"/>
              <w:bottom w:val="single" w:sz="4" w:space="0" w:color="000000"/>
              <w:right w:val="single" w:sz="4" w:space="0" w:color="000000"/>
            </w:tcBorders>
            <w:shd w:val="clear" w:color="auto" w:fill="auto"/>
            <w:vAlign w:val="bottom"/>
          </w:tcPr>
          <w:p w14:paraId="000001E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E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bottom"/>
          </w:tcPr>
          <w:p w14:paraId="000001E3"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E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E5"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E6"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3</w:t>
            </w:r>
          </w:p>
        </w:tc>
        <w:tc>
          <w:tcPr>
            <w:tcW w:w="1080" w:type="dxa"/>
            <w:tcBorders>
              <w:top w:val="nil"/>
              <w:left w:val="nil"/>
              <w:bottom w:val="single" w:sz="4" w:space="0" w:color="000000"/>
              <w:right w:val="single" w:sz="4" w:space="0" w:color="000000"/>
            </w:tcBorders>
            <w:shd w:val="clear" w:color="auto" w:fill="auto"/>
            <w:vAlign w:val="center"/>
          </w:tcPr>
          <w:p w14:paraId="000001E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High</w:t>
            </w:r>
          </w:p>
        </w:tc>
      </w:tr>
      <w:tr w:rsidR="00073819" w14:paraId="273BFE56" w14:textId="77777777">
        <w:trPr>
          <w:trHeight w:val="288"/>
          <w:jc w:val="center"/>
        </w:trPr>
        <w:tc>
          <w:tcPr>
            <w:tcW w:w="1062" w:type="dxa"/>
            <w:tcBorders>
              <w:top w:val="nil"/>
              <w:left w:val="single" w:sz="4" w:space="0" w:color="000000"/>
              <w:bottom w:val="single" w:sz="4" w:space="0" w:color="000000"/>
              <w:right w:val="single" w:sz="4" w:space="0" w:color="000000"/>
            </w:tcBorders>
            <w:shd w:val="clear" w:color="auto" w:fill="auto"/>
            <w:vAlign w:val="center"/>
          </w:tcPr>
          <w:p w14:paraId="000001E8"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Unaided</w:t>
            </w:r>
          </w:p>
        </w:tc>
        <w:tc>
          <w:tcPr>
            <w:tcW w:w="1201" w:type="dxa"/>
            <w:tcBorders>
              <w:top w:val="nil"/>
              <w:left w:val="nil"/>
              <w:bottom w:val="single" w:sz="4" w:space="0" w:color="000000"/>
              <w:right w:val="single" w:sz="4" w:space="0" w:color="000000"/>
            </w:tcBorders>
            <w:shd w:val="clear" w:color="auto" w:fill="auto"/>
            <w:vAlign w:val="center"/>
          </w:tcPr>
          <w:p w14:paraId="000001E9"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Natural Dispersal</w:t>
            </w:r>
          </w:p>
        </w:tc>
        <w:tc>
          <w:tcPr>
            <w:tcW w:w="426" w:type="dxa"/>
            <w:tcBorders>
              <w:top w:val="nil"/>
              <w:left w:val="nil"/>
              <w:bottom w:val="single" w:sz="4" w:space="0" w:color="000000"/>
              <w:right w:val="single" w:sz="4" w:space="0" w:color="000000"/>
            </w:tcBorders>
            <w:shd w:val="clear" w:color="auto" w:fill="auto"/>
            <w:vAlign w:val="center"/>
          </w:tcPr>
          <w:p w14:paraId="000001E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EB"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E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ED"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E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E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F0"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F1"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F2"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4" w:type="dxa"/>
            <w:tcBorders>
              <w:top w:val="nil"/>
              <w:left w:val="nil"/>
              <w:bottom w:val="single" w:sz="4" w:space="0" w:color="000000"/>
              <w:right w:val="single" w:sz="4" w:space="0" w:color="000000"/>
            </w:tcBorders>
            <w:shd w:val="clear" w:color="auto" w:fill="auto"/>
            <w:vAlign w:val="center"/>
          </w:tcPr>
          <w:p w14:paraId="000001F3"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16" w:type="dxa"/>
            <w:tcBorders>
              <w:top w:val="nil"/>
              <w:left w:val="nil"/>
              <w:bottom w:val="single" w:sz="4" w:space="0" w:color="000000"/>
              <w:right w:val="single" w:sz="4" w:space="0" w:color="000000"/>
            </w:tcBorders>
            <w:shd w:val="clear" w:color="auto" w:fill="auto"/>
            <w:vAlign w:val="bottom"/>
          </w:tcPr>
          <w:p w14:paraId="000001F4"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15" w:type="dxa"/>
            <w:tcBorders>
              <w:top w:val="nil"/>
              <w:left w:val="nil"/>
              <w:bottom w:val="single" w:sz="4" w:space="0" w:color="000000"/>
              <w:right w:val="single" w:sz="4" w:space="0" w:color="000000"/>
            </w:tcBorders>
            <w:shd w:val="clear" w:color="auto" w:fill="auto"/>
            <w:vAlign w:val="center"/>
          </w:tcPr>
          <w:p w14:paraId="000001F5"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15" w:type="dxa"/>
            <w:tcBorders>
              <w:top w:val="nil"/>
              <w:left w:val="nil"/>
              <w:bottom w:val="single" w:sz="4" w:space="0" w:color="000000"/>
              <w:right w:val="single" w:sz="4" w:space="0" w:color="000000"/>
            </w:tcBorders>
            <w:shd w:val="clear" w:color="auto" w:fill="auto"/>
            <w:vAlign w:val="center"/>
          </w:tcPr>
          <w:p w14:paraId="000001F6"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F7"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914" w:type="dxa"/>
            <w:tcBorders>
              <w:top w:val="nil"/>
              <w:left w:val="nil"/>
              <w:bottom w:val="single" w:sz="4" w:space="0" w:color="000000"/>
              <w:right w:val="single" w:sz="4" w:space="0" w:color="000000"/>
            </w:tcBorders>
            <w:shd w:val="clear" w:color="auto" w:fill="auto"/>
            <w:vAlign w:val="bottom"/>
          </w:tcPr>
          <w:p w14:paraId="000001F8"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615" w:type="dxa"/>
            <w:tcBorders>
              <w:top w:val="nil"/>
              <w:left w:val="nil"/>
              <w:bottom w:val="single" w:sz="4" w:space="0" w:color="000000"/>
              <w:right w:val="single" w:sz="4" w:space="0" w:color="000000"/>
            </w:tcBorders>
            <w:shd w:val="clear" w:color="auto" w:fill="auto"/>
            <w:vAlign w:val="center"/>
          </w:tcPr>
          <w:p w14:paraId="000001F9"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w:t>
            </w:r>
          </w:p>
        </w:tc>
        <w:tc>
          <w:tcPr>
            <w:tcW w:w="1080" w:type="dxa"/>
            <w:tcBorders>
              <w:top w:val="nil"/>
              <w:left w:val="nil"/>
              <w:bottom w:val="single" w:sz="4" w:space="0" w:color="000000"/>
              <w:right w:val="single" w:sz="4" w:space="0" w:color="000000"/>
            </w:tcBorders>
            <w:shd w:val="clear" w:color="auto" w:fill="auto"/>
            <w:vAlign w:val="center"/>
          </w:tcPr>
          <w:p w14:paraId="000001FA"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Low</w:t>
            </w:r>
          </w:p>
        </w:tc>
      </w:tr>
      <w:tr w:rsidR="00073819" w14:paraId="4398DDC4" w14:textId="77777777">
        <w:trPr>
          <w:trHeight w:val="288"/>
          <w:jc w:val="center"/>
        </w:trPr>
        <w:tc>
          <w:tcPr>
            <w:tcW w:w="2263" w:type="dxa"/>
            <w:gridSpan w:val="2"/>
            <w:tcBorders>
              <w:top w:val="nil"/>
              <w:left w:val="single" w:sz="4" w:space="0" w:color="000000"/>
              <w:bottom w:val="single" w:sz="4" w:space="0" w:color="000000"/>
              <w:right w:val="single" w:sz="4" w:space="0" w:color="000000"/>
            </w:tcBorders>
            <w:shd w:val="clear" w:color="auto" w:fill="auto"/>
            <w:vAlign w:val="center"/>
          </w:tcPr>
          <w:p w14:paraId="000001FB" w14:textId="77777777" w:rsidR="00073819" w:rsidRDefault="0099474B">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Unknown</w:t>
            </w:r>
          </w:p>
          <w:p w14:paraId="000001FC"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bottom"/>
          </w:tcPr>
          <w:p w14:paraId="000001F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bottom"/>
          </w:tcPr>
          <w:p w14:paraId="000001FF"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c>
          <w:tcPr>
            <w:tcW w:w="425" w:type="dxa"/>
            <w:tcBorders>
              <w:top w:val="nil"/>
              <w:left w:val="nil"/>
              <w:bottom w:val="single" w:sz="4" w:space="0" w:color="000000"/>
              <w:right w:val="single" w:sz="4" w:space="0" w:color="000000"/>
            </w:tcBorders>
            <w:shd w:val="clear" w:color="auto" w:fill="auto"/>
            <w:vAlign w:val="center"/>
          </w:tcPr>
          <w:p w14:paraId="00000200"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center"/>
          </w:tcPr>
          <w:p w14:paraId="00000201"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tcPr>
          <w:p w14:paraId="00000202"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203"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25" w:type="dxa"/>
            <w:tcBorders>
              <w:top w:val="nil"/>
              <w:left w:val="nil"/>
              <w:bottom w:val="single" w:sz="4" w:space="0" w:color="000000"/>
              <w:right w:val="single" w:sz="4" w:space="0" w:color="000000"/>
            </w:tcBorders>
            <w:shd w:val="clear" w:color="auto" w:fill="auto"/>
            <w:vAlign w:val="center"/>
          </w:tcPr>
          <w:p w14:paraId="00000204"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425" w:type="dxa"/>
            <w:tcBorders>
              <w:top w:val="nil"/>
              <w:left w:val="nil"/>
              <w:bottom w:val="single" w:sz="4" w:space="0" w:color="000000"/>
              <w:right w:val="single" w:sz="4" w:space="0" w:color="000000"/>
            </w:tcBorders>
            <w:shd w:val="clear" w:color="auto" w:fill="auto"/>
            <w:vAlign w:val="center"/>
          </w:tcPr>
          <w:p w14:paraId="00000205"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17</w:t>
            </w:r>
          </w:p>
        </w:tc>
        <w:tc>
          <w:tcPr>
            <w:tcW w:w="426" w:type="dxa"/>
            <w:tcBorders>
              <w:top w:val="nil"/>
              <w:left w:val="nil"/>
              <w:bottom w:val="single" w:sz="4" w:space="0" w:color="000000"/>
              <w:right w:val="single" w:sz="4" w:space="0" w:color="000000"/>
            </w:tcBorders>
            <w:shd w:val="clear" w:color="auto" w:fill="auto"/>
            <w:vAlign w:val="center"/>
          </w:tcPr>
          <w:p w14:paraId="00000206"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5</w:t>
            </w:r>
          </w:p>
        </w:tc>
        <w:tc>
          <w:tcPr>
            <w:tcW w:w="424" w:type="dxa"/>
            <w:tcBorders>
              <w:top w:val="nil"/>
              <w:left w:val="nil"/>
              <w:bottom w:val="single" w:sz="4" w:space="0" w:color="000000"/>
              <w:right w:val="single" w:sz="4" w:space="0" w:color="000000"/>
            </w:tcBorders>
            <w:shd w:val="clear" w:color="auto" w:fill="auto"/>
            <w:vAlign w:val="center"/>
          </w:tcPr>
          <w:p w14:paraId="00000207"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8</w:t>
            </w:r>
          </w:p>
        </w:tc>
        <w:tc>
          <w:tcPr>
            <w:tcW w:w="416" w:type="dxa"/>
            <w:tcBorders>
              <w:top w:val="nil"/>
              <w:left w:val="nil"/>
              <w:bottom w:val="single" w:sz="4" w:space="0" w:color="000000"/>
              <w:right w:val="single" w:sz="4" w:space="0" w:color="000000"/>
            </w:tcBorders>
            <w:shd w:val="clear" w:color="auto" w:fill="auto"/>
            <w:vAlign w:val="center"/>
          </w:tcPr>
          <w:p w14:paraId="00000208"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11</w:t>
            </w:r>
          </w:p>
        </w:tc>
        <w:tc>
          <w:tcPr>
            <w:tcW w:w="415" w:type="dxa"/>
            <w:tcBorders>
              <w:top w:val="nil"/>
              <w:left w:val="nil"/>
              <w:bottom w:val="single" w:sz="4" w:space="0" w:color="000000"/>
              <w:right w:val="single" w:sz="4" w:space="0" w:color="000000"/>
            </w:tcBorders>
            <w:shd w:val="clear" w:color="auto" w:fill="auto"/>
            <w:vAlign w:val="center"/>
          </w:tcPr>
          <w:p w14:paraId="00000209"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15" w:type="dxa"/>
            <w:tcBorders>
              <w:top w:val="nil"/>
              <w:left w:val="nil"/>
              <w:bottom w:val="single" w:sz="4" w:space="0" w:color="000000"/>
              <w:right w:val="single" w:sz="4" w:space="0" w:color="000000"/>
            </w:tcBorders>
            <w:shd w:val="clear" w:color="auto" w:fill="auto"/>
            <w:vAlign w:val="center"/>
          </w:tcPr>
          <w:p w14:paraId="0000020A"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bottom"/>
          </w:tcPr>
          <w:p w14:paraId="0000020B"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914" w:type="dxa"/>
            <w:tcBorders>
              <w:top w:val="nil"/>
              <w:left w:val="nil"/>
              <w:bottom w:val="single" w:sz="4" w:space="0" w:color="000000"/>
              <w:right w:val="single" w:sz="4" w:space="0" w:color="000000"/>
            </w:tcBorders>
            <w:shd w:val="clear" w:color="auto" w:fill="auto"/>
            <w:vAlign w:val="center"/>
          </w:tcPr>
          <w:p w14:paraId="0000020C" w14:textId="77777777" w:rsidR="00073819" w:rsidRDefault="0099474B">
            <w:pPr>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7</w:t>
            </w:r>
          </w:p>
        </w:tc>
        <w:tc>
          <w:tcPr>
            <w:tcW w:w="615" w:type="dxa"/>
            <w:tcBorders>
              <w:top w:val="nil"/>
              <w:left w:val="nil"/>
              <w:bottom w:val="single" w:sz="4" w:space="0" w:color="000000"/>
              <w:right w:val="single" w:sz="4" w:space="0" w:color="000000"/>
            </w:tcBorders>
            <w:shd w:val="clear" w:color="auto" w:fill="auto"/>
            <w:vAlign w:val="center"/>
          </w:tcPr>
          <w:p w14:paraId="0000020D"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61</w:t>
            </w:r>
          </w:p>
        </w:tc>
        <w:tc>
          <w:tcPr>
            <w:tcW w:w="1080" w:type="dxa"/>
            <w:tcBorders>
              <w:top w:val="nil"/>
              <w:left w:val="nil"/>
              <w:bottom w:val="single" w:sz="4" w:space="0" w:color="000000"/>
              <w:right w:val="single" w:sz="4" w:space="0" w:color="000000"/>
            </w:tcBorders>
            <w:shd w:val="clear" w:color="auto" w:fill="auto"/>
            <w:vAlign w:val="bottom"/>
          </w:tcPr>
          <w:p w14:paraId="0000020E" w14:textId="77777777" w:rsidR="00073819" w:rsidRDefault="0099474B">
            <w:pP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w:t>
            </w:r>
          </w:p>
        </w:tc>
      </w:tr>
      <w:tr w:rsidR="00073819" w14:paraId="5A808EB4" w14:textId="77777777">
        <w:trPr>
          <w:trHeight w:val="288"/>
          <w:jc w:val="center"/>
        </w:trPr>
        <w:tc>
          <w:tcPr>
            <w:tcW w:w="1062" w:type="dxa"/>
            <w:tcBorders>
              <w:top w:val="nil"/>
              <w:left w:val="single" w:sz="4" w:space="0" w:color="000000"/>
              <w:bottom w:val="single" w:sz="4" w:space="0" w:color="000000"/>
              <w:right w:val="single" w:sz="4" w:space="0" w:color="000000"/>
            </w:tcBorders>
            <w:shd w:val="clear" w:color="auto" w:fill="auto"/>
            <w:vAlign w:val="center"/>
          </w:tcPr>
          <w:p w14:paraId="0000020F" w14:textId="77777777" w:rsidR="00073819" w:rsidRDefault="0099474B">
            <w:pPr>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Total</w:t>
            </w:r>
          </w:p>
        </w:tc>
        <w:tc>
          <w:tcPr>
            <w:tcW w:w="1201" w:type="dxa"/>
            <w:tcBorders>
              <w:top w:val="nil"/>
              <w:left w:val="nil"/>
              <w:bottom w:val="single" w:sz="4" w:space="0" w:color="000000"/>
              <w:right w:val="single" w:sz="4" w:space="0" w:color="000000"/>
            </w:tcBorders>
            <w:shd w:val="clear" w:color="auto" w:fill="auto"/>
            <w:vAlign w:val="center"/>
          </w:tcPr>
          <w:p w14:paraId="00000210" w14:textId="77777777" w:rsidR="00073819" w:rsidRDefault="0099474B">
            <w:pP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 </w:t>
            </w:r>
          </w:p>
        </w:tc>
        <w:tc>
          <w:tcPr>
            <w:tcW w:w="426" w:type="dxa"/>
            <w:tcBorders>
              <w:top w:val="nil"/>
              <w:left w:val="nil"/>
              <w:bottom w:val="single" w:sz="4" w:space="0" w:color="000000"/>
              <w:right w:val="single" w:sz="4" w:space="0" w:color="000000"/>
            </w:tcBorders>
            <w:shd w:val="clear" w:color="auto" w:fill="auto"/>
            <w:vAlign w:val="center"/>
          </w:tcPr>
          <w:p w14:paraId="00000211"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212"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4</w:t>
            </w:r>
          </w:p>
        </w:tc>
        <w:tc>
          <w:tcPr>
            <w:tcW w:w="425" w:type="dxa"/>
            <w:tcBorders>
              <w:top w:val="nil"/>
              <w:left w:val="nil"/>
              <w:bottom w:val="single" w:sz="4" w:space="0" w:color="000000"/>
              <w:right w:val="single" w:sz="4" w:space="0" w:color="000000"/>
            </w:tcBorders>
            <w:shd w:val="clear" w:color="auto" w:fill="auto"/>
            <w:vAlign w:val="center"/>
          </w:tcPr>
          <w:p w14:paraId="00000213"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center"/>
          </w:tcPr>
          <w:p w14:paraId="00000214"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tcPr>
          <w:p w14:paraId="00000215"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216"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9</w:t>
            </w:r>
          </w:p>
        </w:tc>
        <w:tc>
          <w:tcPr>
            <w:tcW w:w="425" w:type="dxa"/>
            <w:tcBorders>
              <w:top w:val="nil"/>
              <w:left w:val="nil"/>
              <w:bottom w:val="single" w:sz="4" w:space="0" w:color="000000"/>
              <w:right w:val="single" w:sz="4" w:space="0" w:color="000000"/>
            </w:tcBorders>
            <w:shd w:val="clear" w:color="auto" w:fill="auto"/>
            <w:vAlign w:val="center"/>
          </w:tcPr>
          <w:p w14:paraId="00000217"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13</w:t>
            </w:r>
          </w:p>
        </w:tc>
        <w:tc>
          <w:tcPr>
            <w:tcW w:w="425" w:type="dxa"/>
            <w:tcBorders>
              <w:top w:val="nil"/>
              <w:left w:val="nil"/>
              <w:bottom w:val="single" w:sz="4" w:space="0" w:color="000000"/>
              <w:right w:val="single" w:sz="4" w:space="0" w:color="000000"/>
            </w:tcBorders>
            <w:shd w:val="clear" w:color="auto" w:fill="auto"/>
            <w:vAlign w:val="center"/>
          </w:tcPr>
          <w:p w14:paraId="00000218"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24</w:t>
            </w:r>
          </w:p>
        </w:tc>
        <w:tc>
          <w:tcPr>
            <w:tcW w:w="426" w:type="dxa"/>
            <w:tcBorders>
              <w:top w:val="nil"/>
              <w:left w:val="nil"/>
              <w:bottom w:val="single" w:sz="4" w:space="0" w:color="000000"/>
              <w:right w:val="single" w:sz="4" w:space="0" w:color="000000"/>
            </w:tcBorders>
            <w:shd w:val="clear" w:color="auto" w:fill="auto"/>
            <w:vAlign w:val="center"/>
          </w:tcPr>
          <w:p w14:paraId="00000219"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12</w:t>
            </w:r>
          </w:p>
        </w:tc>
        <w:tc>
          <w:tcPr>
            <w:tcW w:w="424" w:type="dxa"/>
            <w:tcBorders>
              <w:top w:val="nil"/>
              <w:left w:val="nil"/>
              <w:bottom w:val="single" w:sz="4" w:space="0" w:color="000000"/>
              <w:right w:val="single" w:sz="4" w:space="0" w:color="000000"/>
            </w:tcBorders>
            <w:shd w:val="clear" w:color="auto" w:fill="auto"/>
            <w:vAlign w:val="center"/>
          </w:tcPr>
          <w:p w14:paraId="0000021A"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12</w:t>
            </w:r>
          </w:p>
        </w:tc>
        <w:tc>
          <w:tcPr>
            <w:tcW w:w="416" w:type="dxa"/>
            <w:tcBorders>
              <w:top w:val="nil"/>
              <w:left w:val="nil"/>
              <w:bottom w:val="single" w:sz="4" w:space="0" w:color="000000"/>
              <w:right w:val="single" w:sz="4" w:space="0" w:color="000000"/>
            </w:tcBorders>
            <w:shd w:val="clear" w:color="auto" w:fill="auto"/>
            <w:vAlign w:val="center"/>
          </w:tcPr>
          <w:p w14:paraId="0000021B"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17</w:t>
            </w:r>
          </w:p>
        </w:tc>
        <w:tc>
          <w:tcPr>
            <w:tcW w:w="415" w:type="dxa"/>
            <w:tcBorders>
              <w:top w:val="nil"/>
              <w:left w:val="nil"/>
              <w:bottom w:val="single" w:sz="4" w:space="0" w:color="000000"/>
              <w:right w:val="single" w:sz="4" w:space="0" w:color="000000"/>
            </w:tcBorders>
            <w:shd w:val="clear" w:color="auto" w:fill="auto"/>
            <w:vAlign w:val="center"/>
          </w:tcPr>
          <w:p w14:paraId="0000021C"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4</w:t>
            </w:r>
          </w:p>
        </w:tc>
        <w:tc>
          <w:tcPr>
            <w:tcW w:w="415" w:type="dxa"/>
            <w:tcBorders>
              <w:top w:val="nil"/>
              <w:left w:val="nil"/>
              <w:bottom w:val="single" w:sz="4" w:space="0" w:color="000000"/>
              <w:right w:val="single" w:sz="4" w:space="0" w:color="000000"/>
            </w:tcBorders>
            <w:shd w:val="clear" w:color="auto" w:fill="auto"/>
            <w:vAlign w:val="center"/>
          </w:tcPr>
          <w:p w14:paraId="0000021D"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tcPr>
          <w:p w14:paraId="0000021E"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w:t>
            </w:r>
          </w:p>
        </w:tc>
        <w:tc>
          <w:tcPr>
            <w:tcW w:w="914" w:type="dxa"/>
            <w:tcBorders>
              <w:top w:val="nil"/>
              <w:left w:val="nil"/>
              <w:bottom w:val="single" w:sz="4" w:space="0" w:color="000000"/>
              <w:right w:val="single" w:sz="4" w:space="0" w:color="000000"/>
            </w:tcBorders>
            <w:shd w:val="clear" w:color="auto" w:fill="auto"/>
            <w:vAlign w:val="center"/>
          </w:tcPr>
          <w:p w14:paraId="0000021F"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7</w:t>
            </w:r>
          </w:p>
        </w:tc>
        <w:tc>
          <w:tcPr>
            <w:tcW w:w="615" w:type="dxa"/>
            <w:tcBorders>
              <w:top w:val="nil"/>
              <w:left w:val="nil"/>
              <w:bottom w:val="single" w:sz="4" w:space="0" w:color="000000"/>
              <w:right w:val="single" w:sz="4" w:space="0" w:color="000000"/>
            </w:tcBorders>
            <w:shd w:val="clear" w:color="auto" w:fill="auto"/>
            <w:vAlign w:val="center"/>
          </w:tcPr>
          <w:p w14:paraId="00000220" w14:textId="77777777" w:rsidR="00073819" w:rsidRDefault="0099474B">
            <w:pPr>
              <w:jc w:val="right"/>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109</w:t>
            </w:r>
          </w:p>
        </w:tc>
        <w:tc>
          <w:tcPr>
            <w:tcW w:w="1080" w:type="dxa"/>
            <w:tcBorders>
              <w:top w:val="nil"/>
              <w:left w:val="nil"/>
              <w:bottom w:val="single" w:sz="4" w:space="0" w:color="000000"/>
              <w:right w:val="single" w:sz="4" w:space="0" w:color="000000"/>
            </w:tcBorders>
            <w:shd w:val="clear" w:color="auto" w:fill="auto"/>
            <w:vAlign w:val="center"/>
          </w:tcPr>
          <w:p w14:paraId="00000221" w14:textId="77777777" w:rsidR="00073819" w:rsidRDefault="0099474B">
            <w:pP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 ~Medium</w:t>
            </w:r>
          </w:p>
        </w:tc>
      </w:tr>
    </w:tbl>
    <w:p w14:paraId="00000222" w14:textId="77777777" w:rsidR="00073819" w:rsidRDefault="00073819">
      <w:pPr>
        <w:pStyle w:val="Heading2"/>
        <w:sectPr w:rsidR="00073819" w:rsidSect="0099474B">
          <w:type w:val="continuous"/>
          <w:pgSz w:w="16838" w:h="11906" w:orient="landscape"/>
          <w:pgMar w:top="1440" w:right="1440" w:bottom="1440" w:left="1440" w:header="709" w:footer="709" w:gutter="0"/>
          <w:cols w:space="720"/>
          <w:docGrid w:linePitch="299"/>
        </w:sectPr>
      </w:pPr>
      <w:bookmarkStart w:id="5" w:name="_heading=h.1fob9te" w:colFirst="0" w:colLast="0"/>
      <w:bookmarkEnd w:id="5"/>
    </w:p>
    <w:p w14:paraId="00000223" w14:textId="77777777" w:rsidR="00073819" w:rsidRDefault="0099474B">
      <w:pPr>
        <w:jc w:val="center"/>
      </w:pPr>
      <w:r>
        <w:rPr>
          <w:noProof/>
          <w:color w:val="000000"/>
          <w:lang w:val="en-IN" w:eastAsia="en-IN"/>
        </w:rPr>
        <w:lastRenderedPageBreak/>
        <w:drawing>
          <wp:inline distT="0" distB="0" distL="0" distR="0" wp14:anchorId="7F79DF46" wp14:editId="017782F5">
            <wp:extent cx="4296183" cy="4175813"/>
            <wp:effectExtent l="0" t="0" r="0" b="0"/>
            <wp:docPr id="2035808448" name="image4.png" descr="https://lh4.googleusercontent.com/x5DHKSNyAQCs1K8ukV5cLDZraJG9E1Htch8nNtoEK2CuFZE9O6IhqhzzUXQO6BXnJrL5dupSJzzM6tegvGlDckw8uyO5anSxRPFDGhx59a0GyEgs9b5UNou5UXPqeRbK4t7zl0vO-Wsv"/>
            <wp:cNvGraphicFramePr/>
            <a:graphic xmlns:a="http://schemas.openxmlformats.org/drawingml/2006/main">
              <a:graphicData uri="http://schemas.openxmlformats.org/drawingml/2006/picture">
                <pic:pic xmlns:pic="http://schemas.openxmlformats.org/drawingml/2006/picture">
                  <pic:nvPicPr>
                    <pic:cNvPr id="0" name="image4.png" descr="https://lh4.googleusercontent.com/x5DHKSNyAQCs1K8ukV5cLDZraJG9E1Htch8nNtoEK2CuFZE9O6IhqhzzUXQO6BXnJrL5dupSJzzM6tegvGlDckw8uyO5anSxRPFDGhx59a0GyEgs9b5UNou5UXPqeRbK4t7zl0vO-Wsv"/>
                    <pic:cNvPicPr preferRelativeResize="0"/>
                  </pic:nvPicPr>
                  <pic:blipFill>
                    <a:blip r:embed="rId13"/>
                    <a:srcRect l="5977" t="8490"/>
                    <a:stretch>
                      <a:fillRect/>
                    </a:stretch>
                  </pic:blipFill>
                  <pic:spPr>
                    <a:xfrm>
                      <a:off x="0" y="0"/>
                      <a:ext cx="4296183" cy="4175813"/>
                    </a:xfrm>
                    <a:prstGeom prst="rect">
                      <a:avLst/>
                    </a:prstGeom>
                    <a:ln/>
                  </pic:spPr>
                </pic:pic>
              </a:graphicData>
            </a:graphic>
          </wp:inline>
        </w:drawing>
      </w:r>
    </w:p>
    <w:p w14:paraId="00000225" w14:textId="61841518" w:rsidR="00073819" w:rsidRDefault="0099474B" w:rsidP="004F32EE">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Fig. S1</w:t>
      </w:r>
      <w:r>
        <w:rPr>
          <w:rFonts w:ascii="Times New Roman" w:eastAsia="Times New Roman" w:hAnsi="Times New Roman" w:cs="Times New Roman"/>
          <w:sz w:val="20"/>
          <w:szCs w:val="20"/>
        </w:rPr>
        <w:t xml:space="preserve"> The volume of goods transported to the Prince Edward Islands (PEIs) (2014–2021). The volume of food and other cargo transported to the PEIs has been variable over time and no long-term pattern is apparent. Occasional work on the research base or upgrading of facilities results in peaks in the machinery transported (cf. 2018). </w:t>
      </w:r>
      <w:r w:rsidR="004F32EE" w:rsidRPr="004F32EE">
        <w:rPr>
          <w:rFonts w:ascii="Times New Roman" w:eastAsia="Times New Roman" w:hAnsi="Times New Roman" w:cs="Times New Roman"/>
          <w:sz w:val="20"/>
          <w:szCs w:val="20"/>
        </w:rPr>
        <w:t>These data were used to estimate the indicator ‘</w:t>
      </w:r>
      <w:r w:rsidR="004F32EE" w:rsidRPr="004E6EB4">
        <w:rPr>
          <w:rFonts w:ascii="Times New Roman" w:eastAsia="Times New Roman" w:hAnsi="Times New Roman" w:cs="Times New Roman"/>
          <w:i/>
          <w:iCs/>
          <w:sz w:val="20"/>
          <w:szCs w:val="20"/>
        </w:rPr>
        <w:t xml:space="preserve">introduction </w:t>
      </w:r>
      <w:r w:rsidR="004F32EE" w:rsidRPr="00820A23">
        <w:rPr>
          <w:rFonts w:ascii="Times New Roman" w:eastAsia="Times New Roman" w:hAnsi="Times New Roman" w:cs="Times New Roman"/>
          <w:i/>
          <w:iCs/>
          <w:sz w:val="20"/>
          <w:szCs w:val="20"/>
        </w:rPr>
        <w:t>pathway prominence</w:t>
      </w:r>
      <w:r w:rsidR="004F32EE" w:rsidRPr="00820A23">
        <w:rPr>
          <w:rFonts w:ascii="Times New Roman" w:eastAsia="Times New Roman" w:hAnsi="Times New Roman" w:cs="Times New Roman"/>
          <w:sz w:val="20"/>
          <w:szCs w:val="20"/>
        </w:rPr>
        <w:t>’ for the food contaminant, container and bulk cargo, and machine</w:t>
      </w:r>
      <w:r w:rsidR="005B50B8" w:rsidRPr="00820A23">
        <w:rPr>
          <w:rFonts w:ascii="Times New Roman" w:eastAsia="Times New Roman" w:hAnsi="Times New Roman" w:cs="Times New Roman"/>
          <w:sz w:val="20"/>
          <w:szCs w:val="20"/>
        </w:rPr>
        <w:t>ry</w:t>
      </w:r>
      <w:r w:rsidR="004F32EE" w:rsidRPr="00820A23">
        <w:rPr>
          <w:rFonts w:ascii="Times New Roman" w:eastAsia="Times New Roman" w:hAnsi="Times New Roman" w:cs="Times New Roman"/>
          <w:sz w:val="20"/>
          <w:szCs w:val="20"/>
        </w:rPr>
        <w:t xml:space="preserve"> and equipment pathways. While </w:t>
      </w:r>
      <w:r w:rsidR="00820A23" w:rsidRPr="00820A23">
        <w:rPr>
          <w:rFonts w:ascii="Times New Roman" w:eastAsia="Times New Roman" w:hAnsi="Times New Roman" w:cs="Times New Roman"/>
          <w:sz w:val="20"/>
          <w:szCs w:val="20"/>
        </w:rPr>
        <w:t>the ‘</w:t>
      </w:r>
      <w:r w:rsidR="004F32EE" w:rsidRPr="00820A23">
        <w:rPr>
          <w:rFonts w:ascii="Times New Roman" w:eastAsia="Times New Roman" w:hAnsi="Times New Roman" w:cs="Times New Roman"/>
          <w:sz w:val="20"/>
          <w:szCs w:val="20"/>
        </w:rPr>
        <w:t>machine</w:t>
      </w:r>
      <w:r w:rsidR="005B50B8" w:rsidRPr="00820A23">
        <w:rPr>
          <w:rFonts w:ascii="Times New Roman" w:eastAsia="Times New Roman" w:hAnsi="Times New Roman" w:cs="Times New Roman"/>
          <w:sz w:val="20"/>
          <w:szCs w:val="20"/>
        </w:rPr>
        <w:t>ry</w:t>
      </w:r>
      <w:r w:rsidR="004F32EE" w:rsidRPr="00820A23">
        <w:rPr>
          <w:rFonts w:ascii="Times New Roman" w:eastAsia="Times New Roman" w:hAnsi="Times New Roman" w:cs="Times New Roman"/>
          <w:sz w:val="20"/>
          <w:szCs w:val="20"/>
        </w:rPr>
        <w:t xml:space="preserve"> and equipment</w:t>
      </w:r>
      <w:r w:rsidR="00820A23" w:rsidRPr="00820A23">
        <w:rPr>
          <w:rFonts w:ascii="Times New Roman" w:eastAsia="Times New Roman" w:hAnsi="Times New Roman" w:cs="Times New Roman"/>
          <w:sz w:val="20"/>
          <w:szCs w:val="20"/>
        </w:rPr>
        <w:t>’</w:t>
      </w:r>
      <w:r w:rsidR="004F32EE" w:rsidRPr="00820A23">
        <w:rPr>
          <w:rFonts w:ascii="Times New Roman" w:eastAsia="Times New Roman" w:hAnsi="Times New Roman" w:cs="Times New Roman"/>
          <w:sz w:val="20"/>
          <w:szCs w:val="20"/>
        </w:rPr>
        <w:t xml:space="preserve"> pathway ha</w:t>
      </w:r>
      <w:r w:rsidR="00D06B77" w:rsidRPr="00820A23">
        <w:rPr>
          <w:rFonts w:ascii="Times New Roman" w:eastAsia="Times New Roman" w:hAnsi="Times New Roman" w:cs="Times New Roman"/>
          <w:sz w:val="20"/>
          <w:szCs w:val="20"/>
        </w:rPr>
        <w:t>s</w:t>
      </w:r>
      <w:r w:rsidR="004F32EE" w:rsidRPr="00820A23">
        <w:rPr>
          <w:rFonts w:ascii="Times New Roman" w:eastAsia="Times New Roman" w:hAnsi="Times New Roman" w:cs="Times New Roman"/>
          <w:sz w:val="20"/>
          <w:szCs w:val="20"/>
        </w:rPr>
        <w:t xml:space="preserve"> ‘minor’ introduction pathway prominence, the introduction pathway prominence of the </w:t>
      </w:r>
      <w:r w:rsidR="008A69F6">
        <w:rPr>
          <w:rFonts w:ascii="Times New Roman" w:eastAsia="Times New Roman" w:hAnsi="Times New Roman" w:cs="Times New Roman"/>
          <w:sz w:val="20"/>
          <w:szCs w:val="20"/>
        </w:rPr>
        <w:t>‘</w:t>
      </w:r>
      <w:r w:rsidR="00A82234" w:rsidRPr="00820A23">
        <w:rPr>
          <w:rFonts w:ascii="Times New Roman" w:eastAsia="Times New Roman" w:hAnsi="Times New Roman" w:cs="Times New Roman"/>
          <w:sz w:val="20"/>
          <w:szCs w:val="20"/>
        </w:rPr>
        <w:t>food contaminant</w:t>
      </w:r>
      <w:r w:rsidR="008A69F6">
        <w:rPr>
          <w:rFonts w:ascii="Times New Roman" w:eastAsia="Times New Roman" w:hAnsi="Times New Roman" w:cs="Times New Roman"/>
          <w:sz w:val="20"/>
          <w:szCs w:val="20"/>
        </w:rPr>
        <w:t>’</w:t>
      </w:r>
      <w:r w:rsidR="00A82234" w:rsidRPr="00820A23">
        <w:rPr>
          <w:rFonts w:ascii="Times New Roman" w:eastAsia="Times New Roman" w:hAnsi="Times New Roman" w:cs="Times New Roman"/>
          <w:sz w:val="20"/>
          <w:szCs w:val="20"/>
        </w:rPr>
        <w:t xml:space="preserve"> and the </w:t>
      </w:r>
      <w:r w:rsidR="008A69F6">
        <w:rPr>
          <w:rFonts w:ascii="Times New Roman" w:eastAsia="Times New Roman" w:hAnsi="Times New Roman" w:cs="Times New Roman"/>
          <w:sz w:val="20"/>
          <w:szCs w:val="20"/>
        </w:rPr>
        <w:t>‘</w:t>
      </w:r>
      <w:r w:rsidR="004F32EE" w:rsidRPr="00820A23">
        <w:rPr>
          <w:rFonts w:ascii="Times New Roman" w:eastAsia="Times New Roman" w:hAnsi="Times New Roman" w:cs="Times New Roman"/>
          <w:sz w:val="20"/>
          <w:szCs w:val="20"/>
        </w:rPr>
        <w:t>container and bulk cargo</w:t>
      </w:r>
      <w:r w:rsidR="008A69F6">
        <w:rPr>
          <w:rFonts w:ascii="Times New Roman" w:eastAsia="Times New Roman" w:hAnsi="Times New Roman" w:cs="Times New Roman"/>
          <w:sz w:val="20"/>
          <w:szCs w:val="20"/>
        </w:rPr>
        <w:t>’</w:t>
      </w:r>
      <w:r w:rsidR="004F32EE" w:rsidRPr="00820A23">
        <w:rPr>
          <w:rFonts w:ascii="Times New Roman" w:eastAsia="Times New Roman" w:hAnsi="Times New Roman" w:cs="Times New Roman"/>
          <w:sz w:val="20"/>
          <w:szCs w:val="20"/>
        </w:rPr>
        <w:t xml:space="preserve"> pathway</w:t>
      </w:r>
      <w:r w:rsidR="00A82234" w:rsidRPr="00820A23">
        <w:rPr>
          <w:rFonts w:ascii="Times New Roman" w:eastAsia="Times New Roman" w:hAnsi="Times New Roman" w:cs="Times New Roman"/>
          <w:sz w:val="20"/>
          <w:szCs w:val="20"/>
        </w:rPr>
        <w:t>s</w:t>
      </w:r>
      <w:r w:rsidR="004F32EE" w:rsidRPr="00820A23">
        <w:rPr>
          <w:rFonts w:ascii="Times New Roman" w:eastAsia="Times New Roman" w:hAnsi="Times New Roman" w:cs="Times New Roman"/>
          <w:sz w:val="20"/>
          <w:szCs w:val="20"/>
        </w:rPr>
        <w:t xml:space="preserve"> </w:t>
      </w:r>
      <w:r w:rsidR="00A82234" w:rsidRPr="00820A23">
        <w:rPr>
          <w:rFonts w:ascii="Times New Roman" w:eastAsia="Times New Roman" w:hAnsi="Times New Roman" w:cs="Times New Roman"/>
          <w:sz w:val="20"/>
          <w:szCs w:val="20"/>
        </w:rPr>
        <w:t>are</w:t>
      </w:r>
      <w:r w:rsidR="004F32EE" w:rsidRPr="00820A23">
        <w:rPr>
          <w:rFonts w:ascii="Times New Roman" w:eastAsia="Times New Roman" w:hAnsi="Times New Roman" w:cs="Times New Roman"/>
          <w:sz w:val="20"/>
          <w:szCs w:val="20"/>
        </w:rPr>
        <w:t xml:space="preserve"> moderate (Table</w:t>
      </w:r>
      <w:r w:rsidR="004F32EE" w:rsidRPr="004F32EE">
        <w:rPr>
          <w:rFonts w:ascii="Times New Roman" w:eastAsia="Times New Roman" w:hAnsi="Times New Roman" w:cs="Times New Roman"/>
          <w:sz w:val="20"/>
          <w:szCs w:val="20"/>
        </w:rPr>
        <w:t xml:space="preserve"> S2)</w:t>
      </w:r>
      <w:r w:rsidR="002F0B7A">
        <w:rPr>
          <w:rFonts w:ascii="Times New Roman" w:eastAsia="Times New Roman" w:hAnsi="Times New Roman" w:cs="Times New Roman"/>
          <w:sz w:val="20"/>
          <w:szCs w:val="20"/>
        </w:rPr>
        <w:t>.</w:t>
      </w:r>
    </w:p>
    <w:p w14:paraId="73783EE7" w14:textId="77777777" w:rsidR="00637C11" w:rsidRDefault="00637C11" w:rsidP="004F32EE">
      <w:pPr>
        <w:spacing w:line="240" w:lineRule="auto"/>
        <w:jc w:val="both"/>
      </w:pPr>
    </w:p>
    <w:p w14:paraId="540F3202" w14:textId="5494D236" w:rsidR="00C41EAE" w:rsidRPr="00C41EAE" w:rsidRDefault="00D83311">
      <w:pPr>
        <w:rPr>
          <w:rFonts w:ascii="Times New Roman" w:hAnsi="Times New Roman" w:cs="Times New Roman"/>
          <w:sz w:val="20"/>
          <w:szCs w:val="20"/>
        </w:rPr>
      </w:pPr>
      <w:r w:rsidRPr="00C41EAE">
        <w:rPr>
          <w:rFonts w:ascii="Times New Roman" w:hAnsi="Times New Roman" w:cs="Times New Roman"/>
          <w:b/>
          <w:bCs/>
          <w:sz w:val="20"/>
          <w:szCs w:val="20"/>
        </w:rPr>
        <w:t>Table S</w:t>
      </w:r>
      <w:r w:rsidR="002E2C82">
        <w:rPr>
          <w:rFonts w:ascii="Times New Roman" w:hAnsi="Times New Roman" w:cs="Times New Roman"/>
          <w:b/>
          <w:bCs/>
          <w:sz w:val="20"/>
          <w:szCs w:val="20"/>
        </w:rPr>
        <w:t>5</w:t>
      </w:r>
      <w:r w:rsidRPr="00C41EAE">
        <w:rPr>
          <w:rFonts w:ascii="Times New Roman" w:hAnsi="Times New Roman" w:cs="Times New Roman"/>
          <w:sz w:val="20"/>
          <w:szCs w:val="20"/>
        </w:rPr>
        <w:t xml:space="preserve"> </w:t>
      </w:r>
      <w:r w:rsidR="005F6ACC">
        <w:rPr>
          <w:rFonts w:ascii="Times New Roman" w:hAnsi="Times New Roman" w:cs="Times New Roman"/>
          <w:sz w:val="20"/>
          <w:szCs w:val="20"/>
        </w:rPr>
        <w:t>T</w:t>
      </w:r>
      <w:r w:rsidRPr="00C41EAE">
        <w:rPr>
          <w:rFonts w:ascii="Times New Roman" w:hAnsi="Times New Roman" w:cs="Times New Roman"/>
          <w:sz w:val="20"/>
          <w:szCs w:val="20"/>
        </w:rPr>
        <w:t xml:space="preserve">hree within-country pathways are present </w:t>
      </w:r>
      <w:r w:rsidR="005F6ACC" w:rsidRPr="00C41EAE">
        <w:rPr>
          <w:rFonts w:ascii="Times New Roman" w:hAnsi="Times New Roman" w:cs="Times New Roman"/>
          <w:sz w:val="20"/>
          <w:szCs w:val="20"/>
        </w:rPr>
        <w:t xml:space="preserve">by which alien species are known, or strongly suspected </w:t>
      </w:r>
      <w:r w:rsidRPr="00C41EAE">
        <w:rPr>
          <w:rFonts w:ascii="Times New Roman" w:hAnsi="Times New Roman" w:cs="Times New Roman"/>
          <w:sz w:val="20"/>
          <w:szCs w:val="20"/>
        </w:rPr>
        <w:t xml:space="preserve">on the Prince Edward Islands. </w:t>
      </w:r>
    </w:p>
    <w:tbl>
      <w:tblPr>
        <w:tblW w:w="9026" w:type="dxa"/>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726"/>
        <w:gridCol w:w="1418"/>
        <w:gridCol w:w="5882"/>
      </w:tblGrid>
      <w:tr w:rsidR="0010026B" w14:paraId="625EB0B2" w14:textId="77777777" w:rsidTr="003F1476">
        <w:trPr>
          <w:cantSplit/>
          <w:trHeight w:val="350"/>
          <w:tblHeader/>
        </w:trPr>
        <w:tc>
          <w:tcPr>
            <w:tcW w:w="1726" w:type="dxa"/>
            <w:shd w:val="clear" w:color="auto" w:fill="auto"/>
            <w:tcMar>
              <w:top w:w="28" w:type="dxa"/>
              <w:left w:w="28" w:type="dxa"/>
              <w:bottom w:w="28" w:type="dxa"/>
              <w:right w:w="28" w:type="dxa"/>
            </w:tcMar>
          </w:tcPr>
          <w:p w14:paraId="181CDB45" w14:textId="77777777" w:rsidR="0010026B" w:rsidRPr="00465B6A" w:rsidRDefault="0010026B" w:rsidP="003F1476">
            <w:pPr>
              <w:widowControl w:val="0"/>
              <w:pBdr>
                <w:top w:val="nil"/>
                <w:left w:val="nil"/>
                <w:bottom w:val="nil"/>
                <w:right w:val="nil"/>
                <w:between w:val="nil"/>
              </w:pBdr>
              <w:spacing w:after="0" w:line="240" w:lineRule="auto"/>
              <w:jc w:val="center"/>
              <w:rPr>
                <w:rFonts w:ascii="Times New Roman" w:hAnsi="Times New Roman" w:cs="Times New Roman"/>
                <w:b/>
                <w:sz w:val="16"/>
                <w:szCs w:val="16"/>
              </w:rPr>
            </w:pPr>
            <w:r w:rsidRPr="00465B6A">
              <w:rPr>
                <w:rFonts w:ascii="Times New Roman" w:hAnsi="Times New Roman" w:cs="Times New Roman"/>
                <w:b/>
                <w:sz w:val="16"/>
                <w:szCs w:val="16"/>
              </w:rPr>
              <w:t>Pathway category: subcategory</w:t>
            </w:r>
          </w:p>
        </w:tc>
        <w:tc>
          <w:tcPr>
            <w:tcW w:w="1418" w:type="dxa"/>
            <w:shd w:val="clear" w:color="auto" w:fill="auto"/>
            <w:tcMar>
              <w:top w:w="28" w:type="dxa"/>
              <w:left w:w="28" w:type="dxa"/>
              <w:bottom w:w="28" w:type="dxa"/>
              <w:right w:w="28" w:type="dxa"/>
            </w:tcMar>
          </w:tcPr>
          <w:p w14:paraId="26149A71" w14:textId="77777777" w:rsidR="0010026B" w:rsidRPr="00465B6A" w:rsidRDefault="0010026B" w:rsidP="003F1476">
            <w:pPr>
              <w:widowControl w:val="0"/>
              <w:pBdr>
                <w:top w:val="nil"/>
                <w:left w:val="nil"/>
                <w:bottom w:val="nil"/>
                <w:right w:val="nil"/>
                <w:between w:val="nil"/>
              </w:pBdr>
              <w:spacing w:after="0" w:line="240" w:lineRule="auto"/>
              <w:jc w:val="center"/>
              <w:rPr>
                <w:rFonts w:ascii="Times New Roman" w:hAnsi="Times New Roman" w:cs="Times New Roman"/>
                <w:b/>
                <w:i/>
                <w:sz w:val="16"/>
                <w:szCs w:val="16"/>
              </w:rPr>
            </w:pPr>
            <w:r w:rsidRPr="00465B6A">
              <w:rPr>
                <w:rFonts w:ascii="Times New Roman" w:hAnsi="Times New Roman" w:cs="Times New Roman"/>
                <w:b/>
                <w:i/>
                <w:sz w:val="16"/>
                <w:szCs w:val="16"/>
              </w:rPr>
              <w:t>Within-country pathway prominence</w:t>
            </w:r>
          </w:p>
        </w:tc>
        <w:tc>
          <w:tcPr>
            <w:tcW w:w="5882" w:type="dxa"/>
            <w:shd w:val="clear" w:color="auto" w:fill="auto"/>
            <w:tcMar>
              <w:top w:w="28" w:type="dxa"/>
              <w:left w:w="28" w:type="dxa"/>
              <w:bottom w:w="28" w:type="dxa"/>
              <w:right w:w="28" w:type="dxa"/>
            </w:tcMar>
          </w:tcPr>
          <w:p w14:paraId="7F75B99D" w14:textId="77777777" w:rsidR="0010026B" w:rsidRPr="00465B6A" w:rsidRDefault="0010026B" w:rsidP="003F1476">
            <w:pPr>
              <w:widowControl w:val="0"/>
              <w:pBdr>
                <w:top w:val="nil"/>
                <w:left w:val="nil"/>
                <w:bottom w:val="nil"/>
                <w:right w:val="nil"/>
                <w:between w:val="nil"/>
              </w:pBdr>
              <w:spacing w:after="0" w:line="240" w:lineRule="auto"/>
              <w:jc w:val="center"/>
              <w:rPr>
                <w:rFonts w:ascii="Times New Roman" w:hAnsi="Times New Roman" w:cs="Times New Roman"/>
                <w:b/>
                <w:sz w:val="16"/>
                <w:szCs w:val="16"/>
              </w:rPr>
            </w:pPr>
            <w:r w:rsidRPr="00465B6A">
              <w:rPr>
                <w:rFonts w:ascii="Times New Roman" w:hAnsi="Times New Roman" w:cs="Times New Roman"/>
                <w:b/>
                <w:sz w:val="16"/>
                <w:szCs w:val="16"/>
              </w:rPr>
              <w:t>Examples of within-country dispersal</w:t>
            </w:r>
          </w:p>
        </w:tc>
      </w:tr>
      <w:tr w:rsidR="0010026B" w14:paraId="721348E0" w14:textId="77777777" w:rsidTr="003F1476">
        <w:trPr>
          <w:cantSplit/>
          <w:trHeight w:val="471"/>
        </w:trPr>
        <w:tc>
          <w:tcPr>
            <w:tcW w:w="1726" w:type="dxa"/>
            <w:shd w:val="clear" w:color="auto" w:fill="auto"/>
            <w:tcMar>
              <w:top w:w="28" w:type="dxa"/>
              <w:left w:w="28" w:type="dxa"/>
              <w:bottom w:w="28" w:type="dxa"/>
              <w:right w:w="28" w:type="dxa"/>
            </w:tcMar>
          </w:tcPr>
          <w:p w14:paraId="65AD95D2"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 xml:space="preserve">Transport-stowaway: People/equipment </w:t>
            </w:r>
          </w:p>
        </w:tc>
        <w:tc>
          <w:tcPr>
            <w:tcW w:w="1418" w:type="dxa"/>
            <w:shd w:val="clear" w:color="auto" w:fill="auto"/>
            <w:tcMar>
              <w:top w:w="28" w:type="dxa"/>
              <w:left w:w="28" w:type="dxa"/>
              <w:bottom w:w="28" w:type="dxa"/>
              <w:right w:w="28" w:type="dxa"/>
            </w:tcMar>
          </w:tcPr>
          <w:p w14:paraId="4F598E7A"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Not known</w:t>
            </w:r>
          </w:p>
        </w:tc>
        <w:tc>
          <w:tcPr>
            <w:tcW w:w="5882" w:type="dxa"/>
            <w:shd w:val="clear" w:color="auto" w:fill="auto"/>
            <w:tcMar>
              <w:top w:w="28" w:type="dxa"/>
              <w:left w:w="28" w:type="dxa"/>
              <w:bottom w:w="28" w:type="dxa"/>
              <w:right w:w="28" w:type="dxa"/>
            </w:tcMar>
          </w:tcPr>
          <w:p w14:paraId="39BBBB75"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Lee and Chown (2011) found 420 seeds carried on 225 different clothes items on expeditioners that were returning to the South African mainland from Marion Island. These propagules could have potentially been spread around the island (at least three seed</w:t>
            </w:r>
            <w:sdt>
              <w:sdtPr>
                <w:rPr>
                  <w:rFonts w:ascii="Times New Roman" w:hAnsi="Times New Roman" w:cs="Times New Roman"/>
                  <w:sz w:val="16"/>
                  <w:szCs w:val="16"/>
                </w:rPr>
                <w:tag w:val="goog_rdk_1"/>
                <w:id w:val="-1921699632"/>
              </w:sdtPr>
              <w:sdtEndPr/>
              <w:sdtContent>
                <w:r w:rsidRPr="00465B6A">
                  <w:rPr>
                    <w:rFonts w:ascii="Times New Roman" w:hAnsi="Times New Roman" w:cs="Times New Roman"/>
                    <w:sz w:val="16"/>
                    <w:szCs w:val="16"/>
                  </w:rPr>
                  <w:t>s</w:t>
                </w:r>
              </w:sdtContent>
            </w:sdt>
            <w:r w:rsidRPr="00465B6A">
              <w:rPr>
                <w:rFonts w:ascii="Times New Roman" w:hAnsi="Times New Roman" w:cs="Times New Roman"/>
                <w:sz w:val="16"/>
                <w:szCs w:val="16"/>
              </w:rPr>
              <w:t xml:space="preserve"> were of highly invasive plant species). The prominence of the pathway on the island has not, however, been specifically monitored.</w:t>
            </w:r>
          </w:p>
        </w:tc>
      </w:tr>
      <w:tr w:rsidR="0010026B" w14:paraId="58F3AB3F" w14:textId="77777777" w:rsidTr="003F1476">
        <w:trPr>
          <w:cantSplit/>
        </w:trPr>
        <w:tc>
          <w:tcPr>
            <w:tcW w:w="1726" w:type="dxa"/>
            <w:shd w:val="clear" w:color="auto" w:fill="auto"/>
            <w:tcMar>
              <w:top w:w="28" w:type="dxa"/>
              <w:left w:w="28" w:type="dxa"/>
              <w:bottom w:w="28" w:type="dxa"/>
              <w:right w:w="28" w:type="dxa"/>
            </w:tcMar>
          </w:tcPr>
          <w:p w14:paraId="68DF9D41"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Transport-stowaway:</w:t>
            </w:r>
          </w:p>
          <w:p w14:paraId="65A0A565"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Container and bulk cargo</w:t>
            </w:r>
          </w:p>
        </w:tc>
        <w:tc>
          <w:tcPr>
            <w:tcW w:w="1418" w:type="dxa"/>
            <w:shd w:val="clear" w:color="auto" w:fill="auto"/>
            <w:tcMar>
              <w:top w:w="28" w:type="dxa"/>
              <w:left w:w="28" w:type="dxa"/>
              <w:bottom w:w="28" w:type="dxa"/>
              <w:right w:w="28" w:type="dxa"/>
            </w:tcMar>
          </w:tcPr>
          <w:p w14:paraId="5EF60B47" w14:textId="77777777"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sz w:val="16"/>
                <w:szCs w:val="16"/>
              </w:rPr>
              <w:t>Minor</w:t>
            </w:r>
          </w:p>
        </w:tc>
        <w:tc>
          <w:tcPr>
            <w:tcW w:w="5882" w:type="dxa"/>
            <w:shd w:val="clear" w:color="auto" w:fill="auto"/>
            <w:tcMar>
              <w:top w:w="28" w:type="dxa"/>
              <w:left w:w="28" w:type="dxa"/>
              <w:bottom w:w="28" w:type="dxa"/>
              <w:right w:w="28" w:type="dxa"/>
            </w:tcMar>
          </w:tcPr>
          <w:p w14:paraId="201B78BD" w14:textId="67520C00" w:rsidR="0010026B" w:rsidRPr="00465B6A" w:rsidRDefault="0010026B" w:rsidP="003F1476">
            <w:pPr>
              <w:widowControl w:val="0"/>
              <w:pBdr>
                <w:top w:val="nil"/>
                <w:left w:val="nil"/>
                <w:bottom w:val="nil"/>
                <w:right w:val="nil"/>
                <w:between w:val="nil"/>
              </w:pBdr>
              <w:spacing w:after="0" w:line="240" w:lineRule="auto"/>
              <w:rPr>
                <w:rFonts w:ascii="Times New Roman" w:hAnsi="Times New Roman" w:cs="Times New Roman"/>
                <w:sz w:val="16"/>
                <w:szCs w:val="16"/>
              </w:rPr>
            </w:pPr>
            <w:r w:rsidRPr="00465B6A">
              <w:rPr>
                <w:rFonts w:ascii="Times New Roman" w:hAnsi="Times New Roman" w:cs="Times New Roman"/>
                <w:i/>
                <w:sz w:val="16"/>
                <w:szCs w:val="16"/>
              </w:rPr>
              <w:t>Sagina procumbens</w:t>
            </w:r>
            <w:r w:rsidRPr="00465B6A">
              <w:rPr>
                <w:rFonts w:ascii="Times New Roman" w:hAnsi="Times New Roman" w:cs="Times New Roman"/>
                <w:sz w:val="16"/>
                <w:szCs w:val="16"/>
              </w:rPr>
              <w:t xml:space="preserve"> was possibly spread across the island during hut restocking, when containers are dropped at huts by helicopter. This happens once a year. Other plants could have been spread by this means too. The invasive slug </w:t>
            </w:r>
            <w:proofErr w:type="spellStart"/>
            <w:r w:rsidRPr="00465B6A">
              <w:rPr>
                <w:rFonts w:ascii="Times New Roman" w:hAnsi="Times New Roman" w:cs="Times New Roman"/>
                <w:i/>
                <w:sz w:val="16"/>
                <w:szCs w:val="16"/>
              </w:rPr>
              <w:t>Deroceras</w:t>
            </w:r>
            <w:proofErr w:type="spellEnd"/>
            <w:r w:rsidRPr="00465B6A">
              <w:rPr>
                <w:rFonts w:ascii="Times New Roman" w:hAnsi="Times New Roman" w:cs="Times New Roman"/>
                <w:i/>
                <w:sz w:val="16"/>
                <w:szCs w:val="16"/>
              </w:rPr>
              <w:t xml:space="preserve"> </w:t>
            </w:r>
            <w:proofErr w:type="spellStart"/>
            <w:r w:rsidRPr="00465B6A">
              <w:rPr>
                <w:rFonts w:ascii="Times New Roman" w:hAnsi="Times New Roman" w:cs="Times New Roman"/>
                <w:i/>
                <w:sz w:val="16"/>
                <w:szCs w:val="16"/>
              </w:rPr>
              <w:t>panormitanum</w:t>
            </w:r>
            <w:proofErr w:type="spellEnd"/>
            <w:r w:rsidRPr="00465B6A">
              <w:rPr>
                <w:rFonts w:ascii="Times New Roman" w:hAnsi="Times New Roman" w:cs="Times New Roman"/>
                <w:sz w:val="16"/>
                <w:szCs w:val="16"/>
              </w:rPr>
              <w:t xml:space="preserve"> has been spread around Marion Island through wooden crates that are packed around the research station prior to aircraft and ship operations (Chown et al. 2002</w:t>
            </w:r>
            <w:r w:rsidR="006048CC">
              <w:rPr>
                <w:rFonts w:ascii="Times New Roman" w:hAnsi="Times New Roman" w:cs="Times New Roman"/>
                <w:sz w:val="16"/>
                <w:szCs w:val="16"/>
              </w:rPr>
              <w:t xml:space="preserve">; Fig. </w:t>
            </w:r>
            <w:r w:rsidR="006A500F">
              <w:rPr>
                <w:rFonts w:ascii="Times New Roman" w:hAnsi="Times New Roman" w:cs="Times New Roman"/>
                <w:sz w:val="16"/>
                <w:szCs w:val="16"/>
              </w:rPr>
              <w:t>3c</w:t>
            </w:r>
            <w:r w:rsidRPr="00465B6A">
              <w:rPr>
                <w:rFonts w:ascii="Times New Roman" w:hAnsi="Times New Roman" w:cs="Times New Roman"/>
                <w:sz w:val="16"/>
                <w:szCs w:val="16"/>
              </w:rPr>
              <w:t xml:space="preserve">). </w:t>
            </w:r>
          </w:p>
        </w:tc>
      </w:tr>
      <w:tr w:rsidR="0010026B" w14:paraId="69ABB7D8" w14:textId="77777777" w:rsidTr="003F1476">
        <w:trPr>
          <w:cantSplit/>
        </w:trPr>
        <w:tc>
          <w:tcPr>
            <w:tcW w:w="1726" w:type="dxa"/>
            <w:shd w:val="clear" w:color="auto" w:fill="auto"/>
            <w:tcMar>
              <w:top w:w="28" w:type="dxa"/>
              <w:left w:w="28" w:type="dxa"/>
              <w:bottom w:w="28" w:type="dxa"/>
              <w:right w:w="28" w:type="dxa"/>
            </w:tcMar>
          </w:tcPr>
          <w:p w14:paraId="16FD7FC2" w14:textId="77777777" w:rsidR="0010026B" w:rsidRPr="00465B6A" w:rsidRDefault="0010026B" w:rsidP="003F1476">
            <w:pPr>
              <w:widowControl w:val="0"/>
              <w:spacing w:after="0" w:line="240" w:lineRule="auto"/>
              <w:rPr>
                <w:rFonts w:ascii="Times New Roman" w:hAnsi="Times New Roman" w:cs="Times New Roman"/>
                <w:sz w:val="16"/>
                <w:szCs w:val="16"/>
              </w:rPr>
            </w:pPr>
            <w:r w:rsidRPr="00465B6A">
              <w:rPr>
                <w:rFonts w:ascii="Times New Roman" w:hAnsi="Times New Roman" w:cs="Times New Roman"/>
                <w:sz w:val="16"/>
                <w:szCs w:val="16"/>
              </w:rPr>
              <w:t>Unaided</w:t>
            </w:r>
          </w:p>
        </w:tc>
        <w:tc>
          <w:tcPr>
            <w:tcW w:w="1418" w:type="dxa"/>
            <w:shd w:val="clear" w:color="auto" w:fill="auto"/>
            <w:tcMar>
              <w:top w:w="28" w:type="dxa"/>
              <w:left w:w="28" w:type="dxa"/>
              <w:bottom w:w="28" w:type="dxa"/>
              <w:right w:w="28" w:type="dxa"/>
            </w:tcMar>
          </w:tcPr>
          <w:p w14:paraId="161AF039" w14:textId="77777777" w:rsidR="0010026B" w:rsidRPr="00465B6A" w:rsidRDefault="0010026B" w:rsidP="003F1476">
            <w:pPr>
              <w:widowControl w:val="0"/>
              <w:spacing w:after="0" w:line="240" w:lineRule="auto"/>
              <w:rPr>
                <w:rFonts w:ascii="Times New Roman" w:hAnsi="Times New Roman" w:cs="Times New Roman"/>
                <w:sz w:val="16"/>
                <w:szCs w:val="16"/>
              </w:rPr>
            </w:pPr>
            <w:r w:rsidRPr="00465B6A">
              <w:rPr>
                <w:rFonts w:ascii="Times New Roman" w:hAnsi="Times New Roman" w:cs="Times New Roman"/>
                <w:sz w:val="16"/>
                <w:szCs w:val="16"/>
              </w:rPr>
              <w:t>Moderate</w:t>
            </w:r>
          </w:p>
        </w:tc>
        <w:tc>
          <w:tcPr>
            <w:tcW w:w="5882" w:type="dxa"/>
            <w:shd w:val="clear" w:color="auto" w:fill="auto"/>
            <w:tcMar>
              <w:top w:w="28" w:type="dxa"/>
              <w:left w:w="28" w:type="dxa"/>
              <w:bottom w:w="28" w:type="dxa"/>
              <w:right w:w="28" w:type="dxa"/>
            </w:tcMar>
          </w:tcPr>
          <w:p w14:paraId="227E7DC5" w14:textId="77777777" w:rsidR="0010026B" w:rsidRPr="00465B6A" w:rsidRDefault="0010026B" w:rsidP="003F1476">
            <w:pPr>
              <w:widowControl w:val="0"/>
              <w:spacing w:after="0" w:line="240" w:lineRule="auto"/>
              <w:rPr>
                <w:rFonts w:ascii="Times New Roman" w:hAnsi="Times New Roman" w:cs="Times New Roman"/>
                <w:sz w:val="16"/>
                <w:szCs w:val="16"/>
              </w:rPr>
            </w:pPr>
            <w:r w:rsidRPr="00465B6A">
              <w:rPr>
                <w:rFonts w:ascii="Times New Roman" w:hAnsi="Times New Roman" w:cs="Times New Roman"/>
                <w:sz w:val="16"/>
                <w:szCs w:val="16"/>
              </w:rPr>
              <w:t>Several plant species have spread over fairly large distances on Prince Edward Island during a time when no humans visited the island. It can be expected that most increases in the range of invasive species on Marion Island are similarly unaided.</w:t>
            </w:r>
          </w:p>
        </w:tc>
      </w:tr>
    </w:tbl>
    <w:p w14:paraId="4C3E161A" w14:textId="77777777" w:rsidR="00B76E44" w:rsidRDefault="00B76E44">
      <w:pPr>
        <w:pStyle w:val="Heading2"/>
        <w:rPr>
          <w:rFonts w:ascii="Times New Roman" w:eastAsia="Times New Roman" w:hAnsi="Times New Roman" w:cs="Times New Roman"/>
          <w:sz w:val="20"/>
          <w:szCs w:val="20"/>
        </w:rPr>
      </w:pPr>
    </w:p>
    <w:p w14:paraId="00000226" w14:textId="28A4903C" w:rsidR="00073819" w:rsidRDefault="0099474B">
      <w:pPr>
        <w:pStyle w:val="Heading2"/>
        <w:rPr>
          <w:rFonts w:ascii="Times New Roman" w:eastAsia="Times New Roman" w:hAnsi="Times New Roman" w:cs="Times New Roman"/>
          <w:sz w:val="20"/>
          <w:szCs w:val="20"/>
        </w:rPr>
      </w:pPr>
      <w:r>
        <w:rPr>
          <w:rFonts w:ascii="Times New Roman" w:eastAsia="Times New Roman" w:hAnsi="Times New Roman" w:cs="Times New Roman"/>
          <w:sz w:val="20"/>
          <w:szCs w:val="20"/>
        </w:rPr>
        <w:t>Species</w:t>
      </w:r>
    </w:p>
    <w:p w14:paraId="00000227" w14:textId="4BAF22E1" w:rsidR="00073819" w:rsidRDefault="0099474B" w:rsidP="008D4215">
      <w:pPr>
        <w:pStyle w:val="Heading2"/>
        <w:tabs>
          <w:tab w:val="left" w:pos="4565"/>
        </w:tabs>
        <w:rPr>
          <w:rFonts w:ascii="Times New Roman" w:eastAsia="Times New Roman" w:hAnsi="Times New Roman" w:cs="Times New Roman"/>
          <w:b w:val="0"/>
          <w:sz w:val="20"/>
          <w:szCs w:val="20"/>
        </w:rPr>
      </w:pPr>
      <w:r>
        <w:rPr>
          <w:rFonts w:ascii="Times New Roman" w:eastAsia="Times New Roman" w:hAnsi="Times New Roman" w:cs="Times New Roman"/>
          <w:sz w:val="20"/>
          <w:szCs w:val="20"/>
        </w:rPr>
        <w:t>Number</w:t>
      </w:r>
      <w:r w:rsidR="00626763">
        <w:rPr>
          <w:rFonts w:ascii="Times New Roman" w:eastAsia="Times New Roman" w:hAnsi="Times New Roman" w:cs="Times New Roman"/>
          <w:sz w:val="20"/>
          <w:szCs w:val="20"/>
        </w:rPr>
        <w:t xml:space="preserve"> </w:t>
      </w:r>
      <w:r w:rsidR="00935CF5">
        <w:rPr>
          <w:rFonts w:ascii="Times New Roman" w:eastAsia="Times New Roman" w:hAnsi="Times New Roman" w:cs="Times New Roman"/>
          <w:sz w:val="20"/>
          <w:szCs w:val="20"/>
        </w:rPr>
        <w:t>and</w:t>
      </w:r>
      <w:r>
        <w:rPr>
          <w:rFonts w:ascii="Times New Roman" w:eastAsia="Times New Roman" w:hAnsi="Times New Roman" w:cs="Times New Roman"/>
          <w:sz w:val="20"/>
          <w:szCs w:val="20"/>
        </w:rPr>
        <w:t xml:space="preserve"> status</w:t>
      </w:r>
      <w:r w:rsidR="00935CF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of alien species</w:t>
      </w:r>
      <w:r w:rsidR="00935CF5">
        <w:rPr>
          <w:rFonts w:ascii="Times New Roman" w:eastAsia="Times New Roman" w:hAnsi="Times New Roman" w:cs="Times New Roman"/>
          <w:sz w:val="20"/>
          <w:szCs w:val="20"/>
        </w:rPr>
        <w:t xml:space="preserve"> (indicator 2.1)</w:t>
      </w:r>
      <w:r w:rsidR="008D4215">
        <w:rPr>
          <w:rFonts w:ascii="Times New Roman" w:eastAsia="Times New Roman" w:hAnsi="Times New Roman" w:cs="Times New Roman"/>
          <w:sz w:val="20"/>
          <w:szCs w:val="20"/>
        </w:rPr>
        <w:tab/>
      </w:r>
    </w:p>
    <w:p w14:paraId="00000228" w14:textId="77777777" w:rsidR="00073819" w:rsidRDefault="0099474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number of species and their introduction status was initially based on Greve et al. (2017) and updated based on expert knowledge, rechecking the original sources and incorporating more recently published papers (see Appendix 1 for the PEIs species list and Appendix 2 for the metadata). The number of alien taxa and introduction status (i.e., invasive, naturalised) varied by taxonomic group (invertebrates, plants, fungus and mammals) (Fig. S2). </w:t>
      </w:r>
    </w:p>
    <w:p w14:paraId="00000229" w14:textId="77777777" w:rsidR="00073819" w:rsidRDefault="0099474B">
      <w:pPr>
        <w:rPr>
          <w:b/>
        </w:rPr>
      </w:pPr>
      <w:r>
        <w:t xml:space="preserve">  </w:t>
      </w:r>
      <w:r>
        <w:rPr>
          <w:noProof/>
          <w:lang w:val="en-IN" w:eastAsia="en-IN"/>
        </w:rPr>
        <w:drawing>
          <wp:inline distT="0" distB="0" distL="0" distR="0" wp14:anchorId="60E7B4AA" wp14:editId="340AB86C">
            <wp:extent cx="5715000" cy="3533775"/>
            <wp:effectExtent l="0" t="0" r="0" b="0"/>
            <wp:docPr id="2035808446" name="Chart 20358084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00022A"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b/>
          <w:sz w:val="20"/>
          <w:szCs w:val="20"/>
        </w:rPr>
        <w:t>Fig. S2</w:t>
      </w:r>
      <w:r>
        <w:rPr>
          <w:rFonts w:ascii="Times New Roman" w:eastAsia="Times New Roman" w:hAnsi="Times New Roman" w:cs="Times New Roman"/>
          <w:sz w:val="20"/>
          <w:szCs w:val="20"/>
        </w:rPr>
        <w:t xml:space="preserve"> Number of alien taxa present on the Prince Edward Islands as of December 2023 and their current status based on the unified framework for biological invasions (Blackburn et al. 2011), with a b</w:t>
      </w:r>
      <w:r>
        <w:rPr>
          <w:rFonts w:ascii="Times New Roman" w:eastAsia="Times New Roman" w:hAnsi="Times New Roman" w:cs="Times New Roman"/>
          <w:color w:val="000000"/>
          <w:sz w:val="20"/>
          <w:szCs w:val="20"/>
        </w:rPr>
        <w:t xml:space="preserve">reak-down into the regulatory groupings of the NEM:BA A&amp;IS Regulations. T = terrestrial, FW = freshwater, M = marine. Microbes in this classification includes fungi </w:t>
      </w:r>
    </w:p>
    <w:p w14:paraId="0000022B" w14:textId="77777777" w:rsidR="00073819" w:rsidRDefault="00073819"/>
    <w:p w14:paraId="0000022F" w14:textId="34060630" w:rsidR="00073819" w:rsidRDefault="0099474B">
      <w:pPr>
        <w:pStyle w:val="Heading2"/>
        <w:rPr>
          <w:rFonts w:ascii="Times New Roman" w:eastAsia="Times New Roman" w:hAnsi="Times New Roman" w:cs="Times New Roman"/>
          <w:sz w:val="20"/>
          <w:szCs w:val="20"/>
        </w:rPr>
      </w:pPr>
      <w:bookmarkStart w:id="6" w:name="_heading=h.3znysh7" w:colFirst="0" w:colLast="0"/>
      <w:bookmarkEnd w:id="6"/>
      <w:r>
        <w:rPr>
          <w:rFonts w:ascii="Times New Roman" w:eastAsia="Times New Roman" w:hAnsi="Times New Roman" w:cs="Times New Roman"/>
          <w:sz w:val="20"/>
          <w:szCs w:val="20"/>
        </w:rPr>
        <w:t>Extent of alien species</w:t>
      </w:r>
      <w:r w:rsidR="009B15C6">
        <w:rPr>
          <w:rFonts w:ascii="Times New Roman" w:eastAsia="Times New Roman" w:hAnsi="Times New Roman" w:cs="Times New Roman"/>
          <w:sz w:val="20"/>
          <w:szCs w:val="20"/>
        </w:rPr>
        <w:t xml:space="preserve"> (indicator 2.2)</w:t>
      </w:r>
    </w:p>
    <w:p w14:paraId="00000230" w14:textId="5CFD318E" w:rsidR="00073819" w:rsidRDefault="0099474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DFFE (Department of Forestry, Fisheries and the Environment) Assistant Director of Environmental Resource Management, Charles Hope, provided up to date maps of extent of invasion for three plant species: </w:t>
      </w:r>
      <w:r>
        <w:rPr>
          <w:rFonts w:ascii="Times New Roman" w:eastAsia="Times New Roman" w:hAnsi="Times New Roman" w:cs="Times New Roman"/>
          <w:i/>
          <w:sz w:val="20"/>
          <w:szCs w:val="20"/>
        </w:rPr>
        <w:t xml:space="preserve">Agrostis gigantea </w:t>
      </w:r>
      <w:r>
        <w:rPr>
          <w:rFonts w:ascii="Times New Roman" w:eastAsia="Times New Roman" w:hAnsi="Times New Roman" w:cs="Times New Roman"/>
          <w:sz w:val="20"/>
          <w:szCs w:val="20"/>
        </w:rPr>
        <w:t>(black bent grass)</w:t>
      </w:r>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i/>
          <w:sz w:val="20"/>
          <w:szCs w:val="20"/>
        </w:rPr>
        <w:t xml:space="preserve"> multiflora </w:t>
      </w:r>
      <w:r>
        <w:rPr>
          <w:rFonts w:ascii="Times New Roman" w:eastAsia="Times New Roman" w:hAnsi="Times New Roman" w:cs="Times New Roman"/>
          <w:sz w:val="20"/>
          <w:szCs w:val="20"/>
        </w:rPr>
        <w:t>(woodrush)</w:t>
      </w:r>
      <w:r>
        <w:rPr>
          <w:rFonts w:ascii="Times New Roman" w:eastAsia="Times New Roman" w:hAnsi="Times New Roman" w:cs="Times New Roman"/>
          <w:i/>
          <w:sz w:val="20"/>
          <w:szCs w:val="20"/>
        </w:rPr>
        <w:t xml:space="preserve">, and Rumex acetosella </w:t>
      </w:r>
      <w:r>
        <w:rPr>
          <w:rFonts w:ascii="Times New Roman" w:eastAsia="Times New Roman" w:hAnsi="Times New Roman" w:cs="Times New Roman"/>
          <w:sz w:val="20"/>
          <w:szCs w:val="20"/>
        </w:rPr>
        <w:t xml:space="preserve">(sheep sorrel). </w:t>
      </w:r>
      <w:r>
        <w:rPr>
          <w:rFonts w:ascii="Times New Roman" w:eastAsia="Times New Roman" w:hAnsi="Times New Roman" w:cs="Times New Roman"/>
          <w:i/>
          <w:sz w:val="20"/>
          <w:szCs w:val="20"/>
        </w:rPr>
        <w:t xml:space="preserve">Agrostis gigantea </w:t>
      </w:r>
      <w:r>
        <w:rPr>
          <w:rFonts w:ascii="Times New Roman" w:eastAsia="Times New Roman" w:hAnsi="Times New Roman" w:cs="Times New Roman"/>
          <w:sz w:val="20"/>
          <w:szCs w:val="20"/>
        </w:rPr>
        <w:t xml:space="preserve">was present at three sites: Longridge (0.15 ha; Fig. S3), Old Base (1 ha; Fig. S4) and the new research base (0.24 ha; Fig. S5) (widespread species); </w:t>
      </w:r>
      <w:r>
        <w:rPr>
          <w:rFonts w:ascii="Times New Roman" w:eastAsia="Times New Roman" w:hAnsi="Times New Roman" w:cs="Times New Roman"/>
          <w:i/>
          <w:sz w:val="20"/>
          <w:szCs w:val="20"/>
        </w:rPr>
        <w:t>L. multiflora</w:t>
      </w:r>
      <w:r>
        <w:rPr>
          <w:rFonts w:ascii="Times New Roman" w:eastAsia="Times New Roman" w:hAnsi="Times New Roman" w:cs="Times New Roman"/>
          <w:sz w:val="20"/>
          <w:szCs w:val="20"/>
        </w:rPr>
        <w:t xml:space="preserve"> at the only site currently present: Sealers Cave (1.2 ha; Fig. S6); and </w:t>
      </w:r>
      <w:r>
        <w:rPr>
          <w:rFonts w:ascii="Times New Roman" w:eastAsia="Times New Roman" w:hAnsi="Times New Roman" w:cs="Times New Roman"/>
          <w:i/>
          <w:sz w:val="20"/>
          <w:szCs w:val="20"/>
        </w:rPr>
        <w:t>R. acetosella</w:t>
      </w:r>
      <w:r>
        <w:rPr>
          <w:rFonts w:ascii="Times New Roman" w:eastAsia="Times New Roman" w:hAnsi="Times New Roman" w:cs="Times New Roman"/>
          <w:sz w:val="20"/>
          <w:szCs w:val="20"/>
        </w:rPr>
        <w:t xml:space="preserve"> also at only site: Gentoo Lake (0.1 ha; Fig. S7). This information was collected by the </w:t>
      </w:r>
      <w:r>
        <w:rPr>
          <w:rFonts w:ascii="Times New Roman" w:eastAsia="Times New Roman" w:hAnsi="Times New Roman" w:cs="Times New Roman"/>
          <w:sz w:val="20"/>
          <w:szCs w:val="20"/>
        </w:rPr>
        <w:lastRenderedPageBreak/>
        <w:t xml:space="preserve">Environmental Control Officers (ECOs) up until 2022 and confirmed by </w:t>
      </w:r>
      <w:r w:rsidR="00024803">
        <w:rPr>
          <w:rFonts w:ascii="Times New Roman" w:eastAsia="Times New Roman" w:hAnsi="Times New Roman" w:cs="Times New Roman"/>
          <w:sz w:val="20"/>
          <w:szCs w:val="20"/>
        </w:rPr>
        <w:t>a</w:t>
      </w:r>
      <w:r>
        <w:rPr>
          <w:rFonts w:ascii="Times New Roman" w:eastAsia="Times New Roman" w:hAnsi="Times New Roman" w:cs="Times New Roman"/>
          <w:sz w:val="20"/>
          <w:szCs w:val="20"/>
        </w:rPr>
        <w:t xml:space="preserve"> second party assessment during the April/May 2023 voyage.</w:t>
      </w:r>
    </w:p>
    <w:p w14:paraId="12282D68" w14:textId="2C36F141" w:rsidR="000E667F" w:rsidRPr="00B01814" w:rsidRDefault="00D21CDE">
      <w:pPr>
        <w:spacing w:line="360" w:lineRule="auto"/>
        <w:jc w:val="both"/>
        <w:rPr>
          <w:rFonts w:ascii="Times New Roman" w:eastAsia="Times New Roman" w:hAnsi="Times New Roman" w:cs="Times New Roman"/>
          <w:iCs/>
          <w:sz w:val="20"/>
          <w:szCs w:val="20"/>
        </w:rPr>
      </w:pPr>
      <w:r>
        <w:rPr>
          <w:rFonts w:ascii="Times New Roman" w:eastAsia="Times New Roman" w:hAnsi="Times New Roman" w:cs="Times New Roman"/>
          <w:sz w:val="20"/>
          <w:szCs w:val="20"/>
        </w:rPr>
        <w:tab/>
        <w:t>Values in hectares were transformed into half minute grid cells (</w:t>
      </w:r>
      <w:proofErr w:type="spellStart"/>
      <w:r>
        <w:rPr>
          <w:rFonts w:ascii="Times New Roman" w:eastAsia="Times New Roman" w:hAnsi="Times New Roman" w:cs="Times New Roman"/>
          <w:sz w:val="20"/>
          <w:szCs w:val="20"/>
        </w:rPr>
        <w:t>hmgc</w:t>
      </w:r>
      <w:proofErr w:type="spellEnd"/>
      <w:r>
        <w:rPr>
          <w:rFonts w:ascii="Times New Roman" w:eastAsia="Times New Roman" w:hAnsi="Times New Roman" w:cs="Times New Roman"/>
          <w:sz w:val="20"/>
          <w:szCs w:val="20"/>
        </w:rPr>
        <w:t>)</w:t>
      </w:r>
      <w:r w:rsidR="00AD4E54">
        <w:rPr>
          <w:rFonts w:ascii="Times New Roman" w:eastAsia="Times New Roman" w:hAnsi="Times New Roman" w:cs="Times New Roman"/>
          <w:sz w:val="20"/>
          <w:szCs w:val="20"/>
        </w:rPr>
        <w:t xml:space="preserve"> in order to add the values into the Species list (Appendix 1, column ‘</w:t>
      </w:r>
      <w:proofErr w:type="spellStart"/>
      <w:r w:rsidR="00AD4E54">
        <w:rPr>
          <w:rFonts w:ascii="Times New Roman" w:eastAsia="Times New Roman" w:hAnsi="Times New Roman" w:cs="Times New Roman"/>
          <w:sz w:val="20"/>
          <w:szCs w:val="20"/>
        </w:rPr>
        <w:t>RangeHMGC</w:t>
      </w:r>
      <w:proofErr w:type="spellEnd"/>
      <w:r w:rsidR="0004611D">
        <w:rPr>
          <w:rFonts w:ascii="Times New Roman" w:eastAsia="Times New Roman" w:hAnsi="Times New Roman" w:cs="Times New Roman"/>
          <w:sz w:val="20"/>
          <w:szCs w:val="20"/>
        </w:rPr>
        <w:t>’</w:t>
      </w:r>
      <w:r w:rsidR="00AD4E54">
        <w:rPr>
          <w:rFonts w:ascii="Times New Roman" w:eastAsia="Times New Roman" w:hAnsi="Times New Roman" w:cs="Times New Roman"/>
          <w:sz w:val="20"/>
          <w:szCs w:val="20"/>
        </w:rPr>
        <w:t>).</w:t>
      </w:r>
      <w:r w:rsidR="0004611D">
        <w:rPr>
          <w:rFonts w:ascii="Times New Roman" w:eastAsia="Times New Roman" w:hAnsi="Times New Roman" w:cs="Times New Roman"/>
          <w:sz w:val="20"/>
          <w:szCs w:val="20"/>
        </w:rPr>
        <w:t xml:space="preserve"> Conversion values used: 1 </w:t>
      </w:r>
      <w:proofErr w:type="spellStart"/>
      <w:r w:rsidR="0004611D">
        <w:rPr>
          <w:rFonts w:ascii="Times New Roman" w:eastAsia="Times New Roman" w:hAnsi="Times New Roman" w:cs="Times New Roman"/>
          <w:sz w:val="20"/>
          <w:szCs w:val="20"/>
        </w:rPr>
        <w:t>hmgc</w:t>
      </w:r>
      <w:proofErr w:type="spellEnd"/>
      <w:r w:rsidR="0004611D">
        <w:rPr>
          <w:rFonts w:ascii="Times New Roman" w:eastAsia="Times New Roman" w:hAnsi="Times New Roman" w:cs="Times New Roman"/>
          <w:sz w:val="20"/>
          <w:szCs w:val="20"/>
        </w:rPr>
        <w:t xml:space="preserve"> = 0.59 km</w:t>
      </w:r>
      <w:proofErr w:type="gramStart"/>
      <w:r w:rsidR="0004611D" w:rsidRPr="0004611D">
        <w:rPr>
          <w:rFonts w:ascii="Times New Roman" w:eastAsia="Times New Roman" w:hAnsi="Times New Roman" w:cs="Times New Roman"/>
          <w:sz w:val="20"/>
          <w:szCs w:val="20"/>
          <w:vertAlign w:val="superscript"/>
        </w:rPr>
        <w:t>2</w:t>
      </w:r>
      <w:r w:rsidR="00AD4E54" w:rsidRPr="0004611D">
        <w:rPr>
          <w:rFonts w:ascii="Times New Roman" w:eastAsia="Times New Roman" w:hAnsi="Times New Roman" w:cs="Times New Roman"/>
          <w:sz w:val="20"/>
          <w:szCs w:val="20"/>
          <w:vertAlign w:val="superscript"/>
        </w:rPr>
        <w:t xml:space="preserve"> </w:t>
      </w:r>
      <w:r w:rsidR="00C00974">
        <w:rPr>
          <w:rFonts w:ascii="Times New Roman" w:eastAsia="Times New Roman" w:hAnsi="Times New Roman" w:cs="Times New Roman"/>
          <w:sz w:val="20"/>
          <w:szCs w:val="20"/>
        </w:rPr>
        <w:t>,</w:t>
      </w:r>
      <w:proofErr w:type="gramEnd"/>
      <w:r w:rsidR="00C00974">
        <w:rPr>
          <w:rFonts w:ascii="Times New Roman" w:eastAsia="Times New Roman" w:hAnsi="Times New Roman" w:cs="Times New Roman"/>
          <w:sz w:val="20"/>
          <w:szCs w:val="20"/>
        </w:rPr>
        <w:t xml:space="preserve"> 1 ha = 0.01 km</w:t>
      </w:r>
      <w:r w:rsidR="00C00974" w:rsidRPr="0004611D">
        <w:rPr>
          <w:rFonts w:ascii="Times New Roman" w:eastAsia="Times New Roman" w:hAnsi="Times New Roman" w:cs="Times New Roman"/>
          <w:sz w:val="20"/>
          <w:szCs w:val="20"/>
          <w:vertAlign w:val="superscript"/>
        </w:rPr>
        <w:t>2</w:t>
      </w:r>
      <w:r w:rsidR="0048465A">
        <w:rPr>
          <w:rFonts w:ascii="Times New Roman" w:eastAsia="Times New Roman" w:hAnsi="Times New Roman" w:cs="Times New Roman"/>
          <w:sz w:val="20"/>
          <w:szCs w:val="20"/>
        </w:rPr>
        <w:t>. Therefore</w:t>
      </w:r>
      <w:r w:rsidR="0060197A">
        <w:rPr>
          <w:rFonts w:ascii="Times New Roman" w:eastAsia="Times New Roman" w:hAnsi="Times New Roman" w:cs="Times New Roman"/>
          <w:sz w:val="20"/>
          <w:szCs w:val="20"/>
        </w:rPr>
        <w:t>:</w:t>
      </w:r>
      <w:r w:rsidR="0048465A">
        <w:rPr>
          <w:rFonts w:ascii="Times New Roman" w:eastAsia="Times New Roman" w:hAnsi="Times New Roman" w:cs="Times New Roman"/>
          <w:sz w:val="20"/>
          <w:szCs w:val="20"/>
        </w:rPr>
        <w:t xml:space="preserve"> </w:t>
      </w:r>
      <w:r w:rsidR="0048465A" w:rsidRPr="0060197A">
        <w:rPr>
          <w:rFonts w:ascii="Times New Roman" w:eastAsia="Times New Roman" w:hAnsi="Times New Roman" w:cs="Times New Roman"/>
          <w:i/>
          <w:iCs/>
          <w:sz w:val="20"/>
          <w:szCs w:val="20"/>
        </w:rPr>
        <w:t>A</w:t>
      </w:r>
      <w:r w:rsidR="00AF4D21" w:rsidRPr="0060197A">
        <w:rPr>
          <w:rFonts w:ascii="Times New Roman" w:eastAsia="Times New Roman" w:hAnsi="Times New Roman" w:cs="Times New Roman"/>
          <w:i/>
          <w:iCs/>
          <w:sz w:val="20"/>
          <w:szCs w:val="20"/>
        </w:rPr>
        <w:t>.</w:t>
      </w:r>
      <w:r w:rsidR="0048465A" w:rsidRPr="0060197A">
        <w:rPr>
          <w:rFonts w:ascii="Times New Roman" w:eastAsia="Times New Roman" w:hAnsi="Times New Roman" w:cs="Times New Roman"/>
          <w:i/>
          <w:iCs/>
          <w:sz w:val="20"/>
          <w:szCs w:val="20"/>
        </w:rPr>
        <w:t xml:space="preserve"> gigantea</w:t>
      </w:r>
      <w:r w:rsidR="0048465A">
        <w:rPr>
          <w:rFonts w:ascii="Times New Roman" w:eastAsia="Times New Roman" w:hAnsi="Times New Roman" w:cs="Times New Roman"/>
          <w:sz w:val="20"/>
          <w:szCs w:val="20"/>
        </w:rPr>
        <w:t xml:space="preserve">: </w:t>
      </w:r>
      <w:r w:rsidR="00AF4D21">
        <w:rPr>
          <w:rFonts w:ascii="Times New Roman" w:eastAsia="Times New Roman" w:hAnsi="Times New Roman" w:cs="Times New Roman"/>
          <w:sz w:val="20"/>
          <w:szCs w:val="20"/>
        </w:rPr>
        <w:t>0.49 ha = 0.0049 km</w:t>
      </w:r>
      <w:r w:rsidR="00AF4D21" w:rsidRPr="0004611D">
        <w:rPr>
          <w:rFonts w:ascii="Times New Roman" w:eastAsia="Times New Roman" w:hAnsi="Times New Roman" w:cs="Times New Roman"/>
          <w:sz w:val="20"/>
          <w:szCs w:val="20"/>
          <w:vertAlign w:val="superscript"/>
        </w:rPr>
        <w:t>2</w:t>
      </w:r>
      <w:r w:rsidR="00AC08BE">
        <w:rPr>
          <w:rFonts w:ascii="Times New Roman" w:eastAsia="Times New Roman" w:hAnsi="Times New Roman" w:cs="Times New Roman"/>
          <w:sz w:val="20"/>
          <w:szCs w:val="20"/>
        </w:rPr>
        <w:t xml:space="preserve"> = </w:t>
      </w:r>
      <w:r w:rsidR="003316DD">
        <w:rPr>
          <w:rFonts w:ascii="Times New Roman" w:eastAsia="Times New Roman" w:hAnsi="Times New Roman" w:cs="Times New Roman"/>
          <w:sz w:val="20"/>
          <w:szCs w:val="20"/>
        </w:rPr>
        <w:t xml:space="preserve">0.008 </w:t>
      </w:r>
      <w:proofErr w:type="spellStart"/>
      <w:r w:rsidR="003316DD">
        <w:rPr>
          <w:rFonts w:ascii="Times New Roman" w:eastAsia="Times New Roman" w:hAnsi="Times New Roman" w:cs="Times New Roman"/>
          <w:sz w:val="20"/>
          <w:szCs w:val="20"/>
        </w:rPr>
        <w:t>hmgc</w:t>
      </w:r>
      <w:proofErr w:type="spellEnd"/>
      <w:r w:rsidR="00AF4D21">
        <w:rPr>
          <w:rFonts w:ascii="Times New Roman" w:eastAsia="Times New Roman" w:hAnsi="Times New Roman" w:cs="Times New Roman"/>
          <w:sz w:val="20"/>
          <w:szCs w:val="20"/>
        </w:rPr>
        <w:t xml:space="preserve">; </w:t>
      </w:r>
      <w:r w:rsidR="0060197A" w:rsidRPr="00B01814">
        <w:rPr>
          <w:rFonts w:ascii="Times New Roman" w:eastAsia="Times New Roman" w:hAnsi="Times New Roman" w:cs="Times New Roman"/>
          <w:i/>
          <w:iCs/>
          <w:sz w:val="20"/>
          <w:szCs w:val="20"/>
        </w:rPr>
        <w:t>L. multiflora</w:t>
      </w:r>
      <w:r w:rsidR="0060197A">
        <w:rPr>
          <w:rFonts w:ascii="Times New Roman" w:eastAsia="Times New Roman" w:hAnsi="Times New Roman" w:cs="Times New Roman"/>
          <w:sz w:val="20"/>
          <w:szCs w:val="20"/>
        </w:rPr>
        <w:t xml:space="preserve">: 1.2 ha </w:t>
      </w:r>
      <w:r w:rsidR="003316DD">
        <w:rPr>
          <w:rFonts w:ascii="Times New Roman" w:eastAsia="Times New Roman" w:hAnsi="Times New Roman" w:cs="Times New Roman"/>
          <w:sz w:val="20"/>
          <w:szCs w:val="20"/>
        </w:rPr>
        <w:t>=</w:t>
      </w:r>
      <w:r w:rsidR="0060197A">
        <w:rPr>
          <w:rFonts w:ascii="Times New Roman" w:eastAsia="Times New Roman" w:hAnsi="Times New Roman" w:cs="Times New Roman"/>
          <w:sz w:val="20"/>
          <w:szCs w:val="20"/>
        </w:rPr>
        <w:t xml:space="preserve"> 0.012</w:t>
      </w:r>
      <w:r w:rsidR="00A370AF" w:rsidRPr="00A370AF">
        <w:rPr>
          <w:rFonts w:ascii="Times New Roman" w:eastAsia="Times New Roman" w:hAnsi="Times New Roman" w:cs="Times New Roman"/>
          <w:sz w:val="20"/>
          <w:szCs w:val="20"/>
        </w:rPr>
        <w:t xml:space="preserve"> </w:t>
      </w:r>
      <w:r w:rsidR="00A370AF">
        <w:rPr>
          <w:rFonts w:ascii="Times New Roman" w:eastAsia="Times New Roman" w:hAnsi="Times New Roman" w:cs="Times New Roman"/>
          <w:sz w:val="20"/>
          <w:szCs w:val="20"/>
        </w:rPr>
        <w:t>km</w:t>
      </w:r>
      <w:r w:rsidR="00A370AF" w:rsidRPr="0004611D">
        <w:rPr>
          <w:rFonts w:ascii="Times New Roman" w:eastAsia="Times New Roman" w:hAnsi="Times New Roman" w:cs="Times New Roman"/>
          <w:sz w:val="20"/>
          <w:szCs w:val="20"/>
          <w:vertAlign w:val="superscript"/>
        </w:rPr>
        <w:t>2</w:t>
      </w:r>
      <w:r w:rsidR="003316DD">
        <w:rPr>
          <w:rFonts w:ascii="Times New Roman" w:eastAsia="Times New Roman" w:hAnsi="Times New Roman" w:cs="Times New Roman"/>
          <w:sz w:val="20"/>
          <w:szCs w:val="20"/>
        </w:rPr>
        <w:t xml:space="preserve"> = </w:t>
      </w:r>
      <w:r w:rsidR="00D61B59">
        <w:rPr>
          <w:rFonts w:ascii="Times New Roman" w:eastAsia="Times New Roman" w:hAnsi="Times New Roman" w:cs="Times New Roman"/>
          <w:sz w:val="20"/>
          <w:szCs w:val="20"/>
        </w:rPr>
        <w:t xml:space="preserve">0.02 </w:t>
      </w:r>
      <w:proofErr w:type="spellStart"/>
      <w:r w:rsidR="00D61B59">
        <w:rPr>
          <w:rFonts w:ascii="Times New Roman" w:eastAsia="Times New Roman" w:hAnsi="Times New Roman" w:cs="Times New Roman"/>
          <w:sz w:val="20"/>
          <w:szCs w:val="20"/>
        </w:rPr>
        <w:t>hmgc</w:t>
      </w:r>
      <w:proofErr w:type="spellEnd"/>
      <w:r w:rsidR="0060197A">
        <w:rPr>
          <w:rFonts w:ascii="Times New Roman" w:eastAsia="Times New Roman" w:hAnsi="Times New Roman" w:cs="Times New Roman"/>
          <w:sz w:val="20"/>
          <w:szCs w:val="20"/>
        </w:rPr>
        <w:t xml:space="preserve">; </w:t>
      </w:r>
      <w:r w:rsidR="00A370AF">
        <w:rPr>
          <w:rFonts w:ascii="Times New Roman" w:eastAsia="Times New Roman" w:hAnsi="Times New Roman" w:cs="Times New Roman"/>
          <w:i/>
          <w:sz w:val="20"/>
          <w:szCs w:val="20"/>
        </w:rPr>
        <w:t xml:space="preserve">R. acetosella </w:t>
      </w:r>
      <w:r w:rsidR="00B01814">
        <w:rPr>
          <w:rFonts w:ascii="Times New Roman" w:eastAsia="Times New Roman" w:hAnsi="Times New Roman" w:cs="Times New Roman"/>
          <w:iCs/>
          <w:sz w:val="20"/>
          <w:szCs w:val="20"/>
        </w:rPr>
        <w:t xml:space="preserve">0.1 ha = 0.001 </w:t>
      </w:r>
      <w:r w:rsidR="00B01814">
        <w:rPr>
          <w:rFonts w:ascii="Times New Roman" w:eastAsia="Times New Roman" w:hAnsi="Times New Roman" w:cs="Times New Roman"/>
          <w:sz w:val="20"/>
          <w:szCs w:val="20"/>
        </w:rPr>
        <w:t>km</w:t>
      </w:r>
      <w:r w:rsidR="00B01814" w:rsidRPr="0004611D">
        <w:rPr>
          <w:rFonts w:ascii="Times New Roman" w:eastAsia="Times New Roman" w:hAnsi="Times New Roman" w:cs="Times New Roman"/>
          <w:sz w:val="20"/>
          <w:szCs w:val="20"/>
          <w:vertAlign w:val="superscript"/>
        </w:rPr>
        <w:t>2</w:t>
      </w:r>
      <w:r w:rsidR="00D61B59">
        <w:rPr>
          <w:rFonts w:ascii="Times New Roman" w:eastAsia="Times New Roman" w:hAnsi="Times New Roman" w:cs="Times New Roman"/>
          <w:sz w:val="20"/>
          <w:szCs w:val="20"/>
        </w:rPr>
        <w:t xml:space="preserve"> = 0.0017 </w:t>
      </w:r>
      <w:proofErr w:type="spellStart"/>
      <w:r w:rsidR="00D61B59">
        <w:rPr>
          <w:rFonts w:ascii="Times New Roman" w:eastAsia="Times New Roman" w:hAnsi="Times New Roman" w:cs="Times New Roman"/>
          <w:sz w:val="20"/>
          <w:szCs w:val="20"/>
        </w:rPr>
        <w:t>hmgc</w:t>
      </w:r>
      <w:proofErr w:type="spellEnd"/>
      <w:r w:rsidR="00FB58F1">
        <w:rPr>
          <w:rFonts w:ascii="Times New Roman" w:eastAsia="Times New Roman" w:hAnsi="Times New Roman" w:cs="Times New Roman"/>
          <w:sz w:val="20"/>
          <w:szCs w:val="20"/>
        </w:rPr>
        <w:t>.</w:t>
      </w:r>
      <w:r w:rsidR="00B01814">
        <w:rPr>
          <w:rFonts w:ascii="Times New Roman" w:eastAsia="Times New Roman" w:hAnsi="Times New Roman" w:cs="Times New Roman"/>
          <w:sz w:val="20"/>
          <w:szCs w:val="20"/>
        </w:rPr>
        <w:t xml:space="preserve"> </w:t>
      </w:r>
    </w:p>
    <w:p w14:paraId="00000231" w14:textId="77777777" w:rsidR="00073819" w:rsidRDefault="0099474B">
      <w:pPr>
        <w:spacing w:line="360" w:lineRule="auto"/>
        <w:jc w:val="center"/>
        <w:rPr>
          <w:b/>
        </w:rPr>
      </w:pPr>
      <w:r>
        <w:rPr>
          <w:b/>
          <w:noProof/>
          <w:lang w:val="en-IN" w:eastAsia="en-IN"/>
        </w:rPr>
        <w:drawing>
          <wp:inline distT="0" distB="0" distL="0" distR="0" wp14:anchorId="1A51E44C" wp14:editId="52B00203">
            <wp:extent cx="3497587" cy="5214897"/>
            <wp:effectExtent l="0" t="0" r="0" b="0"/>
            <wp:docPr id="2035808449" name="image10.jpg" descr="C:\Users\Laura Fernandez\OneDrive - Stellenbosch University\Desktop\Postdoc SANBI\PROJECTS\Leading\2 Indicators\Data on Indicators\Debbie Muir files\Agrostis g - Longridge.jpg"/>
            <wp:cNvGraphicFramePr/>
            <a:graphic xmlns:a="http://schemas.openxmlformats.org/drawingml/2006/main">
              <a:graphicData uri="http://schemas.openxmlformats.org/drawingml/2006/picture">
                <pic:pic xmlns:pic="http://schemas.openxmlformats.org/drawingml/2006/picture">
                  <pic:nvPicPr>
                    <pic:cNvPr id="0" name="image10.jpg" descr="C:\Users\Laura Fernandez\OneDrive - Stellenbosch University\Desktop\Postdoc SANBI\PROJECTS\Leading\2 Indicators\Data on Indicators\Debbie Muir files\Agrostis g - Longridge.jpg"/>
                    <pic:cNvPicPr preferRelativeResize="0"/>
                  </pic:nvPicPr>
                  <pic:blipFill>
                    <a:blip r:embed="rId15"/>
                    <a:srcRect/>
                    <a:stretch>
                      <a:fillRect/>
                    </a:stretch>
                  </pic:blipFill>
                  <pic:spPr>
                    <a:xfrm>
                      <a:off x="0" y="0"/>
                      <a:ext cx="3497587" cy="5214897"/>
                    </a:xfrm>
                    <a:prstGeom prst="rect">
                      <a:avLst/>
                    </a:prstGeom>
                    <a:ln/>
                  </pic:spPr>
                </pic:pic>
              </a:graphicData>
            </a:graphic>
          </wp:inline>
        </w:drawing>
      </w:r>
    </w:p>
    <w:p w14:paraId="00000232" w14:textId="77777777" w:rsidR="00073819" w:rsidRDefault="0099474B">
      <w:pPr>
        <w:spacing w:before="120" w:after="240"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Fig. S3 </w:t>
      </w:r>
      <w:r>
        <w:rPr>
          <w:rFonts w:ascii="Times New Roman" w:eastAsia="Times New Roman" w:hAnsi="Times New Roman" w:cs="Times New Roman"/>
          <w:sz w:val="20"/>
          <w:szCs w:val="20"/>
        </w:rPr>
        <w:t>Polygon showing the</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 xml:space="preserve">extent of </w:t>
      </w:r>
      <w:r>
        <w:rPr>
          <w:rFonts w:ascii="Times New Roman" w:eastAsia="Times New Roman" w:hAnsi="Times New Roman" w:cs="Times New Roman"/>
          <w:i/>
          <w:sz w:val="20"/>
          <w:szCs w:val="20"/>
        </w:rPr>
        <w:t>Agrostis gigantea</w:t>
      </w:r>
      <w:r>
        <w:rPr>
          <w:rFonts w:ascii="Times New Roman" w:eastAsia="Times New Roman" w:hAnsi="Times New Roman" w:cs="Times New Roman"/>
          <w:sz w:val="20"/>
          <w:szCs w:val="20"/>
        </w:rPr>
        <w:t xml:space="preserve"> (black bent grass) in 2022 at Longridge site (0.15 ha). Map credit: Charles Hope (Department of Forestry, Fisheries and the Environment)</w:t>
      </w:r>
    </w:p>
    <w:p w14:paraId="00000233" w14:textId="77777777" w:rsidR="00073819" w:rsidRDefault="0099474B">
      <w:r>
        <w:br w:type="page"/>
      </w:r>
    </w:p>
    <w:p w14:paraId="00000234" w14:textId="77777777" w:rsidR="00073819" w:rsidRDefault="0099474B">
      <w:pPr>
        <w:spacing w:line="360" w:lineRule="auto"/>
        <w:jc w:val="center"/>
        <w:rPr>
          <w:b/>
        </w:rPr>
      </w:pPr>
      <w:r>
        <w:rPr>
          <w:b/>
          <w:noProof/>
          <w:lang w:val="en-IN" w:eastAsia="en-IN"/>
        </w:rPr>
        <w:lastRenderedPageBreak/>
        <w:drawing>
          <wp:inline distT="0" distB="0" distL="0" distR="0" wp14:anchorId="454A1517" wp14:editId="4617F1B1">
            <wp:extent cx="4577024" cy="2603818"/>
            <wp:effectExtent l="0" t="0" r="0" b="0"/>
            <wp:docPr id="2035808451" name="image9.jpg" descr="C:\Users\Laura Fernandez\OneDrive - Stellenbosch University\Desktop\Postdoc SANBI\PROJECTS\Leading\2 Indicators\Data on Indicators\Debbie Muir files\Agrostis g - Old Base.jpg"/>
            <wp:cNvGraphicFramePr/>
            <a:graphic xmlns:a="http://schemas.openxmlformats.org/drawingml/2006/main">
              <a:graphicData uri="http://schemas.openxmlformats.org/drawingml/2006/picture">
                <pic:pic xmlns:pic="http://schemas.openxmlformats.org/drawingml/2006/picture">
                  <pic:nvPicPr>
                    <pic:cNvPr id="0" name="image9.jpg" descr="C:\Users\Laura Fernandez\OneDrive - Stellenbosch University\Desktop\Postdoc SANBI\PROJECTS\Leading\2 Indicators\Data on Indicators\Debbie Muir files\Agrostis g - Old Base.jpg"/>
                    <pic:cNvPicPr preferRelativeResize="0"/>
                  </pic:nvPicPr>
                  <pic:blipFill>
                    <a:blip r:embed="rId16"/>
                    <a:srcRect/>
                    <a:stretch>
                      <a:fillRect/>
                    </a:stretch>
                  </pic:blipFill>
                  <pic:spPr>
                    <a:xfrm>
                      <a:off x="0" y="0"/>
                      <a:ext cx="4577024" cy="2603818"/>
                    </a:xfrm>
                    <a:prstGeom prst="rect">
                      <a:avLst/>
                    </a:prstGeom>
                    <a:ln/>
                  </pic:spPr>
                </pic:pic>
              </a:graphicData>
            </a:graphic>
          </wp:inline>
        </w:drawing>
      </w:r>
    </w:p>
    <w:p w14:paraId="00000235" w14:textId="77777777" w:rsidR="00073819" w:rsidRDefault="0099474B">
      <w:pPr>
        <w:spacing w:before="120" w:after="24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 S4 </w:t>
      </w:r>
      <w:r>
        <w:rPr>
          <w:rFonts w:ascii="Times New Roman" w:eastAsia="Times New Roman" w:hAnsi="Times New Roman" w:cs="Times New Roman"/>
          <w:sz w:val="20"/>
          <w:szCs w:val="20"/>
        </w:rPr>
        <w:t>Polygon showing the</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 xml:space="preserve">extent of </w:t>
      </w:r>
      <w:r>
        <w:rPr>
          <w:rFonts w:ascii="Times New Roman" w:eastAsia="Times New Roman" w:hAnsi="Times New Roman" w:cs="Times New Roman"/>
          <w:i/>
          <w:sz w:val="20"/>
          <w:szCs w:val="20"/>
        </w:rPr>
        <w:t>Agrostis gigantea</w:t>
      </w:r>
      <w:r>
        <w:rPr>
          <w:rFonts w:ascii="Times New Roman" w:eastAsia="Times New Roman" w:hAnsi="Times New Roman" w:cs="Times New Roman"/>
          <w:sz w:val="20"/>
          <w:szCs w:val="20"/>
        </w:rPr>
        <w:t xml:space="preserve"> (black bent grass) in 2022 at the Old Base (1 ha). Map credit: Charles Hope (Department of Forestry, Fisheries and the Environment)</w:t>
      </w:r>
    </w:p>
    <w:p w14:paraId="00000236" w14:textId="77777777" w:rsidR="00073819" w:rsidRDefault="0099474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noProof/>
          <w:sz w:val="20"/>
          <w:szCs w:val="20"/>
          <w:lang w:val="en-IN" w:eastAsia="en-IN"/>
        </w:rPr>
        <w:drawing>
          <wp:inline distT="0" distB="0" distL="0" distR="0" wp14:anchorId="1F9FE114" wp14:editId="538A8492">
            <wp:extent cx="3545205" cy="4114800"/>
            <wp:effectExtent l="0" t="0" r="0" b="0"/>
            <wp:docPr id="203580845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3545205" cy="4114800"/>
                    </a:xfrm>
                    <a:prstGeom prst="rect">
                      <a:avLst/>
                    </a:prstGeom>
                    <a:ln/>
                  </pic:spPr>
                </pic:pic>
              </a:graphicData>
            </a:graphic>
          </wp:inline>
        </w:drawing>
      </w:r>
    </w:p>
    <w:p w14:paraId="00000237" w14:textId="77777777" w:rsidR="00073819" w:rsidRDefault="0099474B">
      <w:pPr>
        <w:spacing w:before="120" w:after="240" w:line="240" w:lineRule="auto"/>
        <w:rPr>
          <w:b/>
        </w:rPr>
      </w:pPr>
      <w:r>
        <w:rPr>
          <w:rFonts w:ascii="Times New Roman" w:eastAsia="Times New Roman" w:hAnsi="Times New Roman" w:cs="Times New Roman"/>
          <w:b/>
          <w:sz w:val="20"/>
          <w:szCs w:val="20"/>
        </w:rPr>
        <w:t xml:space="preserve">Fig. S5 </w:t>
      </w:r>
      <w:r>
        <w:rPr>
          <w:rFonts w:ascii="Times New Roman" w:eastAsia="Times New Roman" w:hAnsi="Times New Roman" w:cs="Times New Roman"/>
          <w:sz w:val="20"/>
          <w:szCs w:val="20"/>
        </w:rPr>
        <w:t>Three polygons</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highlight the</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 xml:space="preserve">extent of </w:t>
      </w:r>
      <w:r>
        <w:rPr>
          <w:rFonts w:ascii="Times New Roman" w:eastAsia="Times New Roman" w:hAnsi="Times New Roman" w:cs="Times New Roman"/>
          <w:i/>
          <w:sz w:val="20"/>
          <w:szCs w:val="20"/>
        </w:rPr>
        <w:t>Agrostis gigantea</w:t>
      </w:r>
      <w:r>
        <w:rPr>
          <w:rFonts w:ascii="Times New Roman" w:eastAsia="Times New Roman" w:hAnsi="Times New Roman" w:cs="Times New Roman"/>
          <w:sz w:val="20"/>
          <w:szCs w:val="20"/>
        </w:rPr>
        <w:t xml:space="preserve"> (black bent grass) in 2022 at the new research base. Map credit: Charles Hope (Department of Forestry, Fisheries and the Environment)</w:t>
      </w:r>
      <w:r>
        <w:br w:type="page"/>
      </w:r>
    </w:p>
    <w:p w14:paraId="00000238" w14:textId="77777777" w:rsidR="00073819" w:rsidRDefault="0099474B">
      <w:pPr>
        <w:spacing w:line="360" w:lineRule="auto"/>
        <w:jc w:val="center"/>
        <w:rPr>
          <w:b/>
        </w:rPr>
      </w:pPr>
      <w:r>
        <w:rPr>
          <w:b/>
          <w:noProof/>
          <w:lang w:val="en-IN" w:eastAsia="en-IN"/>
        </w:rPr>
        <w:lastRenderedPageBreak/>
        <w:drawing>
          <wp:inline distT="0" distB="0" distL="0" distR="0" wp14:anchorId="040CB9BF" wp14:editId="773E8CA8">
            <wp:extent cx="5733415" cy="3677350"/>
            <wp:effectExtent l="0" t="0" r="0" b="0"/>
            <wp:docPr id="2035808453" name="image2.jpg" descr="C:\Users\Laura Fernandez\OneDrive - Stellenbosch University\Desktop\Postdoc SANBI\PROJECTS\Leading\2 Indicators\Data on Indicators\Debbie Muir files\Luzula multiflora.jpg"/>
            <wp:cNvGraphicFramePr/>
            <a:graphic xmlns:a="http://schemas.openxmlformats.org/drawingml/2006/main">
              <a:graphicData uri="http://schemas.openxmlformats.org/drawingml/2006/picture">
                <pic:pic xmlns:pic="http://schemas.openxmlformats.org/drawingml/2006/picture">
                  <pic:nvPicPr>
                    <pic:cNvPr id="0" name="image2.jpg" descr="C:\Users\Laura Fernandez\OneDrive - Stellenbosch University\Desktop\Postdoc SANBI\PROJECTS\Leading\2 Indicators\Data on Indicators\Debbie Muir files\Luzula multiflora.jpg"/>
                    <pic:cNvPicPr preferRelativeResize="0"/>
                  </pic:nvPicPr>
                  <pic:blipFill>
                    <a:blip r:embed="rId18"/>
                    <a:srcRect/>
                    <a:stretch>
                      <a:fillRect/>
                    </a:stretch>
                  </pic:blipFill>
                  <pic:spPr>
                    <a:xfrm>
                      <a:off x="0" y="0"/>
                      <a:ext cx="5733415" cy="3677350"/>
                    </a:xfrm>
                    <a:prstGeom prst="rect">
                      <a:avLst/>
                    </a:prstGeom>
                    <a:ln/>
                  </pic:spPr>
                </pic:pic>
              </a:graphicData>
            </a:graphic>
          </wp:inline>
        </w:drawing>
      </w:r>
    </w:p>
    <w:p w14:paraId="00000239" w14:textId="77777777" w:rsidR="00073819" w:rsidRDefault="0099474B">
      <w:pPr>
        <w:spacing w:before="120" w:after="240"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Fig. S6 </w:t>
      </w:r>
      <w:r>
        <w:rPr>
          <w:rFonts w:ascii="Times New Roman" w:eastAsia="Times New Roman" w:hAnsi="Times New Roman" w:cs="Times New Roman"/>
          <w:sz w:val="20"/>
          <w:szCs w:val="20"/>
        </w:rPr>
        <w:t xml:space="preserve">A polygon showing the extent of the plant species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i/>
          <w:sz w:val="20"/>
          <w:szCs w:val="20"/>
        </w:rPr>
        <w:t xml:space="preserve"> multiflora</w:t>
      </w:r>
      <w:r>
        <w:rPr>
          <w:rFonts w:ascii="Times New Roman" w:eastAsia="Times New Roman" w:hAnsi="Times New Roman" w:cs="Times New Roman"/>
          <w:sz w:val="20"/>
          <w:szCs w:val="20"/>
        </w:rPr>
        <w:t xml:space="preserve"> (woodrush) at Sealers Cove site (1.2 ha), in Marion Island. Map credit: Charles Hope (Department of Forestry, Fisheries and the Environment)</w:t>
      </w:r>
    </w:p>
    <w:p w14:paraId="0000023B" w14:textId="77777777" w:rsidR="00073819" w:rsidRDefault="0099474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lang w:val="en-IN" w:eastAsia="en-IN"/>
        </w:rPr>
        <w:drawing>
          <wp:inline distT="0" distB="0" distL="0" distR="0" wp14:anchorId="35A6F2AE" wp14:editId="60B8DB8B">
            <wp:extent cx="5158330" cy="3718164"/>
            <wp:effectExtent l="0" t="0" r="0" b="0"/>
            <wp:docPr id="2035808452" name="image5.jpg" descr="C:\Users\Laura Fernandez\OneDrive - Stellenbosch University\Desktop\Postdoc SANBI\PROJECTS\Leading\2 Indicators\Data on Indicators\Debbie Muir files\Rumex acetocella.jpg"/>
            <wp:cNvGraphicFramePr/>
            <a:graphic xmlns:a="http://schemas.openxmlformats.org/drawingml/2006/main">
              <a:graphicData uri="http://schemas.openxmlformats.org/drawingml/2006/picture">
                <pic:pic xmlns:pic="http://schemas.openxmlformats.org/drawingml/2006/picture">
                  <pic:nvPicPr>
                    <pic:cNvPr id="0" name="image5.jpg" descr="C:\Users\Laura Fernandez\OneDrive - Stellenbosch University\Desktop\Postdoc SANBI\PROJECTS\Leading\2 Indicators\Data on Indicators\Debbie Muir files\Rumex acetocella.jpg"/>
                    <pic:cNvPicPr preferRelativeResize="0"/>
                  </pic:nvPicPr>
                  <pic:blipFill>
                    <a:blip r:embed="rId19"/>
                    <a:srcRect/>
                    <a:stretch>
                      <a:fillRect/>
                    </a:stretch>
                  </pic:blipFill>
                  <pic:spPr>
                    <a:xfrm>
                      <a:off x="0" y="0"/>
                      <a:ext cx="5158330" cy="3718164"/>
                    </a:xfrm>
                    <a:prstGeom prst="rect">
                      <a:avLst/>
                    </a:prstGeom>
                    <a:ln/>
                  </pic:spPr>
                </pic:pic>
              </a:graphicData>
            </a:graphic>
          </wp:inline>
        </w:drawing>
      </w:r>
    </w:p>
    <w:p w14:paraId="0000023C" w14:textId="77777777" w:rsidR="00073819" w:rsidRDefault="0099474B">
      <w:pPr>
        <w:spacing w:before="120" w:after="24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 S7 </w:t>
      </w:r>
      <w:r>
        <w:rPr>
          <w:rFonts w:ascii="Times New Roman" w:eastAsia="Times New Roman" w:hAnsi="Times New Roman" w:cs="Times New Roman"/>
          <w:sz w:val="20"/>
          <w:szCs w:val="20"/>
        </w:rPr>
        <w:t xml:space="preserve">Polygon shows the extent of invasion of the plant species </w:t>
      </w:r>
      <w:r>
        <w:rPr>
          <w:rFonts w:ascii="Times New Roman" w:eastAsia="Times New Roman" w:hAnsi="Times New Roman" w:cs="Times New Roman"/>
          <w:i/>
          <w:sz w:val="20"/>
          <w:szCs w:val="20"/>
        </w:rPr>
        <w:t>Rumex acetosella</w:t>
      </w:r>
      <w:r>
        <w:rPr>
          <w:rFonts w:ascii="Times New Roman" w:eastAsia="Times New Roman" w:hAnsi="Times New Roman" w:cs="Times New Roman"/>
          <w:sz w:val="20"/>
          <w:szCs w:val="20"/>
        </w:rPr>
        <w:t xml:space="preserve"> (sheep sorrel) at Gentoo Lake site (0.1 ha). Map credit: Charles Hope (Department of Forestry, Fisheries and the Environment)</w:t>
      </w:r>
    </w:p>
    <w:p w14:paraId="0000023D" w14:textId="1E5BACB8" w:rsidR="00073819" w:rsidRDefault="0099474B">
      <w:pPr>
        <w:pStyle w:val="Heading2"/>
        <w:rPr>
          <w:rFonts w:ascii="Times New Roman" w:eastAsia="Times New Roman" w:hAnsi="Times New Roman" w:cs="Times New Roman"/>
          <w:sz w:val="20"/>
          <w:szCs w:val="20"/>
        </w:rPr>
      </w:pPr>
      <w:bookmarkStart w:id="7" w:name="_heading=h.2et92p0" w:colFirst="0" w:colLast="0"/>
      <w:bookmarkEnd w:id="7"/>
      <w:r>
        <w:rPr>
          <w:rFonts w:ascii="Times New Roman" w:eastAsia="Times New Roman" w:hAnsi="Times New Roman" w:cs="Times New Roman"/>
          <w:sz w:val="20"/>
          <w:szCs w:val="20"/>
        </w:rPr>
        <w:lastRenderedPageBreak/>
        <w:t>Abundance of alien species</w:t>
      </w:r>
      <w:r w:rsidR="00CA731D">
        <w:rPr>
          <w:rFonts w:ascii="Times New Roman" w:eastAsia="Times New Roman" w:hAnsi="Times New Roman" w:cs="Times New Roman"/>
          <w:sz w:val="20"/>
          <w:szCs w:val="20"/>
        </w:rPr>
        <w:t xml:space="preserve"> (indicator </w:t>
      </w:r>
      <w:r w:rsidR="00354635">
        <w:rPr>
          <w:rFonts w:ascii="Times New Roman" w:eastAsia="Times New Roman" w:hAnsi="Times New Roman" w:cs="Times New Roman"/>
          <w:sz w:val="20"/>
          <w:szCs w:val="20"/>
        </w:rPr>
        <w:t>2.3)</w:t>
      </w:r>
    </w:p>
    <w:p w14:paraId="0000023F" w14:textId="1179FA7E" w:rsidR="00073819" w:rsidRDefault="0099474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Abundance of invertebrates on the Prince Edward Islands varies with vegetation type (Gabriel et al. 2001; Hugo et al. 2006; Fig. S8), habitat (Barendse et al. 2002), altitude (</w:t>
      </w:r>
      <w:proofErr w:type="spellStart"/>
      <w:r>
        <w:rPr>
          <w:rFonts w:ascii="Times New Roman" w:eastAsia="Times New Roman" w:hAnsi="Times New Roman" w:cs="Times New Roman"/>
          <w:sz w:val="20"/>
          <w:szCs w:val="20"/>
        </w:rPr>
        <w:t>Kgopong</w:t>
      </w:r>
      <w:proofErr w:type="spellEnd"/>
      <w:r>
        <w:rPr>
          <w:rFonts w:ascii="Times New Roman" w:eastAsia="Times New Roman" w:hAnsi="Times New Roman" w:cs="Times New Roman"/>
          <w:sz w:val="20"/>
          <w:szCs w:val="20"/>
        </w:rPr>
        <w:t xml:space="preserve"> 2019) and collection method (e.g., active search, pitfall trap, Khoza et al. 2005).</w:t>
      </w:r>
    </w:p>
    <w:p w14:paraId="28824A3C" w14:textId="36A2CE0D" w:rsidR="001049DD" w:rsidRPr="001049DD" w:rsidRDefault="001049DD" w:rsidP="001049DD">
      <w:pPr>
        <w:spacing w:line="360" w:lineRule="auto"/>
        <w:jc w:val="both"/>
      </w:pPr>
      <w:r w:rsidRPr="001049DD">
        <w:rPr>
          <w:noProof/>
          <w:lang w:val="en-IN" w:eastAsia="en-IN"/>
        </w:rPr>
        <w:drawing>
          <wp:inline distT="0" distB="0" distL="0" distR="0" wp14:anchorId="5128E266" wp14:editId="7223CC4A">
            <wp:extent cx="5731510" cy="4059555"/>
            <wp:effectExtent l="0" t="0" r="2540" b="0"/>
            <wp:docPr id="463495935" name="Picture 2" descr="A graph of different types of l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495935" name="Picture 2" descr="A graph of different types of land&#10;&#10;Description automatically generated with medium confidenc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4059555"/>
                    </a:xfrm>
                    <a:prstGeom prst="rect">
                      <a:avLst/>
                    </a:prstGeom>
                    <a:noFill/>
                    <a:ln>
                      <a:noFill/>
                    </a:ln>
                  </pic:spPr>
                </pic:pic>
              </a:graphicData>
            </a:graphic>
          </wp:inline>
        </w:drawing>
      </w:r>
    </w:p>
    <w:p w14:paraId="00000241" w14:textId="279CDE35" w:rsidR="00073819" w:rsidRDefault="0099474B">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Fig. S8</w:t>
      </w:r>
      <w:r>
        <w:rPr>
          <w:rFonts w:ascii="Times New Roman" w:eastAsia="Times New Roman" w:hAnsi="Times New Roman" w:cs="Times New Roman"/>
          <w:sz w:val="20"/>
          <w:szCs w:val="20"/>
        </w:rPr>
        <w:t xml:space="preserve"> Abundance of a) </w:t>
      </w:r>
      <w:r w:rsidR="0001246E">
        <w:rPr>
          <w:rFonts w:ascii="Times New Roman" w:eastAsia="Times New Roman" w:hAnsi="Times New Roman" w:cs="Times New Roman"/>
          <w:sz w:val="20"/>
          <w:szCs w:val="20"/>
        </w:rPr>
        <w:t>invasive</w:t>
      </w:r>
      <w:r>
        <w:rPr>
          <w:rFonts w:ascii="Times New Roman" w:eastAsia="Times New Roman" w:hAnsi="Times New Roman" w:cs="Times New Roman"/>
          <w:sz w:val="20"/>
          <w:szCs w:val="20"/>
        </w:rPr>
        <w:t xml:space="preserve"> springtails on Prince Edward Island, b) </w:t>
      </w:r>
      <w:r w:rsidR="0001246E">
        <w:rPr>
          <w:rFonts w:ascii="Times New Roman" w:eastAsia="Times New Roman" w:hAnsi="Times New Roman" w:cs="Times New Roman"/>
          <w:sz w:val="20"/>
          <w:szCs w:val="20"/>
        </w:rPr>
        <w:t>invasive</w:t>
      </w:r>
      <w:r>
        <w:rPr>
          <w:rFonts w:ascii="Times New Roman" w:eastAsia="Times New Roman" w:hAnsi="Times New Roman" w:cs="Times New Roman"/>
          <w:sz w:val="20"/>
          <w:szCs w:val="20"/>
        </w:rPr>
        <w:t xml:space="preserve"> springtails on Marion Island, c) </w:t>
      </w:r>
      <w:r w:rsidR="0001246E">
        <w:rPr>
          <w:rFonts w:ascii="Times New Roman" w:eastAsia="Times New Roman" w:hAnsi="Times New Roman" w:cs="Times New Roman"/>
          <w:sz w:val="20"/>
          <w:szCs w:val="20"/>
        </w:rPr>
        <w:t xml:space="preserve">alien and </w:t>
      </w:r>
      <w:r>
        <w:rPr>
          <w:rFonts w:ascii="Times New Roman" w:eastAsia="Times New Roman" w:hAnsi="Times New Roman" w:cs="Times New Roman"/>
          <w:sz w:val="20"/>
          <w:szCs w:val="20"/>
        </w:rPr>
        <w:t xml:space="preserve">cryptogenic mites on Prince Edward Island, and d) </w:t>
      </w:r>
      <w:r w:rsidR="0001246E">
        <w:rPr>
          <w:rFonts w:ascii="Times New Roman" w:eastAsia="Times New Roman" w:hAnsi="Times New Roman" w:cs="Times New Roman"/>
          <w:sz w:val="20"/>
          <w:szCs w:val="20"/>
        </w:rPr>
        <w:t xml:space="preserve">alien and </w:t>
      </w:r>
      <w:r>
        <w:rPr>
          <w:rFonts w:ascii="Times New Roman" w:eastAsia="Times New Roman" w:hAnsi="Times New Roman" w:cs="Times New Roman"/>
          <w:sz w:val="20"/>
          <w:szCs w:val="20"/>
        </w:rPr>
        <w:t xml:space="preserve">cryptogenic mites on Marion Island, in terms of individuals per square metre. Labels on the x-axis indicate vegetation type and, where appropriate, the plant species or the altitude sampled within the vegetation type. Note that the y-axis limits differ between panels. Biotic: Poa = Biotic grassland and </w:t>
      </w:r>
      <w:proofErr w:type="spellStart"/>
      <w:r>
        <w:rPr>
          <w:rFonts w:ascii="Times New Roman" w:eastAsia="Times New Roman" w:hAnsi="Times New Roman" w:cs="Times New Roman"/>
          <w:sz w:val="20"/>
          <w:szCs w:val="20"/>
        </w:rPr>
        <w:t>herbfield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i/>
          <w:sz w:val="20"/>
          <w:szCs w:val="20"/>
        </w:rPr>
        <w:t>Poa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cookii</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Azorella</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Azorella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selago</w:t>
      </w:r>
      <w:proofErr w:type="spellEnd"/>
      <w:r>
        <w:rPr>
          <w:rFonts w:ascii="Times New Roman" w:eastAsia="Times New Roman" w:hAnsi="Times New Roman" w:cs="Times New Roman"/>
          <w:sz w:val="20"/>
          <w:szCs w:val="20"/>
        </w:rPr>
        <w:t xml:space="preserve">; Salt-spray = Coastal salt-spray; </w:t>
      </w:r>
      <w:proofErr w:type="spellStart"/>
      <w:r>
        <w:rPr>
          <w:rFonts w:ascii="Times New Roman" w:eastAsia="Times New Roman" w:hAnsi="Times New Roman" w:cs="Times New Roman"/>
          <w:sz w:val="20"/>
          <w:szCs w:val="20"/>
        </w:rPr>
        <w:t>Cotula</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Cotula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i/>
          <w:sz w:val="20"/>
          <w:szCs w:val="20"/>
        </w:rPr>
        <w:t>plumosa</w:t>
      </w:r>
      <w:proofErr w:type="spellEnd"/>
      <w:r>
        <w:rPr>
          <w:rFonts w:ascii="Times New Roman" w:eastAsia="Times New Roman" w:hAnsi="Times New Roman" w:cs="Times New Roman"/>
          <w:sz w:val="20"/>
          <w:szCs w:val="20"/>
        </w:rPr>
        <w:t xml:space="preserve">; Crassula = </w:t>
      </w:r>
      <w:r>
        <w:rPr>
          <w:rFonts w:ascii="Times New Roman" w:eastAsia="Times New Roman" w:hAnsi="Times New Roman" w:cs="Times New Roman"/>
          <w:i/>
          <w:sz w:val="20"/>
          <w:szCs w:val="20"/>
        </w:rPr>
        <w:t>Crassula moschata</w:t>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Acaena</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Acaena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magellanica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Blechnum</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Blechnum</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penna</w:t>
      </w:r>
      <w:proofErr w:type="spellEnd"/>
      <w:r>
        <w:rPr>
          <w:rFonts w:ascii="Times New Roman" w:eastAsia="Times New Roman" w:hAnsi="Times New Roman" w:cs="Times New Roman"/>
          <w:i/>
          <w:sz w:val="20"/>
          <w:szCs w:val="20"/>
        </w:rPr>
        <w:t>-marina</w:t>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Blephar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Blepharidophyllum</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densifolium</w:t>
      </w:r>
      <w:proofErr w:type="spellEnd"/>
      <w:r>
        <w:rPr>
          <w:rFonts w:ascii="Times New Roman" w:eastAsia="Times New Roman" w:hAnsi="Times New Roman" w:cs="Times New Roman"/>
          <w:sz w:val="20"/>
          <w:szCs w:val="20"/>
        </w:rPr>
        <w:t xml:space="preserve">; high-alt = high-altitude; James = </w:t>
      </w:r>
      <w:proofErr w:type="spellStart"/>
      <w:r>
        <w:rPr>
          <w:rFonts w:ascii="Times New Roman" w:eastAsia="Times New Roman" w:hAnsi="Times New Roman" w:cs="Times New Roman"/>
          <w:i/>
          <w:sz w:val="20"/>
          <w:szCs w:val="20"/>
        </w:rPr>
        <w:t>Jamesoniella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colorata</w:t>
      </w:r>
      <w:proofErr w:type="spellEnd"/>
      <w:r>
        <w:rPr>
          <w:rFonts w:ascii="Times New Roman" w:eastAsia="Times New Roman" w:hAnsi="Times New Roman" w:cs="Times New Roman"/>
          <w:sz w:val="20"/>
          <w:szCs w:val="20"/>
        </w:rPr>
        <w:t xml:space="preserve">; mid-alt = mid-altitude; </w:t>
      </w:r>
      <w:proofErr w:type="spellStart"/>
      <w:r>
        <w:rPr>
          <w:rFonts w:ascii="Times New Roman" w:eastAsia="Times New Roman" w:hAnsi="Times New Roman" w:cs="Times New Roman"/>
          <w:sz w:val="20"/>
          <w:szCs w:val="20"/>
        </w:rPr>
        <w:t>Sanionia</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i/>
          <w:sz w:val="20"/>
          <w:szCs w:val="20"/>
        </w:rPr>
        <w:t>Sanionia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uncinata</w:t>
      </w:r>
      <w:proofErr w:type="spellEnd"/>
    </w:p>
    <w:p w14:paraId="00000242" w14:textId="77777777" w:rsidR="00073819" w:rsidRDefault="00073819">
      <w:pPr>
        <w:spacing w:line="360" w:lineRule="auto"/>
        <w:jc w:val="both"/>
        <w:rPr>
          <w:rFonts w:ascii="Times New Roman" w:eastAsia="Times New Roman" w:hAnsi="Times New Roman" w:cs="Times New Roman"/>
          <w:sz w:val="20"/>
          <w:szCs w:val="20"/>
        </w:rPr>
      </w:pPr>
    </w:p>
    <w:p w14:paraId="095696F8" w14:textId="77777777" w:rsidR="00E85387" w:rsidRPr="00DE3073" w:rsidRDefault="00E85387" w:rsidP="00E85387">
      <w:pPr>
        <w:rPr>
          <w:b/>
          <w:bCs/>
        </w:rPr>
      </w:pPr>
      <w:r>
        <w:rPr>
          <w:rFonts w:ascii="Times New Roman" w:eastAsia="Times New Roman" w:hAnsi="Times New Roman" w:cs="Times New Roman"/>
          <w:b/>
          <w:bCs/>
          <w:sz w:val="20"/>
          <w:szCs w:val="20"/>
        </w:rPr>
        <w:t>I</w:t>
      </w:r>
      <w:r w:rsidRPr="00DE3073">
        <w:rPr>
          <w:rFonts w:ascii="Times New Roman" w:eastAsia="Times New Roman" w:hAnsi="Times New Roman" w:cs="Times New Roman"/>
          <w:b/>
          <w:bCs/>
          <w:sz w:val="20"/>
          <w:szCs w:val="20"/>
        </w:rPr>
        <w:t>mpact of alien species</w:t>
      </w:r>
      <w:r>
        <w:rPr>
          <w:rFonts w:ascii="Times New Roman" w:eastAsia="Times New Roman" w:hAnsi="Times New Roman" w:cs="Times New Roman"/>
          <w:b/>
          <w:bCs/>
          <w:sz w:val="20"/>
          <w:szCs w:val="20"/>
        </w:rPr>
        <w:t xml:space="preserve"> (2.4) </w:t>
      </w:r>
      <w:r w:rsidRPr="00DE3073">
        <w:rPr>
          <w:rFonts w:ascii="Times New Roman" w:eastAsia="Times New Roman" w:hAnsi="Times New Roman" w:cs="Times New Roman"/>
          <w:b/>
          <w:bCs/>
          <w:sz w:val="20"/>
          <w:szCs w:val="20"/>
        </w:rPr>
        <w:tab/>
      </w:r>
    </w:p>
    <w:p w14:paraId="59EA4D8F" w14:textId="0291F81B" w:rsidR="00E85387" w:rsidRDefault="00E85387" w:rsidP="00E85387">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information on the impacts of </w:t>
      </w:r>
      <w:r w:rsidRPr="00865337">
        <w:rPr>
          <w:rFonts w:ascii="Times New Roman" w:eastAsia="Times New Roman" w:hAnsi="Times New Roman" w:cs="Times New Roman"/>
          <w:sz w:val="20"/>
          <w:szCs w:val="20"/>
        </w:rPr>
        <w:t xml:space="preserve">alien terrestrial invertebrates </w:t>
      </w:r>
      <w:r>
        <w:rPr>
          <w:rFonts w:ascii="Times New Roman" w:eastAsia="Times New Roman" w:hAnsi="Times New Roman" w:cs="Times New Roman"/>
          <w:sz w:val="20"/>
          <w:szCs w:val="20"/>
        </w:rPr>
        <w:t xml:space="preserve">on the PEIs </w:t>
      </w:r>
      <w:r w:rsidRPr="00865337">
        <w:rPr>
          <w:rFonts w:ascii="Times New Roman" w:eastAsia="Times New Roman" w:hAnsi="Times New Roman" w:cs="Times New Roman"/>
          <w:sz w:val="20"/>
          <w:szCs w:val="20"/>
        </w:rPr>
        <w:t>remains minimal</w:t>
      </w:r>
      <w:r>
        <w:rPr>
          <w:rFonts w:ascii="Times New Roman" w:eastAsia="Times New Roman" w:hAnsi="Times New Roman" w:cs="Times New Roman"/>
          <w:sz w:val="20"/>
          <w:szCs w:val="20"/>
        </w:rPr>
        <w:t xml:space="preserve">, considering the amount of alien and invasive invertebrates on the islands (28), and the scarce amount of species that have data on their impacts (six, see Table 3). </w:t>
      </w:r>
      <w:r w:rsidRPr="00B54AF9">
        <w:rPr>
          <w:rFonts w:ascii="Times New Roman" w:eastAsia="Times New Roman" w:hAnsi="Times New Roman" w:cs="Times New Roman"/>
          <w:sz w:val="20"/>
          <w:szCs w:val="20"/>
        </w:rPr>
        <w:t xml:space="preserve">According to Greve et al. (2017), the </w:t>
      </w:r>
      <w:r>
        <w:rPr>
          <w:rFonts w:ascii="Times New Roman" w:eastAsia="Times New Roman" w:hAnsi="Times New Roman" w:cs="Times New Roman"/>
          <w:sz w:val="20"/>
          <w:szCs w:val="20"/>
        </w:rPr>
        <w:t xml:space="preserve">European slug </w:t>
      </w:r>
      <w:proofErr w:type="spellStart"/>
      <w:r w:rsidRPr="0037189B">
        <w:rPr>
          <w:rFonts w:ascii="Times New Roman" w:eastAsia="Times New Roman" w:hAnsi="Times New Roman" w:cs="Times New Roman"/>
          <w:i/>
          <w:iCs/>
          <w:sz w:val="20"/>
          <w:szCs w:val="20"/>
        </w:rPr>
        <w:t>Deroceras</w:t>
      </w:r>
      <w:proofErr w:type="spellEnd"/>
      <w:r w:rsidRPr="0037189B">
        <w:rPr>
          <w:rFonts w:ascii="Times New Roman" w:eastAsia="Times New Roman" w:hAnsi="Times New Roman" w:cs="Times New Roman"/>
          <w:i/>
          <w:iCs/>
          <w:sz w:val="20"/>
          <w:szCs w:val="20"/>
        </w:rPr>
        <w:t xml:space="preserve"> </w:t>
      </w:r>
      <w:proofErr w:type="spellStart"/>
      <w:r w:rsidRPr="0037189B">
        <w:rPr>
          <w:rFonts w:ascii="Times New Roman" w:eastAsia="Times New Roman" w:hAnsi="Times New Roman" w:cs="Times New Roman"/>
          <w:i/>
          <w:iCs/>
          <w:sz w:val="20"/>
          <w:szCs w:val="20"/>
        </w:rPr>
        <w:t>panormitanum</w:t>
      </w:r>
      <w:proofErr w:type="spellEnd"/>
      <w:r w:rsidRPr="007B241A">
        <w:rPr>
          <w:rFonts w:ascii="Times New Roman" w:eastAsia="Times New Roman" w:hAnsi="Times New Roman" w:cs="Times New Roman"/>
          <w:sz w:val="20"/>
          <w:szCs w:val="20"/>
        </w:rPr>
        <w:t xml:space="preserve"> </w:t>
      </w:r>
      <w:r w:rsidR="00F245EC">
        <w:rPr>
          <w:rFonts w:ascii="Times New Roman" w:eastAsia="Times New Roman" w:hAnsi="Times New Roman" w:cs="Times New Roman"/>
          <w:sz w:val="20"/>
          <w:szCs w:val="20"/>
        </w:rPr>
        <w:t>(Fig. 3c)</w:t>
      </w:r>
      <w:r w:rsidR="00F245EC" w:rsidRPr="00B54AF9">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acts as</w:t>
      </w:r>
      <w:r w:rsidRPr="00B54AF9">
        <w:rPr>
          <w:rFonts w:ascii="Times New Roman" w:eastAsia="Times New Roman" w:hAnsi="Times New Roman" w:cs="Times New Roman"/>
          <w:sz w:val="20"/>
          <w:szCs w:val="20"/>
        </w:rPr>
        <w:t xml:space="preserve"> a </w:t>
      </w:r>
      <w:r>
        <w:rPr>
          <w:rFonts w:ascii="Times New Roman" w:eastAsia="Times New Roman" w:hAnsi="Times New Roman" w:cs="Times New Roman"/>
          <w:sz w:val="20"/>
          <w:szCs w:val="20"/>
        </w:rPr>
        <w:t>d</w:t>
      </w:r>
      <w:r w:rsidRPr="00B54AF9">
        <w:rPr>
          <w:rFonts w:ascii="Times New Roman" w:eastAsia="Times New Roman" w:hAnsi="Times New Roman" w:cs="Times New Roman"/>
          <w:sz w:val="20"/>
          <w:szCs w:val="20"/>
        </w:rPr>
        <w:t xml:space="preserve">ecomposer, but </w:t>
      </w:r>
      <w:r>
        <w:rPr>
          <w:rFonts w:ascii="Times New Roman" w:eastAsia="Times New Roman" w:hAnsi="Times New Roman" w:cs="Times New Roman"/>
          <w:sz w:val="20"/>
          <w:szCs w:val="20"/>
        </w:rPr>
        <w:t>‘</w:t>
      </w:r>
      <w:r w:rsidRPr="00B54AF9">
        <w:rPr>
          <w:rFonts w:ascii="Times New Roman" w:eastAsia="Times New Roman" w:hAnsi="Times New Roman" w:cs="Times New Roman"/>
          <w:sz w:val="20"/>
          <w:szCs w:val="20"/>
        </w:rPr>
        <w:t xml:space="preserve">mineralises </w:t>
      </w:r>
      <w:r>
        <w:rPr>
          <w:rFonts w:ascii="Times New Roman" w:eastAsia="Times New Roman" w:hAnsi="Times New Roman" w:cs="Times New Roman"/>
          <w:sz w:val="20"/>
          <w:szCs w:val="20"/>
        </w:rPr>
        <w:t>nitrogen</w:t>
      </w:r>
      <w:r w:rsidRPr="00B54AF9">
        <w:rPr>
          <w:rFonts w:ascii="Times New Roman" w:eastAsia="Times New Roman" w:hAnsi="Times New Roman" w:cs="Times New Roman"/>
          <w:sz w:val="20"/>
          <w:szCs w:val="20"/>
        </w:rPr>
        <w:t xml:space="preserve"> at a considerable slower rate than a comparative indigenous decomposer'; therefore, the impact is minor</w:t>
      </w:r>
      <w:r w:rsidR="00C47AE2">
        <w:rPr>
          <w:rFonts w:ascii="Times New Roman" w:eastAsia="Times New Roman" w:hAnsi="Times New Roman" w:cs="Times New Roman"/>
          <w:sz w:val="20"/>
          <w:szCs w:val="20"/>
        </w:rPr>
        <w:t>.</w:t>
      </w:r>
      <w:r w:rsidR="006A500F">
        <w:rPr>
          <w:rFonts w:ascii="Times New Roman" w:eastAsia="Times New Roman" w:hAnsi="Times New Roman" w:cs="Times New Roman"/>
          <w:sz w:val="20"/>
          <w:szCs w:val="20"/>
        </w:rPr>
        <w:t xml:space="preserve"> </w:t>
      </w:r>
      <w:r w:rsidRPr="00B54AF9">
        <w:rPr>
          <w:rFonts w:ascii="Times New Roman" w:eastAsia="Times New Roman" w:hAnsi="Times New Roman" w:cs="Times New Roman"/>
          <w:sz w:val="20"/>
          <w:szCs w:val="20"/>
        </w:rPr>
        <w:t>Interestingly</w:t>
      </w:r>
      <w:r>
        <w:rPr>
          <w:rFonts w:ascii="Times New Roman" w:eastAsia="Times New Roman" w:hAnsi="Times New Roman" w:cs="Times New Roman"/>
          <w:sz w:val="20"/>
          <w:szCs w:val="20"/>
        </w:rPr>
        <w:t>, s</w:t>
      </w:r>
      <w:r w:rsidRPr="00B54AF9">
        <w:rPr>
          <w:rFonts w:ascii="Times New Roman" w:eastAsia="Times New Roman" w:hAnsi="Times New Roman" w:cs="Times New Roman"/>
          <w:sz w:val="20"/>
          <w:szCs w:val="20"/>
        </w:rPr>
        <w:t xml:space="preserve">lugs do not </w:t>
      </w:r>
      <w:r>
        <w:rPr>
          <w:rFonts w:ascii="Times New Roman" w:eastAsia="Times New Roman" w:hAnsi="Times New Roman" w:cs="Times New Roman"/>
          <w:sz w:val="20"/>
          <w:szCs w:val="20"/>
        </w:rPr>
        <w:t xml:space="preserve">seem to </w:t>
      </w:r>
      <w:r w:rsidRPr="00B54AF9">
        <w:rPr>
          <w:rFonts w:ascii="Times New Roman" w:eastAsia="Times New Roman" w:hAnsi="Times New Roman" w:cs="Times New Roman"/>
          <w:sz w:val="20"/>
          <w:szCs w:val="20"/>
        </w:rPr>
        <w:t xml:space="preserve">be </w:t>
      </w:r>
      <w:r>
        <w:rPr>
          <w:rFonts w:ascii="Times New Roman" w:eastAsia="Times New Roman" w:hAnsi="Times New Roman" w:cs="Times New Roman"/>
          <w:sz w:val="20"/>
          <w:szCs w:val="20"/>
        </w:rPr>
        <w:t>a common prey for</w:t>
      </w:r>
      <w:r w:rsidRPr="00B54AF9">
        <w:rPr>
          <w:rFonts w:ascii="Times New Roman" w:eastAsia="Times New Roman" w:hAnsi="Times New Roman" w:cs="Times New Roman"/>
          <w:sz w:val="20"/>
          <w:szCs w:val="20"/>
        </w:rPr>
        <w:t xml:space="preserve"> mice</w:t>
      </w:r>
      <w:r>
        <w:rPr>
          <w:rFonts w:ascii="Times New Roman" w:eastAsia="Times New Roman" w:hAnsi="Times New Roman" w:cs="Times New Roman"/>
          <w:sz w:val="20"/>
          <w:szCs w:val="20"/>
        </w:rPr>
        <w:t>, as</w:t>
      </w:r>
      <w:r w:rsidRPr="00B54AF9">
        <w:rPr>
          <w:rFonts w:ascii="Times New Roman" w:eastAsia="Times New Roman" w:hAnsi="Times New Roman" w:cs="Times New Roman"/>
          <w:sz w:val="20"/>
          <w:szCs w:val="20"/>
        </w:rPr>
        <w:t xml:space="preserve"> slug remains are </w:t>
      </w:r>
      <w:r>
        <w:rPr>
          <w:rFonts w:ascii="Times New Roman" w:eastAsia="Times New Roman" w:hAnsi="Times New Roman" w:cs="Times New Roman"/>
          <w:sz w:val="20"/>
          <w:szCs w:val="20"/>
        </w:rPr>
        <w:t>rarely f</w:t>
      </w:r>
      <w:r w:rsidRPr="00B54AF9">
        <w:rPr>
          <w:rFonts w:ascii="Times New Roman" w:eastAsia="Times New Roman" w:hAnsi="Times New Roman" w:cs="Times New Roman"/>
          <w:sz w:val="20"/>
          <w:szCs w:val="20"/>
        </w:rPr>
        <w:t>ound in mouse stomach contents</w:t>
      </w:r>
      <w:r>
        <w:rPr>
          <w:rFonts w:ascii="Times New Roman" w:eastAsia="Times New Roman" w:hAnsi="Times New Roman" w:cs="Times New Roman"/>
          <w:sz w:val="20"/>
          <w:szCs w:val="20"/>
        </w:rPr>
        <w:t xml:space="preserve">, </w:t>
      </w:r>
      <w:r w:rsidRPr="00B54AF9">
        <w:rPr>
          <w:rFonts w:ascii="Times New Roman" w:eastAsia="Times New Roman" w:hAnsi="Times New Roman" w:cs="Times New Roman"/>
          <w:sz w:val="20"/>
          <w:szCs w:val="20"/>
        </w:rPr>
        <w:t>and starved</w:t>
      </w:r>
      <w:r>
        <w:rPr>
          <w:rFonts w:ascii="Times New Roman" w:eastAsia="Times New Roman" w:hAnsi="Times New Roman" w:cs="Times New Roman"/>
          <w:sz w:val="20"/>
          <w:szCs w:val="20"/>
        </w:rPr>
        <w:t>, captured</w:t>
      </w:r>
      <w:r w:rsidRPr="00B54AF9">
        <w:rPr>
          <w:rFonts w:ascii="Times New Roman" w:eastAsia="Times New Roman" w:hAnsi="Times New Roman" w:cs="Times New Roman"/>
          <w:sz w:val="20"/>
          <w:szCs w:val="20"/>
        </w:rPr>
        <w:t xml:space="preserve"> mice refuse slugs but readily </w:t>
      </w:r>
      <w:r>
        <w:rPr>
          <w:rFonts w:ascii="Times New Roman" w:eastAsia="Times New Roman" w:hAnsi="Times New Roman" w:cs="Times New Roman"/>
          <w:sz w:val="20"/>
          <w:szCs w:val="20"/>
        </w:rPr>
        <w:t xml:space="preserve">consume native </w:t>
      </w:r>
      <w:r w:rsidRPr="00B54AF9">
        <w:rPr>
          <w:rFonts w:ascii="Times New Roman" w:eastAsia="Times New Roman" w:hAnsi="Times New Roman" w:cs="Times New Roman"/>
          <w:sz w:val="20"/>
          <w:szCs w:val="20"/>
        </w:rPr>
        <w:t>invertebrates (Smith et al., 2002</w:t>
      </w:r>
      <w:r>
        <w:rPr>
          <w:rFonts w:ascii="Times New Roman" w:eastAsia="Times New Roman" w:hAnsi="Times New Roman" w:cs="Times New Roman"/>
          <w:sz w:val="20"/>
          <w:szCs w:val="20"/>
        </w:rPr>
        <w:t>; as cited i</w:t>
      </w:r>
      <w:r w:rsidRPr="00B54AF9">
        <w:rPr>
          <w:rFonts w:ascii="Times New Roman" w:eastAsia="Times New Roman" w:hAnsi="Times New Roman" w:cs="Times New Roman"/>
          <w:sz w:val="20"/>
          <w:szCs w:val="20"/>
        </w:rPr>
        <w:t>n: Smith 2007).</w:t>
      </w:r>
      <w:r>
        <w:rPr>
          <w:rFonts w:ascii="Times New Roman" w:eastAsia="Times New Roman" w:hAnsi="Times New Roman" w:cs="Times New Roman"/>
          <w:sz w:val="20"/>
          <w:szCs w:val="20"/>
        </w:rPr>
        <w:t xml:space="preserve"> </w:t>
      </w:r>
      <w:r w:rsidRPr="002A0F40">
        <w:rPr>
          <w:rFonts w:ascii="Times New Roman" w:eastAsia="Times New Roman" w:hAnsi="Times New Roman" w:cs="Times New Roman"/>
          <w:sz w:val="20"/>
          <w:szCs w:val="20"/>
        </w:rPr>
        <w:t xml:space="preserve">The spread </w:t>
      </w:r>
      <w:r>
        <w:rPr>
          <w:rFonts w:ascii="Times New Roman" w:eastAsia="Times New Roman" w:hAnsi="Times New Roman" w:cs="Times New Roman"/>
          <w:sz w:val="20"/>
          <w:szCs w:val="20"/>
        </w:rPr>
        <w:t xml:space="preserve">of the </w:t>
      </w:r>
      <w:r w:rsidRPr="002A0F40">
        <w:rPr>
          <w:rFonts w:ascii="Times New Roman" w:eastAsia="Times New Roman" w:hAnsi="Times New Roman" w:cs="Times New Roman"/>
          <w:sz w:val="20"/>
          <w:szCs w:val="20"/>
        </w:rPr>
        <w:t xml:space="preserve">parasitic wasp </w:t>
      </w:r>
      <w:proofErr w:type="spellStart"/>
      <w:r w:rsidRPr="0037189B">
        <w:rPr>
          <w:rFonts w:ascii="Times New Roman" w:eastAsia="Times New Roman" w:hAnsi="Times New Roman" w:cs="Times New Roman"/>
          <w:i/>
          <w:iCs/>
          <w:sz w:val="20"/>
          <w:szCs w:val="20"/>
        </w:rPr>
        <w:t>Aphidius</w:t>
      </w:r>
      <w:proofErr w:type="spellEnd"/>
      <w:r w:rsidRPr="0037189B">
        <w:rPr>
          <w:rFonts w:ascii="Times New Roman" w:eastAsia="Times New Roman" w:hAnsi="Times New Roman" w:cs="Times New Roman"/>
          <w:i/>
          <w:iCs/>
          <w:sz w:val="20"/>
          <w:szCs w:val="20"/>
        </w:rPr>
        <w:t xml:space="preserve"> </w:t>
      </w:r>
      <w:proofErr w:type="spellStart"/>
      <w:r w:rsidRPr="0037189B">
        <w:rPr>
          <w:rFonts w:ascii="Times New Roman" w:eastAsia="Times New Roman" w:hAnsi="Times New Roman" w:cs="Times New Roman"/>
          <w:i/>
          <w:iCs/>
          <w:sz w:val="20"/>
          <w:szCs w:val="20"/>
        </w:rPr>
        <w:t>matricariae</w:t>
      </w:r>
      <w:proofErr w:type="spellEnd"/>
      <w:r w:rsidRPr="002A0F40">
        <w:rPr>
          <w:rFonts w:ascii="Times New Roman" w:eastAsia="Times New Roman" w:hAnsi="Times New Roman" w:cs="Times New Roman"/>
          <w:sz w:val="20"/>
          <w:szCs w:val="20"/>
        </w:rPr>
        <w:t xml:space="preserve"> (an aphid </w:t>
      </w:r>
      <w:proofErr w:type="spellStart"/>
      <w:r w:rsidRPr="002A0F40">
        <w:rPr>
          <w:rFonts w:ascii="Times New Roman" w:eastAsia="Times New Roman" w:hAnsi="Times New Roman" w:cs="Times New Roman"/>
          <w:sz w:val="20"/>
          <w:szCs w:val="20"/>
        </w:rPr>
        <w:t>parasit</w:t>
      </w:r>
      <w:r>
        <w:rPr>
          <w:rFonts w:ascii="Times New Roman" w:eastAsia="Times New Roman" w:hAnsi="Times New Roman" w:cs="Times New Roman"/>
          <w:sz w:val="20"/>
          <w:szCs w:val="20"/>
        </w:rPr>
        <w:t>oid</w:t>
      </w:r>
      <w:proofErr w:type="spellEnd"/>
      <w:r w:rsidRPr="002A0F40">
        <w:rPr>
          <w:rFonts w:ascii="Times New Roman" w:eastAsia="Times New Roman" w:hAnsi="Times New Roman" w:cs="Times New Roman"/>
          <w:sz w:val="20"/>
          <w:szCs w:val="20"/>
        </w:rPr>
        <w:t xml:space="preserve">) is facilitated by </w:t>
      </w:r>
      <w:r>
        <w:rPr>
          <w:rFonts w:ascii="Times New Roman" w:eastAsia="Times New Roman" w:hAnsi="Times New Roman" w:cs="Times New Roman"/>
          <w:sz w:val="20"/>
          <w:szCs w:val="20"/>
        </w:rPr>
        <w:t>the presence of a</w:t>
      </w:r>
      <w:r w:rsidRPr="002A0F40">
        <w:rPr>
          <w:rFonts w:ascii="Times New Roman" w:eastAsia="Times New Roman" w:hAnsi="Times New Roman" w:cs="Times New Roman"/>
          <w:sz w:val="20"/>
          <w:szCs w:val="20"/>
        </w:rPr>
        <w:t xml:space="preserve">n established </w:t>
      </w:r>
      <w:r>
        <w:rPr>
          <w:rFonts w:ascii="Times New Roman" w:eastAsia="Times New Roman" w:hAnsi="Times New Roman" w:cs="Times New Roman"/>
          <w:sz w:val="20"/>
          <w:szCs w:val="20"/>
        </w:rPr>
        <w:t xml:space="preserve">alien invasive </w:t>
      </w:r>
      <w:r w:rsidRPr="002A0F40">
        <w:rPr>
          <w:rFonts w:ascii="Times New Roman" w:eastAsia="Times New Roman" w:hAnsi="Times New Roman" w:cs="Times New Roman"/>
          <w:sz w:val="20"/>
          <w:szCs w:val="20"/>
        </w:rPr>
        <w:t>aphid</w:t>
      </w:r>
      <w:r w:rsidRPr="00266204">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lastRenderedPageBreak/>
        <w:t>(</w:t>
      </w:r>
      <w:proofErr w:type="spellStart"/>
      <w:r w:rsidRPr="00724F5D">
        <w:rPr>
          <w:rFonts w:ascii="Times New Roman" w:eastAsia="Times New Roman" w:hAnsi="Times New Roman" w:cs="Times New Roman"/>
          <w:i/>
          <w:iCs/>
          <w:sz w:val="20"/>
          <w:szCs w:val="20"/>
        </w:rPr>
        <w:t>Rhopalosiphum</w:t>
      </w:r>
      <w:proofErr w:type="spellEnd"/>
      <w:r w:rsidRPr="00724F5D">
        <w:rPr>
          <w:rFonts w:ascii="Times New Roman" w:eastAsia="Times New Roman" w:hAnsi="Times New Roman" w:cs="Times New Roman"/>
          <w:i/>
          <w:iCs/>
          <w:sz w:val="20"/>
          <w:szCs w:val="20"/>
        </w:rPr>
        <w:t xml:space="preserve"> </w:t>
      </w:r>
      <w:proofErr w:type="spellStart"/>
      <w:r w:rsidRPr="00724F5D">
        <w:rPr>
          <w:rFonts w:ascii="Times New Roman" w:eastAsia="Times New Roman" w:hAnsi="Times New Roman" w:cs="Times New Roman"/>
          <w:i/>
          <w:iCs/>
          <w:sz w:val="20"/>
          <w:szCs w:val="20"/>
        </w:rPr>
        <w:t>padi</w:t>
      </w:r>
      <w:proofErr w:type="spellEnd"/>
      <w:r>
        <w:rPr>
          <w:rFonts w:ascii="Times New Roman" w:eastAsia="Times New Roman" w:hAnsi="Times New Roman" w:cs="Times New Roman"/>
          <w:sz w:val="20"/>
          <w:szCs w:val="20"/>
        </w:rPr>
        <w:t>)</w:t>
      </w:r>
      <w:r w:rsidRPr="002A0F40">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as noted by </w:t>
      </w:r>
      <w:r w:rsidRPr="002A0F40">
        <w:rPr>
          <w:rFonts w:ascii="Times New Roman" w:eastAsia="Times New Roman" w:hAnsi="Times New Roman" w:cs="Times New Roman"/>
          <w:sz w:val="20"/>
          <w:szCs w:val="20"/>
        </w:rPr>
        <w:t xml:space="preserve">Lee and Chown </w:t>
      </w:r>
      <w:r>
        <w:rPr>
          <w:rFonts w:ascii="Times New Roman" w:eastAsia="Times New Roman" w:hAnsi="Times New Roman" w:cs="Times New Roman"/>
          <w:sz w:val="20"/>
          <w:szCs w:val="20"/>
        </w:rPr>
        <w:t>(</w:t>
      </w:r>
      <w:r w:rsidRPr="002A0F40">
        <w:rPr>
          <w:rFonts w:ascii="Times New Roman" w:eastAsia="Times New Roman" w:hAnsi="Times New Roman" w:cs="Times New Roman"/>
          <w:sz w:val="20"/>
          <w:szCs w:val="20"/>
        </w:rPr>
        <w:t xml:space="preserve">2016) in: Houghton et al. (2019). </w:t>
      </w:r>
      <w:proofErr w:type="spellStart"/>
      <w:r w:rsidRPr="0037189B">
        <w:rPr>
          <w:rFonts w:ascii="Times New Roman" w:eastAsia="Times New Roman" w:hAnsi="Times New Roman" w:cs="Times New Roman"/>
          <w:i/>
          <w:iCs/>
          <w:sz w:val="20"/>
          <w:szCs w:val="20"/>
        </w:rPr>
        <w:t>Aphidius</w:t>
      </w:r>
      <w:proofErr w:type="spellEnd"/>
      <w:r w:rsidRPr="0037189B">
        <w:rPr>
          <w:rFonts w:ascii="Times New Roman" w:eastAsia="Times New Roman" w:hAnsi="Times New Roman" w:cs="Times New Roman"/>
          <w:i/>
          <w:iCs/>
          <w:sz w:val="20"/>
          <w:szCs w:val="20"/>
        </w:rPr>
        <w:t xml:space="preserve"> </w:t>
      </w:r>
      <w:proofErr w:type="spellStart"/>
      <w:r w:rsidRPr="0037189B">
        <w:rPr>
          <w:rFonts w:ascii="Times New Roman" w:eastAsia="Times New Roman" w:hAnsi="Times New Roman" w:cs="Times New Roman"/>
          <w:i/>
          <w:iCs/>
          <w:sz w:val="20"/>
          <w:szCs w:val="20"/>
        </w:rPr>
        <w:t>matricariae</w:t>
      </w:r>
      <w:proofErr w:type="spellEnd"/>
      <w:r w:rsidRPr="00F907FD">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exclusively targets</w:t>
      </w:r>
      <w:r w:rsidRPr="002A0F40">
        <w:rPr>
          <w:rFonts w:ascii="Times New Roman" w:eastAsia="Times New Roman" w:hAnsi="Times New Roman" w:cs="Times New Roman"/>
          <w:sz w:val="20"/>
          <w:szCs w:val="20"/>
        </w:rPr>
        <w:t xml:space="preserve"> </w:t>
      </w:r>
      <w:r w:rsidRPr="0037189B">
        <w:rPr>
          <w:rFonts w:ascii="Times New Roman" w:eastAsia="Times New Roman" w:hAnsi="Times New Roman" w:cs="Times New Roman"/>
          <w:i/>
          <w:iCs/>
          <w:sz w:val="20"/>
          <w:szCs w:val="20"/>
        </w:rPr>
        <w:t xml:space="preserve">R. </w:t>
      </w:r>
      <w:proofErr w:type="spellStart"/>
      <w:r w:rsidRPr="0037189B">
        <w:rPr>
          <w:rFonts w:ascii="Times New Roman" w:eastAsia="Times New Roman" w:hAnsi="Times New Roman" w:cs="Times New Roman"/>
          <w:i/>
          <w:iCs/>
          <w:sz w:val="20"/>
          <w:szCs w:val="20"/>
        </w:rPr>
        <w:t>padi</w:t>
      </w:r>
      <w:proofErr w:type="spellEnd"/>
      <w:r>
        <w:rPr>
          <w:rFonts w:ascii="Times New Roman" w:eastAsia="Times New Roman" w:hAnsi="Times New Roman" w:cs="Times New Roman"/>
          <w:sz w:val="20"/>
          <w:szCs w:val="20"/>
        </w:rPr>
        <w:t xml:space="preserve"> </w:t>
      </w:r>
      <w:r w:rsidRPr="002A0F40">
        <w:rPr>
          <w:rFonts w:ascii="Times New Roman" w:eastAsia="Times New Roman" w:hAnsi="Times New Roman" w:cs="Times New Roman"/>
          <w:sz w:val="20"/>
          <w:szCs w:val="20"/>
        </w:rPr>
        <w:t>(Lee et al. 2007)</w:t>
      </w:r>
      <w:r>
        <w:rPr>
          <w:rFonts w:ascii="Times New Roman" w:eastAsia="Times New Roman" w:hAnsi="Times New Roman" w:cs="Times New Roman"/>
          <w:sz w:val="20"/>
          <w:szCs w:val="20"/>
        </w:rPr>
        <w:t xml:space="preserve"> and c</w:t>
      </w:r>
      <w:r w:rsidRPr="002A0F40">
        <w:rPr>
          <w:rFonts w:ascii="Times New Roman" w:eastAsia="Times New Roman" w:hAnsi="Times New Roman" w:cs="Times New Roman"/>
          <w:sz w:val="20"/>
          <w:szCs w:val="20"/>
        </w:rPr>
        <w:t xml:space="preserve">ontrols </w:t>
      </w:r>
      <w:r>
        <w:rPr>
          <w:rFonts w:ascii="Times New Roman" w:eastAsia="Times New Roman" w:hAnsi="Times New Roman" w:cs="Times New Roman"/>
          <w:sz w:val="20"/>
          <w:szCs w:val="20"/>
        </w:rPr>
        <w:t>its p</w:t>
      </w:r>
      <w:r w:rsidRPr="002A0F40">
        <w:rPr>
          <w:rFonts w:ascii="Times New Roman" w:eastAsia="Times New Roman" w:hAnsi="Times New Roman" w:cs="Times New Roman"/>
          <w:sz w:val="20"/>
          <w:szCs w:val="20"/>
        </w:rPr>
        <w:t xml:space="preserve">opulations (Greve et al. 2017). Therefore, </w:t>
      </w:r>
      <w:r>
        <w:rPr>
          <w:rFonts w:ascii="Times New Roman" w:eastAsia="Times New Roman" w:hAnsi="Times New Roman" w:cs="Times New Roman"/>
          <w:sz w:val="20"/>
          <w:szCs w:val="20"/>
        </w:rPr>
        <w:t>its</w:t>
      </w:r>
      <w:r w:rsidRPr="002A0F40">
        <w:rPr>
          <w:rFonts w:ascii="Times New Roman" w:eastAsia="Times New Roman" w:hAnsi="Times New Roman" w:cs="Times New Roman"/>
          <w:sz w:val="20"/>
          <w:szCs w:val="20"/>
        </w:rPr>
        <w:t xml:space="preserve"> impact is </w:t>
      </w:r>
      <w:r>
        <w:rPr>
          <w:rFonts w:ascii="Times New Roman" w:eastAsia="Times New Roman" w:hAnsi="Times New Roman" w:cs="Times New Roman"/>
          <w:sz w:val="20"/>
          <w:szCs w:val="20"/>
        </w:rPr>
        <w:t xml:space="preserve">considered </w:t>
      </w:r>
      <w:r w:rsidRPr="002A0F40">
        <w:rPr>
          <w:rFonts w:ascii="Times New Roman" w:eastAsia="Times New Roman" w:hAnsi="Times New Roman" w:cs="Times New Roman"/>
          <w:sz w:val="20"/>
          <w:szCs w:val="20"/>
        </w:rPr>
        <w:t>minor</w:t>
      </w:r>
      <w:r>
        <w:rPr>
          <w:rFonts w:ascii="Times New Roman" w:eastAsia="Times New Roman" w:hAnsi="Times New Roman" w:cs="Times New Roman"/>
          <w:sz w:val="20"/>
          <w:szCs w:val="20"/>
        </w:rPr>
        <w:t>,</w:t>
      </w:r>
      <w:r w:rsidRPr="002A0F40">
        <w:rPr>
          <w:rFonts w:ascii="Times New Roman" w:eastAsia="Times New Roman" w:hAnsi="Times New Roman" w:cs="Times New Roman"/>
          <w:sz w:val="20"/>
          <w:szCs w:val="20"/>
        </w:rPr>
        <w:t xml:space="preserve"> as it</w:t>
      </w:r>
      <w:r>
        <w:rPr>
          <w:rFonts w:ascii="Times New Roman" w:eastAsia="Times New Roman" w:hAnsi="Times New Roman" w:cs="Times New Roman"/>
          <w:sz w:val="20"/>
          <w:szCs w:val="20"/>
        </w:rPr>
        <w:t xml:space="preserve"> preys</w:t>
      </w:r>
      <w:r w:rsidRPr="002A0F40">
        <w:rPr>
          <w:rFonts w:ascii="Times New Roman" w:eastAsia="Times New Roman" w:hAnsi="Times New Roman" w:cs="Times New Roman"/>
          <w:sz w:val="20"/>
          <w:szCs w:val="20"/>
        </w:rPr>
        <w:t xml:space="preserve"> only on an alien species, </w:t>
      </w:r>
      <w:r w:rsidRPr="001B3B9F">
        <w:rPr>
          <w:rFonts w:ascii="Times New Roman" w:eastAsia="Times New Roman" w:hAnsi="Times New Roman" w:cs="Times New Roman"/>
          <w:sz w:val="20"/>
          <w:szCs w:val="20"/>
        </w:rPr>
        <w:t>potentially providing a beneficial biological control—albeit an unintentional one.</w:t>
      </w:r>
      <w:r>
        <w:rPr>
          <w:rFonts w:ascii="Times New Roman" w:eastAsia="Times New Roman" w:hAnsi="Times New Roman" w:cs="Times New Roman"/>
          <w:sz w:val="20"/>
          <w:szCs w:val="20"/>
        </w:rPr>
        <w:t xml:space="preserve"> For more details on impact for the other species, see column ‘</w:t>
      </w:r>
      <w:proofErr w:type="spellStart"/>
      <w:r>
        <w:rPr>
          <w:rFonts w:ascii="Times New Roman" w:eastAsia="Times New Roman" w:hAnsi="Times New Roman" w:cs="Times New Roman"/>
          <w:sz w:val="20"/>
          <w:szCs w:val="20"/>
        </w:rPr>
        <w:t>historyOfInvasion</w:t>
      </w:r>
      <w:proofErr w:type="spellEnd"/>
      <w:r>
        <w:rPr>
          <w:rFonts w:ascii="Times New Roman" w:eastAsia="Times New Roman" w:hAnsi="Times New Roman" w:cs="Times New Roman"/>
          <w:sz w:val="20"/>
          <w:szCs w:val="20"/>
        </w:rPr>
        <w:t>’ in Appendix 1.</w:t>
      </w:r>
    </w:p>
    <w:p w14:paraId="0CAE39E6" w14:textId="77777777" w:rsidR="00E85387" w:rsidRDefault="00E85387" w:rsidP="00E85387">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No SEICAT (Socio-Economic Classification of Alien Taxa) assessments have been done for the Prince Edward Islands to date. Given the low human footprint on the PEIs, it is likely that socio-economic impacts are of ‘Minimal Concern’ or at most ‘minimal’ in terms of the house mouse</w:t>
      </w:r>
      <w:sdt>
        <w:sdtPr>
          <w:tag w:val="goog_rdk_6"/>
          <w:id w:val="568237274"/>
        </w:sdtPr>
        <w:sdtEndPr/>
        <w:sdtContent/>
      </w:sdt>
      <w:sdt>
        <w:sdtPr>
          <w:tag w:val="goog_rdk_7"/>
          <w:id w:val="-1049375427"/>
        </w:sdtPr>
        <w:sdtEndPr/>
        <w:sdtContent/>
      </w:sdt>
      <w:sdt>
        <w:sdtPr>
          <w:tag w:val="goog_rdk_8"/>
          <w:id w:val="-6291227"/>
        </w:sdtPr>
        <w:sdtEndPr/>
        <w:sdtContent/>
      </w:sdt>
      <w:r>
        <w:rPr>
          <w:rFonts w:ascii="Times New Roman" w:eastAsia="Times New Roman" w:hAnsi="Times New Roman" w:cs="Times New Roman"/>
          <w:sz w:val="20"/>
          <w:szCs w:val="20"/>
        </w:rPr>
        <w:t>.</w:t>
      </w:r>
    </w:p>
    <w:p w14:paraId="167C2193" w14:textId="77777777" w:rsidR="00526DED" w:rsidRDefault="00526DED">
      <w:pPr>
        <w:pStyle w:val="Heading2"/>
        <w:spacing w:line="360" w:lineRule="auto"/>
        <w:rPr>
          <w:rFonts w:ascii="Times New Roman" w:eastAsia="Times New Roman" w:hAnsi="Times New Roman" w:cs="Times New Roman"/>
          <w:sz w:val="20"/>
          <w:szCs w:val="20"/>
        </w:rPr>
      </w:pPr>
      <w:bookmarkStart w:id="8" w:name="_heading=h.tyjcwt" w:colFirst="0" w:colLast="0"/>
      <w:bookmarkEnd w:id="8"/>
    </w:p>
    <w:p w14:paraId="00000243" w14:textId="34D625FD" w:rsidR="00073819" w:rsidRDefault="0099474B">
      <w:pPr>
        <w:pStyle w:val="Heading2"/>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Interventions</w:t>
      </w:r>
    </w:p>
    <w:p w14:paraId="00000244" w14:textId="51A41502" w:rsidR="00073819" w:rsidRPr="00354635" w:rsidRDefault="0099474B">
      <w:pPr>
        <w:spacing w:line="360" w:lineRule="auto"/>
        <w:rPr>
          <w:rFonts w:ascii="Times New Roman" w:eastAsia="Times New Roman" w:hAnsi="Times New Roman" w:cs="Times New Roman"/>
          <w:b/>
          <w:sz w:val="20"/>
          <w:szCs w:val="20"/>
        </w:rPr>
      </w:pPr>
      <w:r w:rsidRPr="00354635">
        <w:rPr>
          <w:rFonts w:ascii="Times New Roman" w:eastAsia="Times New Roman" w:hAnsi="Times New Roman" w:cs="Times New Roman"/>
          <w:b/>
          <w:sz w:val="20"/>
          <w:szCs w:val="20"/>
        </w:rPr>
        <w:t>Input – Quality of regulatory framework</w:t>
      </w:r>
      <w:r w:rsidR="00354635" w:rsidRPr="00354635">
        <w:rPr>
          <w:rFonts w:ascii="Times New Roman" w:eastAsia="Times New Roman" w:hAnsi="Times New Roman" w:cs="Times New Roman"/>
          <w:b/>
          <w:sz w:val="20"/>
          <w:szCs w:val="20"/>
        </w:rPr>
        <w:t xml:space="preserve"> (indicator 4.1)</w:t>
      </w:r>
    </w:p>
    <w:p w14:paraId="00000245" w14:textId="77777777" w:rsidR="00073819" w:rsidRDefault="0099474B">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The NEM:BA A&amp;IS Regulations (National Environmental Management: Biodiversity Act Alien and Invasive Species) that govern the PEIs were promulgated in 2014 and updated in 2020. These regulations consist of a list of alien and invasive species present in the country classified into different categories and the regulations concerning their management (</w:t>
      </w:r>
      <w:proofErr w:type="spellStart"/>
      <w:r>
        <w:rPr>
          <w:rFonts w:ascii="Times New Roman" w:eastAsia="Times New Roman" w:hAnsi="Times New Roman" w:cs="Times New Roman"/>
          <w:sz w:val="20"/>
          <w:szCs w:val="20"/>
        </w:rPr>
        <w:t>Kumschick</w:t>
      </w:r>
      <w:proofErr w:type="spellEnd"/>
      <w:r>
        <w:rPr>
          <w:rFonts w:ascii="Times New Roman" w:eastAsia="Times New Roman" w:hAnsi="Times New Roman" w:cs="Times New Roman"/>
          <w:sz w:val="20"/>
          <w:szCs w:val="20"/>
        </w:rPr>
        <w:t xml:space="preserve"> et al. 2020; Wilson and </w:t>
      </w:r>
      <w:proofErr w:type="spellStart"/>
      <w:r>
        <w:rPr>
          <w:rFonts w:ascii="Times New Roman" w:eastAsia="Times New Roman" w:hAnsi="Times New Roman" w:cs="Times New Roman"/>
          <w:sz w:val="20"/>
          <w:szCs w:val="20"/>
        </w:rPr>
        <w:t>Kumschick</w:t>
      </w:r>
      <w:proofErr w:type="spellEnd"/>
      <w:r>
        <w:rPr>
          <w:rFonts w:ascii="Times New Roman" w:eastAsia="Times New Roman" w:hAnsi="Times New Roman" w:cs="Times New Roman"/>
          <w:sz w:val="20"/>
          <w:szCs w:val="20"/>
        </w:rPr>
        <w:t xml:space="preserve"> 2024). </w:t>
      </w:r>
    </w:p>
    <w:p w14:paraId="00000246" w14:textId="460DE022" w:rsidR="00073819" w:rsidRDefault="0099474B">
      <w:pPr>
        <w:spacing w:line="360" w:lineRule="auto"/>
        <w:ind w:firstLine="720"/>
        <w:rPr>
          <w:rFonts w:ascii="Times New Roman" w:eastAsia="Times New Roman" w:hAnsi="Times New Roman" w:cs="Times New Roman"/>
          <w:sz w:val="20"/>
          <w:szCs w:val="20"/>
        </w:rPr>
        <w:sectPr w:rsidR="00073819" w:rsidSect="0099474B">
          <w:type w:val="continuous"/>
          <w:pgSz w:w="11906" w:h="16838"/>
          <w:pgMar w:top="1440" w:right="1440" w:bottom="1440" w:left="1440" w:header="708" w:footer="708" w:gutter="0"/>
          <w:cols w:space="720"/>
          <w:docGrid w:linePitch="299"/>
        </w:sectPr>
      </w:pPr>
      <w:r>
        <w:rPr>
          <w:rFonts w:ascii="Times New Roman" w:eastAsia="Times New Roman" w:hAnsi="Times New Roman" w:cs="Times New Roman"/>
          <w:sz w:val="20"/>
          <w:szCs w:val="20"/>
        </w:rPr>
        <w:t>Thirteen taxa are listed for the PEIs in the 2020 NEM:BA A&amp;IS Regulations (Table S</w:t>
      </w:r>
      <w:r w:rsidR="00694154">
        <w:rPr>
          <w:rFonts w:ascii="Times New Roman" w:eastAsia="Times New Roman" w:hAnsi="Times New Roman" w:cs="Times New Roman"/>
          <w:sz w:val="20"/>
          <w:szCs w:val="20"/>
        </w:rPr>
        <w:t>6</w:t>
      </w:r>
      <w:r>
        <w:rPr>
          <w:rFonts w:ascii="Times New Roman" w:eastAsia="Times New Roman" w:hAnsi="Times New Roman" w:cs="Times New Roman"/>
          <w:sz w:val="20"/>
          <w:szCs w:val="20"/>
        </w:rPr>
        <w:t>) (although this study found evidence that 25 taxa are invasive). However, it is notable that two taxa that are being managed on the islands, are not listed in the regulations, while four taxa, which are listed in the regulations, are currently not receiving management (e.g., considered too widespread to manage, see Table S</w:t>
      </w:r>
      <w:r w:rsidR="006D2F07">
        <w:rPr>
          <w:rFonts w:ascii="Times New Roman" w:eastAsia="Times New Roman" w:hAnsi="Times New Roman" w:cs="Times New Roman"/>
          <w:sz w:val="20"/>
          <w:szCs w:val="20"/>
        </w:rPr>
        <w:t>6</w:t>
      </w:r>
      <w:r>
        <w:rPr>
          <w:rFonts w:ascii="Times New Roman" w:eastAsia="Times New Roman" w:hAnsi="Times New Roman" w:cs="Times New Roman"/>
          <w:sz w:val="20"/>
          <w:szCs w:val="20"/>
        </w:rPr>
        <w:t xml:space="preserve"> for more details). No risk analyses have been conducted for the taxa listed on the regulations for the PEIs. </w:t>
      </w:r>
    </w:p>
    <w:p w14:paraId="00000247" w14:textId="148A3329"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b/>
          <w:sz w:val="20"/>
          <w:szCs w:val="20"/>
        </w:rPr>
        <w:lastRenderedPageBreak/>
        <w:t>Table S</w:t>
      </w:r>
      <w:r w:rsidR="002E2C82">
        <w:rPr>
          <w:rFonts w:ascii="Times New Roman" w:eastAsia="Times New Roman" w:hAnsi="Times New Roman" w:cs="Times New Roman"/>
          <w:b/>
          <w:sz w:val="20"/>
          <w:szCs w:val="20"/>
        </w:rPr>
        <w:t>6</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Alien taxa listed under the NEM:BA A&amp;IS Regulations of 2020 for the Prince Edward Islands (PEIs) or for which an eradication plan has been developed [cf. Appendix 1; Wilson (2023)]. Only listings relevant to the PEIs are included here. Information on the implemented control measure was obtained mainly from the Department of Environmental Affairs (DEA) and DST-NRF CIB 2012–2013, last updated in 2021, personal communication with the Department of Forestry, Fisheries and the Environment’s Specialist Programme Manager Debbie Muir, or indicated otherwise. Technically, as the PEIs are off-shore islands, the following are also listed as management targets [</w:t>
      </w:r>
      <w:proofErr w:type="spellStart"/>
      <w:r>
        <w:rPr>
          <w:rFonts w:ascii="Times New Roman" w:eastAsia="Times New Roman" w:hAnsi="Times New Roman" w:cs="Times New Roman"/>
          <w:i/>
          <w:sz w:val="20"/>
          <w:szCs w:val="20"/>
        </w:rPr>
        <w:t>Alectoris</w:t>
      </w:r>
      <w:proofErr w:type="spellEnd"/>
      <w:r>
        <w:rPr>
          <w:rFonts w:ascii="Times New Roman" w:eastAsia="Times New Roman" w:hAnsi="Times New Roman" w:cs="Times New Roman"/>
          <w:i/>
          <w:sz w:val="20"/>
          <w:szCs w:val="20"/>
        </w:rPr>
        <w:t xml:space="preserve"> chukar </w:t>
      </w:r>
      <w:r>
        <w:rPr>
          <w:rFonts w:ascii="Times New Roman" w:eastAsia="Times New Roman" w:hAnsi="Times New Roman" w:cs="Times New Roman"/>
          <w:sz w:val="20"/>
          <w:szCs w:val="20"/>
        </w:rPr>
        <w:t xml:space="preserve">(Chukar partridge), </w:t>
      </w:r>
      <w:r>
        <w:rPr>
          <w:rFonts w:ascii="Times New Roman" w:eastAsia="Times New Roman" w:hAnsi="Times New Roman" w:cs="Times New Roman"/>
          <w:i/>
          <w:sz w:val="20"/>
          <w:szCs w:val="20"/>
        </w:rPr>
        <w:t xml:space="preserve">Oryctolagus cuniculus </w:t>
      </w:r>
      <w:r>
        <w:rPr>
          <w:rFonts w:ascii="Times New Roman" w:eastAsia="Times New Roman" w:hAnsi="Times New Roman" w:cs="Times New Roman"/>
          <w:sz w:val="20"/>
          <w:szCs w:val="20"/>
        </w:rPr>
        <w:t xml:space="preserve">(the European rabbit), </w:t>
      </w:r>
      <w:r>
        <w:rPr>
          <w:rFonts w:ascii="Times New Roman" w:eastAsia="Times New Roman" w:hAnsi="Times New Roman" w:cs="Times New Roman"/>
          <w:i/>
          <w:sz w:val="20"/>
          <w:szCs w:val="20"/>
        </w:rPr>
        <w:t>Rattus norvegicus</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R. rattus</w:t>
      </w:r>
      <w:r>
        <w:rPr>
          <w:rFonts w:ascii="Times New Roman" w:eastAsia="Times New Roman" w:hAnsi="Times New Roman" w:cs="Times New Roman"/>
          <w:sz w:val="20"/>
          <w:szCs w:val="20"/>
        </w:rPr>
        <w:t xml:space="preserve">, and </w:t>
      </w:r>
      <w:r>
        <w:rPr>
          <w:rFonts w:ascii="Times New Roman" w:eastAsia="Times New Roman" w:hAnsi="Times New Roman" w:cs="Times New Roman"/>
          <w:i/>
          <w:sz w:val="20"/>
          <w:szCs w:val="20"/>
        </w:rPr>
        <w:t xml:space="preserve">R. </w:t>
      </w:r>
      <w:proofErr w:type="spellStart"/>
      <w:r>
        <w:rPr>
          <w:rFonts w:ascii="Times New Roman" w:eastAsia="Times New Roman" w:hAnsi="Times New Roman" w:cs="Times New Roman"/>
          <w:i/>
          <w:sz w:val="20"/>
          <w:szCs w:val="20"/>
        </w:rPr>
        <w:t>tanezumi</w:t>
      </w:r>
      <w:proofErr w:type="spellEnd"/>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(the Norwegian, brown and Asian house rat respectively)], and the following as eradication targets [</w:t>
      </w:r>
      <w:r>
        <w:rPr>
          <w:rFonts w:ascii="Times New Roman" w:eastAsia="Times New Roman" w:hAnsi="Times New Roman" w:cs="Times New Roman"/>
          <w:i/>
          <w:sz w:val="20"/>
          <w:szCs w:val="20"/>
        </w:rPr>
        <w:t xml:space="preserve">Capra </w:t>
      </w:r>
      <w:proofErr w:type="spellStart"/>
      <w:r>
        <w:rPr>
          <w:rFonts w:ascii="Times New Roman" w:eastAsia="Times New Roman" w:hAnsi="Times New Roman" w:cs="Times New Roman"/>
          <w:i/>
          <w:sz w:val="20"/>
          <w:szCs w:val="20"/>
        </w:rPr>
        <w:t>hircus</w:t>
      </w:r>
      <w:proofErr w:type="spellEnd"/>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(goat) and </w:t>
      </w:r>
      <w:proofErr w:type="spellStart"/>
      <w:r>
        <w:rPr>
          <w:rFonts w:ascii="Times New Roman" w:eastAsia="Times New Roman" w:hAnsi="Times New Roman" w:cs="Times New Roman"/>
          <w:i/>
          <w:sz w:val="20"/>
          <w:szCs w:val="20"/>
        </w:rPr>
        <w:t>Felis</w:t>
      </w:r>
      <w:proofErr w:type="spellEnd"/>
      <w:r>
        <w:rPr>
          <w:rFonts w:ascii="Times New Roman" w:eastAsia="Times New Roman" w:hAnsi="Times New Roman" w:cs="Times New Roman"/>
          <w:i/>
          <w:sz w:val="20"/>
          <w:szCs w:val="20"/>
        </w:rPr>
        <w:t xml:space="preserve"> catus </w:t>
      </w:r>
      <w:r>
        <w:rPr>
          <w:rFonts w:ascii="Times New Roman" w:eastAsia="Times New Roman" w:hAnsi="Times New Roman" w:cs="Times New Roman"/>
          <w:sz w:val="20"/>
          <w:szCs w:val="20"/>
        </w:rPr>
        <w:t>(domestic cat)], but none of these are currently present on the islands. PEI is the Prince Edward Island and MI is Marion Island.</w:t>
      </w:r>
    </w:p>
    <w:tbl>
      <w:tblPr>
        <w:tblStyle w:val="a5"/>
        <w:tblW w:w="1403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05"/>
        <w:gridCol w:w="1276"/>
        <w:gridCol w:w="1275"/>
        <w:gridCol w:w="1531"/>
        <w:gridCol w:w="1304"/>
        <w:gridCol w:w="7343"/>
      </w:tblGrid>
      <w:tr w:rsidR="00073819" w14:paraId="73874101" w14:textId="77777777">
        <w:trPr>
          <w:cantSplit/>
          <w:trHeight w:val="20"/>
          <w:tblHeader/>
        </w:trPr>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00000248"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Scientific name</w:t>
            </w:r>
          </w:p>
        </w:tc>
        <w:tc>
          <w:tcPr>
            <w:tcW w:w="1276" w:type="dxa"/>
            <w:tcBorders>
              <w:top w:val="single" w:sz="4" w:space="0" w:color="000000"/>
              <w:left w:val="nil"/>
              <w:bottom w:val="single" w:sz="4" w:space="0" w:color="000000"/>
              <w:right w:val="single" w:sz="4" w:space="0" w:color="000000"/>
            </w:tcBorders>
            <w:shd w:val="clear" w:color="auto" w:fill="auto"/>
          </w:tcPr>
          <w:p w14:paraId="00000249"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Vernacular name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0000024A"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Regulatory listing</w:t>
            </w:r>
          </w:p>
        </w:tc>
        <w:tc>
          <w:tcPr>
            <w:tcW w:w="1531" w:type="dxa"/>
            <w:tcBorders>
              <w:top w:val="single" w:sz="4" w:space="0" w:color="000000"/>
              <w:left w:val="single" w:sz="4" w:space="0" w:color="000000"/>
              <w:bottom w:val="single" w:sz="4" w:space="0" w:color="000000"/>
              <w:right w:val="single" w:sz="4" w:space="0" w:color="000000"/>
            </w:tcBorders>
          </w:tcPr>
          <w:p w14:paraId="0000024B"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Introduction Status</w:t>
            </w:r>
          </w:p>
        </w:tc>
        <w:tc>
          <w:tcPr>
            <w:tcW w:w="1304" w:type="dxa"/>
            <w:tcBorders>
              <w:top w:val="single" w:sz="4" w:space="0" w:color="000000"/>
              <w:left w:val="single" w:sz="4" w:space="0" w:color="000000"/>
              <w:bottom w:val="single" w:sz="4" w:space="0" w:color="000000"/>
              <w:right w:val="single" w:sz="4" w:space="0" w:color="000000"/>
            </w:tcBorders>
          </w:tcPr>
          <w:p w14:paraId="0000024C"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Treated or monitored</w:t>
            </w:r>
          </w:p>
        </w:tc>
        <w:tc>
          <w:tcPr>
            <w:tcW w:w="7343" w:type="dxa"/>
            <w:tcBorders>
              <w:top w:val="single" w:sz="4" w:space="0" w:color="000000"/>
              <w:left w:val="single" w:sz="4" w:space="0" w:color="000000"/>
              <w:bottom w:val="single" w:sz="4" w:space="0" w:color="000000"/>
              <w:right w:val="single" w:sz="4" w:space="0" w:color="000000"/>
            </w:tcBorders>
            <w:shd w:val="clear" w:color="auto" w:fill="auto"/>
          </w:tcPr>
          <w:p w14:paraId="0000024D" w14:textId="77777777" w:rsidR="00073819" w:rsidRDefault="0099474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Notes on control implemented</w:t>
            </w:r>
          </w:p>
        </w:tc>
      </w:tr>
      <w:tr w:rsidR="00073819" w14:paraId="26D5A692"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4E"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 xml:space="preserve">Agrostis </w:t>
            </w:r>
            <w:proofErr w:type="spellStart"/>
            <w:r>
              <w:rPr>
                <w:rFonts w:ascii="Times New Roman" w:eastAsia="Times New Roman" w:hAnsi="Times New Roman" w:cs="Times New Roman"/>
                <w:i/>
                <w:color w:val="000000"/>
                <w:sz w:val="20"/>
                <w:szCs w:val="20"/>
              </w:rPr>
              <w:t>castellana</w:t>
            </w:r>
            <w:proofErr w:type="spellEnd"/>
            <w:r>
              <w:rPr>
                <w:rFonts w:ascii="Times New Roman" w:eastAsia="Times New Roman" w:hAnsi="Times New Roman" w:cs="Times New Roman"/>
                <w:i/>
                <w:color w:val="000000"/>
                <w:sz w:val="20"/>
                <w:szCs w:val="20"/>
              </w:rPr>
              <w:t xml:space="preserve"> </w:t>
            </w:r>
          </w:p>
        </w:tc>
        <w:tc>
          <w:tcPr>
            <w:tcW w:w="1276" w:type="dxa"/>
            <w:tcBorders>
              <w:top w:val="nil"/>
              <w:left w:val="nil"/>
              <w:bottom w:val="single" w:sz="4" w:space="0" w:color="000000"/>
              <w:right w:val="single" w:sz="4" w:space="0" w:color="000000"/>
            </w:tcBorders>
            <w:shd w:val="clear" w:color="auto" w:fill="auto"/>
          </w:tcPr>
          <w:p w14:paraId="0000024F"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bent grass</w:t>
            </w:r>
          </w:p>
        </w:tc>
        <w:tc>
          <w:tcPr>
            <w:tcW w:w="1275" w:type="dxa"/>
            <w:tcBorders>
              <w:top w:val="nil"/>
              <w:left w:val="single" w:sz="4" w:space="0" w:color="000000"/>
              <w:bottom w:val="single" w:sz="4" w:space="0" w:color="000000"/>
              <w:right w:val="single" w:sz="4" w:space="0" w:color="000000"/>
            </w:tcBorders>
            <w:shd w:val="clear" w:color="auto" w:fill="auto"/>
          </w:tcPr>
          <w:p w14:paraId="00000250"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Eradication target (PEI) </w:t>
            </w:r>
            <w:r>
              <w:rPr>
                <w:rFonts w:ascii="Times New Roman" w:eastAsia="Times New Roman" w:hAnsi="Times New Roman" w:cs="Times New Roman"/>
                <w:color w:val="000000"/>
                <w:sz w:val="20"/>
                <w:szCs w:val="20"/>
              </w:rPr>
              <w:br/>
              <w:t>Management target (MI)</w:t>
            </w:r>
          </w:p>
        </w:tc>
        <w:tc>
          <w:tcPr>
            <w:tcW w:w="1531" w:type="dxa"/>
            <w:tcBorders>
              <w:top w:val="single" w:sz="4" w:space="0" w:color="000000"/>
              <w:left w:val="single" w:sz="4" w:space="0" w:color="000000"/>
              <w:bottom w:val="single" w:sz="4" w:space="0" w:color="000000"/>
              <w:right w:val="single" w:sz="4" w:space="0" w:color="000000"/>
            </w:tcBorders>
          </w:tcPr>
          <w:p w14:paraId="00000251"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Present but not naturalised</w:t>
            </w:r>
          </w:p>
        </w:tc>
        <w:tc>
          <w:tcPr>
            <w:tcW w:w="1304" w:type="dxa"/>
            <w:tcBorders>
              <w:top w:val="single" w:sz="4" w:space="0" w:color="000000"/>
              <w:left w:val="single" w:sz="4" w:space="0" w:color="000000"/>
              <w:bottom w:val="single" w:sz="4" w:space="0" w:color="000000"/>
              <w:right w:val="single" w:sz="4" w:space="0" w:color="000000"/>
            </w:tcBorders>
          </w:tcPr>
          <w:p w14:paraId="00000252"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53"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xml:space="preserve">Inflorescences are cut and bagged, and the remaining parts of the plants sprayed with herbicide (Debbie Muir pers. comm. 22 May 2023). However, the form of </w:t>
            </w:r>
            <w:r>
              <w:rPr>
                <w:rFonts w:ascii="Times New Roman" w:eastAsia="Times New Roman" w:hAnsi="Times New Roman" w:cs="Times New Roman"/>
                <w:i/>
                <w:sz w:val="20"/>
                <w:szCs w:val="20"/>
              </w:rPr>
              <w:t>A</w:t>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i/>
                <w:sz w:val="20"/>
                <w:szCs w:val="20"/>
              </w:rPr>
              <w:t>castellana</w:t>
            </w:r>
            <w:proofErr w:type="spellEnd"/>
            <w:r>
              <w:rPr>
                <w:rFonts w:ascii="Times New Roman" w:eastAsia="Times New Roman" w:hAnsi="Times New Roman" w:cs="Times New Roman"/>
                <w:sz w:val="20"/>
                <w:szCs w:val="20"/>
              </w:rPr>
              <w:t xml:space="preserve"> occurring on MI is very difficult to distinguish from </w:t>
            </w:r>
            <w:r>
              <w:rPr>
                <w:rFonts w:ascii="Times New Roman" w:eastAsia="Times New Roman" w:hAnsi="Times New Roman" w:cs="Times New Roman"/>
                <w:i/>
                <w:sz w:val="20"/>
                <w:szCs w:val="20"/>
              </w:rPr>
              <w:t>A. stolonifera</w:t>
            </w:r>
            <w:r>
              <w:rPr>
                <w:rFonts w:ascii="Times New Roman" w:eastAsia="Times New Roman" w:hAnsi="Times New Roman" w:cs="Times New Roman"/>
                <w:sz w:val="20"/>
                <w:szCs w:val="20"/>
              </w:rPr>
              <w:t>, and further efforts are required to clarify the distribution of this species, likely supplemented with DNA barcoding as a means to validate identification based on morphology.</w:t>
            </w:r>
          </w:p>
        </w:tc>
      </w:tr>
      <w:tr w:rsidR="00073819" w14:paraId="6D63F565"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54"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i/>
                <w:color w:val="000000"/>
                <w:sz w:val="20"/>
                <w:szCs w:val="20"/>
              </w:rPr>
              <w:t>Agrostis gigantea</w:t>
            </w:r>
            <w:r>
              <w:rPr>
                <w:rFonts w:ascii="Times New Roman" w:eastAsia="Times New Roman" w:hAnsi="Times New Roman" w:cs="Times New Roman"/>
                <w:color w:val="000000"/>
                <w:sz w:val="20"/>
                <w:szCs w:val="20"/>
              </w:rPr>
              <w:t xml:space="preserve"> </w:t>
            </w:r>
          </w:p>
        </w:tc>
        <w:tc>
          <w:tcPr>
            <w:tcW w:w="1276" w:type="dxa"/>
            <w:tcBorders>
              <w:top w:val="nil"/>
              <w:left w:val="nil"/>
              <w:bottom w:val="single" w:sz="4" w:space="0" w:color="000000"/>
              <w:right w:val="single" w:sz="4" w:space="0" w:color="000000"/>
            </w:tcBorders>
            <w:shd w:val="clear" w:color="auto" w:fill="auto"/>
          </w:tcPr>
          <w:p w14:paraId="00000255"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black bent grass</w:t>
            </w:r>
          </w:p>
        </w:tc>
        <w:tc>
          <w:tcPr>
            <w:tcW w:w="1275" w:type="dxa"/>
            <w:tcBorders>
              <w:top w:val="nil"/>
              <w:left w:val="single" w:sz="4" w:space="0" w:color="000000"/>
              <w:bottom w:val="single" w:sz="4" w:space="0" w:color="000000"/>
              <w:right w:val="single" w:sz="4" w:space="0" w:color="000000"/>
            </w:tcBorders>
            <w:shd w:val="clear" w:color="auto" w:fill="auto"/>
          </w:tcPr>
          <w:p w14:paraId="00000256"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57"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Naturalised but not invasive</w:t>
            </w:r>
          </w:p>
        </w:tc>
        <w:tc>
          <w:tcPr>
            <w:tcW w:w="1304" w:type="dxa"/>
            <w:tcBorders>
              <w:top w:val="single" w:sz="4" w:space="0" w:color="000000"/>
              <w:left w:val="single" w:sz="4" w:space="0" w:color="000000"/>
              <w:bottom w:val="single" w:sz="4" w:space="0" w:color="000000"/>
              <w:right w:val="single" w:sz="4" w:space="0" w:color="000000"/>
            </w:tcBorders>
          </w:tcPr>
          <w:p w14:paraId="00000258"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59"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xml:space="preserve">Mechanical removal of aboveground biomass and herbicide application (Glyphosate; 2.5% Kilo Max) </w:t>
            </w:r>
          </w:p>
        </w:tc>
      </w:tr>
      <w:tr w:rsidR="00073819" w14:paraId="2ECA1309"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5A"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Agrostis stolonifera</w:t>
            </w:r>
          </w:p>
        </w:tc>
        <w:tc>
          <w:tcPr>
            <w:tcW w:w="1276" w:type="dxa"/>
            <w:tcBorders>
              <w:top w:val="nil"/>
              <w:left w:val="nil"/>
              <w:bottom w:val="single" w:sz="4" w:space="0" w:color="000000"/>
              <w:right w:val="single" w:sz="4" w:space="0" w:color="000000"/>
            </w:tcBorders>
            <w:shd w:val="clear" w:color="auto" w:fill="auto"/>
          </w:tcPr>
          <w:p w14:paraId="0000025B"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creeping bent grass</w:t>
            </w:r>
          </w:p>
        </w:tc>
        <w:tc>
          <w:tcPr>
            <w:tcW w:w="1275" w:type="dxa"/>
            <w:tcBorders>
              <w:top w:val="nil"/>
              <w:left w:val="single" w:sz="4" w:space="0" w:color="000000"/>
              <w:bottom w:val="single" w:sz="4" w:space="0" w:color="000000"/>
              <w:right w:val="single" w:sz="4" w:space="0" w:color="000000"/>
            </w:tcBorders>
            <w:shd w:val="clear" w:color="auto" w:fill="auto"/>
          </w:tcPr>
          <w:p w14:paraId="0000025C"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Eradication target (PEI) </w:t>
            </w:r>
            <w:r>
              <w:rPr>
                <w:rFonts w:ascii="Times New Roman" w:eastAsia="Times New Roman" w:hAnsi="Times New Roman" w:cs="Times New Roman"/>
                <w:color w:val="000000"/>
                <w:sz w:val="20"/>
                <w:szCs w:val="20"/>
              </w:rPr>
              <w:br/>
              <w:t>Management target (MI)</w:t>
            </w:r>
          </w:p>
        </w:tc>
        <w:tc>
          <w:tcPr>
            <w:tcW w:w="1531" w:type="dxa"/>
            <w:tcBorders>
              <w:top w:val="single" w:sz="4" w:space="0" w:color="000000"/>
              <w:left w:val="single" w:sz="4" w:space="0" w:color="000000"/>
              <w:bottom w:val="single" w:sz="4" w:space="0" w:color="000000"/>
              <w:right w:val="single" w:sz="4" w:space="0" w:color="000000"/>
            </w:tcBorders>
          </w:tcPr>
          <w:p w14:paraId="0000025D"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Invasive</w:t>
            </w:r>
          </w:p>
        </w:tc>
        <w:tc>
          <w:tcPr>
            <w:tcW w:w="1304" w:type="dxa"/>
            <w:tcBorders>
              <w:top w:val="single" w:sz="4" w:space="0" w:color="000000"/>
              <w:left w:val="single" w:sz="4" w:space="0" w:color="000000"/>
              <w:bottom w:val="single" w:sz="4" w:space="0" w:color="000000"/>
              <w:right w:val="single" w:sz="4" w:space="0" w:color="000000"/>
            </w:tcBorders>
          </w:tcPr>
          <w:p w14:paraId="0000025E"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No</w:t>
            </w:r>
          </w:p>
        </w:tc>
        <w:tc>
          <w:tcPr>
            <w:tcW w:w="7343" w:type="dxa"/>
            <w:tcBorders>
              <w:top w:val="nil"/>
              <w:left w:val="single" w:sz="4" w:space="0" w:color="000000"/>
              <w:bottom w:val="single" w:sz="4" w:space="0" w:color="000000"/>
              <w:right w:val="single" w:sz="4" w:space="0" w:color="000000"/>
            </w:tcBorders>
            <w:shd w:val="clear" w:color="auto" w:fill="auto"/>
          </w:tcPr>
          <w:p w14:paraId="0000025F"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None implemented (successful eradication deemed unfeasible; Greve et al. 2017)</w:t>
            </w:r>
          </w:p>
        </w:tc>
      </w:tr>
      <w:tr w:rsidR="00073819" w14:paraId="1949171D"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60"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sz w:val="20"/>
                <w:szCs w:val="20"/>
              </w:rPr>
              <w:t xml:space="preserve">Alopecurus </w:t>
            </w:r>
            <w:proofErr w:type="spellStart"/>
            <w:r>
              <w:rPr>
                <w:rFonts w:ascii="Times New Roman" w:eastAsia="Times New Roman" w:hAnsi="Times New Roman" w:cs="Times New Roman"/>
                <w:i/>
                <w:sz w:val="20"/>
                <w:szCs w:val="20"/>
              </w:rPr>
              <w:t>geniculatus</w:t>
            </w:r>
            <w:proofErr w:type="spellEnd"/>
          </w:p>
        </w:tc>
        <w:tc>
          <w:tcPr>
            <w:tcW w:w="1276" w:type="dxa"/>
            <w:tcBorders>
              <w:top w:val="nil"/>
              <w:left w:val="nil"/>
              <w:bottom w:val="single" w:sz="4" w:space="0" w:color="000000"/>
              <w:right w:val="single" w:sz="4" w:space="0" w:color="000000"/>
            </w:tcBorders>
            <w:shd w:val="clear" w:color="auto" w:fill="auto"/>
          </w:tcPr>
          <w:p w14:paraId="00000261"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marsh foxtail</w:t>
            </w:r>
          </w:p>
        </w:tc>
        <w:tc>
          <w:tcPr>
            <w:tcW w:w="1275" w:type="dxa"/>
            <w:tcBorders>
              <w:top w:val="nil"/>
              <w:left w:val="single" w:sz="4" w:space="0" w:color="000000"/>
              <w:bottom w:val="single" w:sz="4" w:space="0" w:color="000000"/>
              <w:right w:val="single" w:sz="4" w:space="0" w:color="000000"/>
            </w:tcBorders>
            <w:shd w:val="clear" w:color="auto" w:fill="auto"/>
          </w:tcPr>
          <w:p w14:paraId="00000262"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63"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Doubtful (eradication to be confirmed)</w:t>
            </w:r>
          </w:p>
        </w:tc>
        <w:tc>
          <w:tcPr>
            <w:tcW w:w="1304" w:type="dxa"/>
            <w:tcBorders>
              <w:top w:val="single" w:sz="4" w:space="0" w:color="000000"/>
              <w:left w:val="single" w:sz="4" w:space="0" w:color="000000"/>
              <w:bottom w:val="single" w:sz="4" w:space="0" w:color="000000"/>
              <w:right w:val="single" w:sz="4" w:space="0" w:color="000000"/>
            </w:tcBorders>
          </w:tcPr>
          <w:p w14:paraId="00000264"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65"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Manual removal was conducted; assumed to be no longer present since 2012 (Greve et al. 2017)</w:t>
            </w:r>
          </w:p>
        </w:tc>
      </w:tr>
      <w:tr w:rsidR="00073819" w14:paraId="24087B05"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66" w14:textId="77777777" w:rsidR="00073819" w:rsidRDefault="0099474B">
            <w:pPr>
              <w:rPr>
                <w:rFonts w:ascii="Times New Roman" w:eastAsia="Times New Roman" w:hAnsi="Times New Roman" w:cs="Times New Roman"/>
                <w:i/>
                <w:color w:val="000000"/>
                <w:sz w:val="20"/>
                <w:szCs w:val="20"/>
              </w:rPr>
            </w:pPr>
            <w:proofErr w:type="spellStart"/>
            <w:r>
              <w:rPr>
                <w:rFonts w:ascii="Times New Roman" w:eastAsia="Times New Roman" w:hAnsi="Times New Roman" w:cs="Times New Roman"/>
                <w:i/>
                <w:color w:val="000000"/>
                <w:sz w:val="20"/>
                <w:szCs w:val="20"/>
              </w:rPr>
              <w:t>Cerastium</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fontanum</w:t>
            </w:r>
            <w:proofErr w:type="spellEnd"/>
          </w:p>
        </w:tc>
        <w:tc>
          <w:tcPr>
            <w:tcW w:w="1276" w:type="dxa"/>
            <w:tcBorders>
              <w:top w:val="nil"/>
              <w:left w:val="nil"/>
              <w:bottom w:val="single" w:sz="4" w:space="0" w:color="000000"/>
              <w:right w:val="single" w:sz="4" w:space="0" w:color="000000"/>
            </w:tcBorders>
            <w:shd w:val="clear" w:color="auto" w:fill="auto"/>
          </w:tcPr>
          <w:p w14:paraId="00000267"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common mouse-ear chickweed</w:t>
            </w:r>
          </w:p>
        </w:tc>
        <w:tc>
          <w:tcPr>
            <w:tcW w:w="1275" w:type="dxa"/>
            <w:tcBorders>
              <w:top w:val="nil"/>
              <w:left w:val="single" w:sz="4" w:space="0" w:color="000000"/>
              <w:bottom w:val="single" w:sz="4" w:space="0" w:color="000000"/>
              <w:right w:val="single" w:sz="4" w:space="0" w:color="000000"/>
            </w:tcBorders>
            <w:shd w:val="clear" w:color="auto" w:fill="auto"/>
          </w:tcPr>
          <w:p w14:paraId="00000268"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Management target</w:t>
            </w:r>
          </w:p>
        </w:tc>
        <w:tc>
          <w:tcPr>
            <w:tcW w:w="1531" w:type="dxa"/>
            <w:tcBorders>
              <w:top w:val="single" w:sz="4" w:space="0" w:color="000000"/>
              <w:left w:val="single" w:sz="4" w:space="0" w:color="000000"/>
              <w:bottom w:val="single" w:sz="4" w:space="0" w:color="000000"/>
              <w:right w:val="single" w:sz="4" w:space="0" w:color="000000"/>
            </w:tcBorders>
          </w:tcPr>
          <w:p w14:paraId="00000269"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Invasive</w:t>
            </w:r>
          </w:p>
        </w:tc>
        <w:tc>
          <w:tcPr>
            <w:tcW w:w="1304" w:type="dxa"/>
            <w:tcBorders>
              <w:top w:val="single" w:sz="4" w:space="0" w:color="000000"/>
              <w:left w:val="single" w:sz="4" w:space="0" w:color="000000"/>
              <w:bottom w:val="single" w:sz="4" w:space="0" w:color="000000"/>
              <w:right w:val="single" w:sz="4" w:space="0" w:color="000000"/>
            </w:tcBorders>
          </w:tcPr>
          <w:p w14:paraId="0000026A"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No</w:t>
            </w:r>
          </w:p>
        </w:tc>
        <w:tc>
          <w:tcPr>
            <w:tcW w:w="7343" w:type="dxa"/>
            <w:tcBorders>
              <w:top w:val="nil"/>
              <w:left w:val="single" w:sz="4" w:space="0" w:color="000000"/>
              <w:bottom w:val="single" w:sz="4" w:space="0" w:color="000000"/>
              <w:right w:val="single" w:sz="4" w:space="0" w:color="000000"/>
            </w:tcBorders>
            <w:shd w:val="clear" w:color="auto" w:fill="auto"/>
          </w:tcPr>
          <w:p w14:paraId="0000026B"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None implemented because it is widespread (Greve et al. 2017; DEA and DST-NRF CIB 2021)</w:t>
            </w:r>
          </w:p>
        </w:tc>
      </w:tr>
      <w:tr w:rsidR="00073819" w14:paraId="16E23CCD"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6C"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i/>
                <w:sz w:val="20"/>
                <w:szCs w:val="20"/>
              </w:rPr>
              <w:t>Elymus repens</w:t>
            </w:r>
            <w:r>
              <w:rPr>
                <w:rFonts w:ascii="Times New Roman" w:eastAsia="Times New Roman" w:hAnsi="Times New Roman" w:cs="Times New Roman"/>
                <w:sz w:val="20"/>
                <w:szCs w:val="20"/>
                <w:vertAlign w:val="superscript"/>
              </w:rPr>
              <w:footnoteReference w:id="1"/>
            </w:r>
          </w:p>
        </w:tc>
        <w:tc>
          <w:tcPr>
            <w:tcW w:w="1276" w:type="dxa"/>
            <w:tcBorders>
              <w:top w:val="nil"/>
              <w:left w:val="nil"/>
              <w:bottom w:val="single" w:sz="4" w:space="0" w:color="000000"/>
              <w:right w:val="single" w:sz="4" w:space="0" w:color="000000"/>
            </w:tcBorders>
            <w:shd w:val="clear" w:color="auto" w:fill="auto"/>
          </w:tcPr>
          <w:p w14:paraId="0000026D"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couch grass</w:t>
            </w:r>
          </w:p>
        </w:tc>
        <w:tc>
          <w:tcPr>
            <w:tcW w:w="1275" w:type="dxa"/>
            <w:tcBorders>
              <w:top w:val="nil"/>
              <w:left w:val="single" w:sz="4" w:space="0" w:color="000000"/>
              <w:bottom w:val="single" w:sz="4" w:space="0" w:color="000000"/>
              <w:right w:val="single" w:sz="4" w:space="0" w:color="000000"/>
            </w:tcBorders>
            <w:shd w:val="clear" w:color="auto" w:fill="auto"/>
          </w:tcPr>
          <w:p w14:paraId="0000026E"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6F"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Naturalised not invasive</w:t>
            </w:r>
          </w:p>
        </w:tc>
        <w:tc>
          <w:tcPr>
            <w:tcW w:w="1304" w:type="dxa"/>
            <w:tcBorders>
              <w:top w:val="single" w:sz="4" w:space="0" w:color="000000"/>
              <w:left w:val="single" w:sz="4" w:space="0" w:color="000000"/>
              <w:bottom w:val="single" w:sz="4" w:space="0" w:color="000000"/>
              <w:right w:val="single" w:sz="4" w:space="0" w:color="000000"/>
            </w:tcBorders>
          </w:tcPr>
          <w:p w14:paraId="00000270"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71"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Mechanical removal of aboveground biomass and herbicide application (Glyphosate; 2.5% Kilo Max 700g/kg)</w:t>
            </w:r>
            <w:r>
              <w:rPr>
                <w:rFonts w:ascii="Times New Roman" w:eastAsia="Times New Roman" w:hAnsi="Times New Roman" w:cs="Times New Roman"/>
                <w:color w:val="000000"/>
                <w:sz w:val="20"/>
                <w:szCs w:val="20"/>
              </w:rPr>
              <w:t> </w:t>
            </w:r>
          </w:p>
        </w:tc>
      </w:tr>
      <w:tr w:rsidR="00073819" w14:paraId="00433CAC" w14:textId="77777777">
        <w:trPr>
          <w:cantSplit/>
          <w:trHeight w:val="283"/>
        </w:trPr>
        <w:tc>
          <w:tcPr>
            <w:tcW w:w="1305" w:type="dxa"/>
            <w:tcBorders>
              <w:top w:val="nil"/>
              <w:left w:val="single" w:sz="4" w:space="0" w:color="000000"/>
              <w:bottom w:val="single" w:sz="4" w:space="0" w:color="000000"/>
              <w:right w:val="single" w:sz="4" w:space="0" w:color="000000"/>
            </w:tcBorders>
            <w:shd w:val="clear" w:color="auto" w:fill="auto"/>
          </w:tcPr>
          <w:p w14:paraId="00000272"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Festuca rubra</w:t>
            </w:r>
          </w:p>
        </w:tc>
        <w:tc>
          <w:tcPr>
            <w:tcW w:w="1276" w:type="dxa"/>
            <w:tcBorders>
              <w:top w:val="nil"/>
              <w:left w:val="nil"/>
              <w:bottom w:val="single" w:sz="4" w:space="0" w:color="000000"/>
              <w:right w:val="single" w:sz="4" w:space="0" w:color="000000"/>
            </w:tcBorders>
            <w:shd w:val="clear" w:color="auto" w:fill="auto"/>
          </w:tcPr>
          <w:p w14:paraId="00000273"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creeping red fescue</w:t>
            </w:r>
          </w:p>
        </w:tc>
        <w:tc>
          <w:tcPr>
            <w:tcW w:w="1275" w:type="dxa"/>
            <w:tcBorders>
              <w:top w:val="nil"/>
              <w:left w:val="single" w:sz="4" w:space="0" w:color="000000"/>
              <w:bottom w:val="single" w:sz="4" w:space="0" w:color="000000"/>
              <w:right w:val="single" w:sz="4" w:space="0" w:color="000000"/>
            </w:tcBorders>
            <w:shd w:val="clear" w:color="auto" w:fill="auto"/>
          </w:tcPr>
          <w:p w14:paraId="00000274"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75"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Naturalised not invasive</w:t>
            </w:r>
          </w:p>
        </w:tc>
        <w:tc>
          <w:tcPr>
            <w:tcW w:w="1304" w:type="dxa"/>
            <w:tcBorders>
              <w:top w:val="single" w:sz="4" w:space="0" w:color="000000"/>
              <w:left w:val="single" w:sz="4" w:space="0" w:color="000000"/>
              <w:bottom w:val="single" w:sz="4" w:space="0" w:color="000000"/>
              <w:right w:val="single" w:sz="4" w:space="0" w:color="000000"/>
            </w:tcBorders>
          </w:tcPr>
          <w:p w14:paraId="00000276"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77"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Herbicide application (Glyphosate; 2.5 Kilo Max) </w:t>
            </w:r>
          </w:p>
        </w:tc>
      </w:tr>
      <w:tr w:rsidR="00073819" w14:paraId="2E7B4ECE" w14:textId="77777777">
        <w:trPr>
          <w:cantSplit/>
          <w:trHeight w:val="283"/>
        </w:trPr>
        <w:tc>
          <w:tcPr>
            <w:tcW w:w="1305" w:type="dxa"/>
            <w:tcBorders>
              <w:top w:val="nil"/>
              <w:left w:val="single" w:sz="4" w:space="0" w:color="000000"/>
              <w:bottom w:val="single" w:sz="4" w:space="0" w:color="000000"/>
              <w:right w:val="single" w:sz="4" w:space="0" w:color="000000"/>
            </w:tcBorders>
            <w:shd w:val="clear" w:color="auto" w:fill="auto"/>
          </w:tcPr>
          <w:p w14:paraId="00000278" w14:textId="77777777" w:rsidR="00073819" w:rsidRDefault="0099474B">
            <w:pPr>
              <w:rPr>
                <w:rFonts w:ascii="Times New Roman" w:eastAsia="Times New Roman" w:hAnsi="Times New Roman" w:cs="Times New Roman"/>
                <w:i/>
                <w:color w:val="000000"/>
                <w:sz w:val="20"/>
                <w:szCs w:val="20"/>
              </w:rPr>
            </w:pPr>
            <w:proofErr w:type="spellStart"/>
            <w:r>
              <w:rPr>
                <w:rFonts w:ascii="Times New Roman" w:eastAsia="Times New Roman" w:hAnsi="Times New Roman" w:cs="Times New Roman"/>
                <w:i/>
                <w:sz w:val="20"/>
                <w:szCs w:val="20"/>
              </w:rPr>
              <w:t>Holcus</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lanatus</w:t>
            </w:r>
            <w:proofErr w:type="spellEnd"/>
          </w:p>
        </w:tc>
        <w:tc>
          <w:tcPr>
            <w:tcW w:w="1276" w:type="dxa"/>
            <w:tcBorders>
              <w:top w:val="nil"/>
              <w:left w:val="nil"/>
              <w:bottom w:val="single" w:sz="4" w:space="0" w:color="000000"/>
              <w:right w:val="single" w:sz="4" w:space="0" w:color="000000"/>
            </w:tcBorders>
            <w:shd w:val="clear" w:color="auto" w:fill="auto"/>
          </w:tcPr>
          <w:p w14:paraId="00000279"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common velvet grass</w:t>
            </w:r>
          </w:p>
        </w:tc>
        <w:tc>
          <w:tcPr>
            <w:tcW w:w="1275" w:type="dxa"/>
            <w:tcBorders>
              <w:top w:val="nil"/>
              <w:left w:val="single" w:sz="4" w:space="0" w:color="000000"/>
              <w:bottom w:val="single" w:sz="4" w:space="0" w:color="000000"/>
              <w:right w:val="single" w:sz="4" w:space="0" w:color="000000"/>
            </w:tcBorders>
            <w:shd w:val="clear" w:color="auto" w:fill="auto"/>
          </w:tcPr>
          <w:p w14:paraId="0000027A"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Not listed</w:t>
            </w:r>
          </w:p>
        </w:tc>
        <w:tc>
          <w:tcPr>
            <w:tcW w:w="1531" w:type="dxa"/>
            <w:tcBorders>
              <w:top w:val="single" w:sz="4" w:space="0" w:color="000000"/>
              <w:left w:val="single" w:sz="4" w:space="0" w:color="000000"/>
              <w:bottom w:val="single" w:sz="4" w:space="0" w:color="000000"/>
              <w:right w:val="single" w:sz="4" w:space="0" w:color="000000"/>
            </w:tcBorders>
          </w:tcPr>
          <w:p w14:paraId="0000027B"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Doubtful (eradication to be confirmed)</w:t>
            </w:r>
          </w:p>
        </w:tc>
        <w:tc>
          <w:tcPr>
            <w:tcW w:w="1304" w:type="dxa"/>
            <w:tcBorders>
              <w:top w:val="single" w:sz="4" w:space="0" w:color="000000"/>
              <w:left w:val="single" w:sz="4" w:space="0" w:color="000000"/>
              <w:bottom w:val="single" w:sz="4" w:space="0" w:color="000000"/>
              <w:right w:val="single" w:sz="4" w:space="0" w:color="000000"/>
            </w:tcBorders>
          </w:tcPr>
          <w:p w14:paraId="0000027C"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7D"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species was manually removed in 2012, site and surrounding areas have been monitored monthly since removal to detect any regrowth or new plants </w:t>
            </w:r>
          </w:p>
        </w:tc>
      </w:tr>
      <w:tr w:rsidR="00073819" w14:paraId="4B8AF0C8" w14:textId="77777777">
        <w:trPr>
          <w:cantSplit/>
          <w:trHeight w:val="283"/>
        </w:trPr>
        <w:tc>
          <w:tcPr>
            <w:tcW w:w="1305" w:type="dxa"/>
            <w:tcBorders>
              <w:top w:val="nil"/>
              <w:left w:val="single" w:sz="4" w:space="0" w:color="000000"/>
              <w:bottom w:val="single" w:sz="4" w:space="0" w:color="000000"/>
              <w:right w:val="single" w:sz="4" w:space="0" w:color="000000"/>
            </w:tcBorders>
            <w:shd w:val="clear" w:color="auto" w:fill="auto"/>
          </w:tcPr>
          <w:p w14:paraId="0000027E" w14:textId="77777777" w:rsidR="00073819" w:rsidRDefault="0099474B">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lastRenderedPageBreak/>
              <w:t xml:space="preserve">Juncus </w:t>
            </w:r>
            <w:r>
              <w:rPr>
                <w:rFonts w:ascii="Times New Roman" w:eastAsia="Times New Roman" w:hAnsi="Times New Roman" w:cs="Times New Roman"/>
                <w:sz w:val="20"/>
                <w:szCs w:val="20"/>
              </w:rPr>
              <w:t xml:space="preserve">cf. </w:t>
            </w:r>
            <w:r>
              <w:rPr>
                <w:rFonts w:ascii="Times New Roman" w:eastAsia="Times New Roman" w:hAnsi="Times New Roman" w:cs="Times New Roman"/>
                <w:i/>
                <w:sz w:val="20"/>
                <w:szCs w:val="20"/>
              </w:rPr>
              <w:t>effusus</w:t>
            </w:r>
          </w:p>
        </w:tc>
        <w:tc>
          <w:tcPr>
            <w:tcW w:w="1276" w:type="dxa"/>
            <w:tcBorders>
              <w:top w:val="nil"/>
              <w:left w:val="nil"/>
              <w:bottom w:val="single" w:sz="4" w:space="0" w:color="000000"/>
              <w:right w:val="single" w:sz="4" w:space="0" w:color="000000"/>
            </w:tcBorders>
            <w:shd w:val="clear" w:color="auto" w:fill="auto"/>
          </w:tcPr>
          <w:p w14:paraId="0000027F"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common rush</w:t>
            </w:r>
          </w:p>
        </w:tc>
        <w:tc>
          <w:tcPr>
            <w:tcW w:w="1275" w:type="dxa"/>
            <w:tcBorders>
              <w:top w:val="nil"/>
              <w:left w:val="single" w:sz="4" w:space="0" w:color="000000"/>
              <w:bottom w:val="single" w:sz="4" w:space="0" w:color="000000"/>
              <w:right w:val="single" w:sz="4" w:space="0" w:color="000000"/>
            </w:tcBorders>
            <w:shd w:val="clear" w:color="auto" w:fill="auto"/>
          </w:tcPr>
          <w:p w14:paraId="00000280"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Not listed</w:t>
            </w:r>
          </w:p>
        </w:tc>
        <w:tc>
          <w:tcPr>
            <w:tcW w:w="1531" w:type="dxa"/>
            <w:tcBorders>
              <w:top w:val="single" w:sz="4" w:space="0" w:color="000000"/>
              <w:left w:val="single" w:sz="4" w:space="0" w:color="000000"/>
              <w:bottom w:val="single" w:sz="4" w:space="0" w:color="000000"/>
              <w:right w:val="single" w:sz="4" w:space="0" w:color="000000"/>
            </w:tcBorders>
          </w:tcPr>
          <w:p w14:paraId="00000281"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Present</w:t>
            </w:r>
          </w:p>
        </w:tc>
        <w:tc>
          <w:tcPr>
            <w:tcW w:w="1304" w:type="dxa"/>
            <w:tcBorders>
              <w:top w:val="single" w:sz="4" w:space="0" w:color="000000"/>
              <w:left w:val="single" w:sz="4" w:space="0" w:color="000000"/>
              <w:bottom w:val="single" w:sz="4" w:space="0" w:color="000000"/>
              <w:right w:val="single" w:sz="4" w:space="0" w:color="000000"/>
            </w:tcBorders>
          </w:tcPr>
          <w:p w14:paraId="00000282"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bottom w:val="single" w:sz="4" w:space="0" w:color="000000"/>
              <w:right w:val="single" w:sz="4" w:space="0" w:color="000000"/>
            </w:tcBorders>
            <w:shd w:val="clear" w:color="auto" w:fill="auto"/>
          </w:tcPr>
          <w:p w14:paraId="00000283"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It was thought to have been eradicated in 2022 (Debbie Muir, pers. comm. 2023), but populations were missed and it was last seen in May 2024 (Michelle Greve pers. obs. 2024). </w:t>
            </w:r>
          </w:p>
          <w:p w14:paraId="00000284" w14:textId="77777777" w:rsidR="00073819" w:rsidRDefault="00073819">
            <w:pPr>
              <w:ind w:firstLine="720"/>
              <w:rPr>
                <w:rFonts w:ascii="Times New Roman" w:eastAsia="Times New Roman" w:hAnsi="Times New Roman" w:cs="Times New Roman"/>
                <w:sz w:val="20"/>
                <w:szCs w:val="20"/>
              </w:rPr>
            </w:pPr>
          </w:p>
        </w:tc>
      </w:tr>
      <w:tr w:rsidR="00073819" w14:paraId="2C43F682"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85" w14:textId="77777777" w:rsidR="00073819" w:rsidRDefault="0099474B">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i/>
                <w:color w:val="000000"/>
                <w:sz w:val="20"/>
                <w:szCs w:val="20"/>
              </w:rPr>
              <w:t>Luzula</w:t>
            </w:r>
            <w:proofErr w:type="spellEnd"/>
            <w:r>
              <w:rPr>
                <w:rFonts w:ascii="Times New Roman" w:eastAsia="Times New Roman" w:hAnsi="Times New Roman" w:cs="Times New Roman"/>
                <w:i/>
                <w:color w:val="000000"/>
                <w:sz w:val="20"/>
                <w:szCs w:val="20"/>
              </w:rPr>
              <w:t xml:space="preserve"> multiflora</w:t>
            </w:r>
            <w:r>
              <w:rPr>
                <w:rFonts w:ascii="Times New Roman" w:eastAsia="Times New Roman" w:hAnsi="Times New Roman" w:cs="Times New Roman"/>
                <w:color w:val="000000"/>
                <w:sz w:val="20"/>
                <w:szCs w:val="20"/>
              </w:rPr>
              <w:t xml:space="preserve"> </w:t>
            </w:r>
          </w:p>
        </w:tc>
        <w:tc>
          <w:tcPr>
            <w:tcW w:w="1276" w:type="dxa"/>
            <w:tcBorders>
              <w:top w:val="nil"/>
              <w:left w:val="nil"/>
              <w:bottom w:val="single" w:sz="4" w:space="0" w:color="000000"/>
              <w:right w:val="single" w:sz="4" w:space="0" w:color="000000"/>
            </w:tcBorders>
            <w:shd w:val="clear" w:color="auto" w:fill="auto"/>
          </w:tcPr>
          <w:p w14:paraId="00000286"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woodrush</w:t>
            </w:r>
          </w:p>
        </w:tc>
        <w:tc>
          <w:tcPr>
            <w:tcW w:w="1275" w:type="dxa"/>
            <w:tcBorders>
              <w:top w:val="nil"/>
              <w:left w:val="single" w:sz="4" w:space="0" w:color="000000"/>
              <w:bottom w:val="single" w:sz="4" w:space="0" w:color="000000"/>
              <w:right w:val="single" w:sz="4" w:space="0" w:color="000000"/>
            </w:tcBorders>
            <w:shd w:val="clear" w:color="auto" w:fill="auto"/>
          </w:tcPr>
          <w:p w14:paraId="00000287"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88"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Naturalised not invasive</w:t>
            </w:r>
          </w:p>
        </w:tc>
        <w:tc>
          <w:tcPr>
            <w:tcW w:w="1304" w:type="dxa"/>
            <w:tcBorders>
              <w:top w:val="single" w:sz="4" w:space="0" w:color="000000"/>
              <w:left w:val="single" w:sz="4" w:space="0" w:color="000000"/>
              <w:bottom w:val="single" w:sz="4" w:space="0" w:color="000000"/>
              <w:right w:val="single" w:sz="4" w:space="0" w:color="000000"/>
            </w:tcBorders>
          </w:tcPr>
          <w:p w14:paraId="00000289"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top w:val="nil"/>
              <w:left w:val="single" w:sz="4" w:space="0" w:color="000000"/>
              <w:right w:val="single" w:sz="4" w:space="0" w:color="000000"/>
            </w:tcBorders>
            <w:shd w:val="clear" w:color="auto" w:fill="auto"/>
          </w:tcPr>
          <w:p w14:paraId="0000028A"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Herbicide application (Glyphosate; 2.5% Kilo Max). A</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study has been recommended to confirm that it differs from the native subantarctic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species (and so unequivocally alien)</w:t>
            </w:r>
          </w:p>
        </w:tc>
      </w:tr>
      <w:tr w:rsidR="00073819" w14:paraId="4654A880"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8B"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Mus musculus</w:t>
            </w:r>
          </w:p>
        </w:tc>
        <w:tc>
          <w:tcPr>
            <w:tcW w:w="1276" w:type="dxa"/>
            <w:tcBorders>
              <w:top w:val="nil"/>
              <w:left w:val="nil"/>
              <w:bottom w:val="single" w:sz="4" w:space="0" w:color="000000"/>
              <w:right w:val="single" w:sz="4" w:space="0" w:color="000000"/>
            </w:tcBorders>
            <w:shd w:val="clear" w:color="auto" w:fill="auto"/>
          </w:tcPr>
          <w:p w14:paraId="0000028C"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house mouse</w:t>
            </w:r>
          </w:p>
        </w:tc>
        <w:tc>
          <w:tcPr>
            <w:tcW w:w="1275" w:type="dxa"/>
            <w:tcBorders>
              <w:top w:val="nil"/>
              <w:left w:val="single" w:sz="4" w:space="0" w:color="000000"/>
              <w:bottom w:val="single" w:sz="4" w:space="0" w:color="000000"/>
              <w:right w:val="single" w:sz="4" w:space="0" w:color="000000"/>
            </w:tcBorders>
            <w:shd w:val="clear" w:color="auto" w:fill="auto"/>
          </w:tcPr>
          <w:p w14:paraId="0000028D"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 (MI)</w:t>
            </w:r>
          </w:p>
        </w:tc>
        <w:tc>
          <w:tcPr>
            <w:tcW w:w="1531" w:type="dxa"/>
            <w:tcBorders>
              <w:top w:val="single" w:sz="4" w:space="0" w:color="000000"/>
              <w:left w:val="single" w:sz="4" w:space="0" w:color="000000"/>
              <w:bottom w:val="single" w:sz="4" w:space="0" w:color="000000"/>
              <w:right w:val="single" w:sz="4" w:space="0" w:color="000000"/>
            </w:tcBorders>
          </w:tcPr>
          <w:p w14:paraId="0000028E"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Invasive</w:t>
            </w:r>
          </w:p>
        </w:tc>
        <w:tc>
          <w:tcPr>
            <w:tcW w:w="1304" w:type="dxa"/>
            <w:tcBorders>
              <w:top w:val="single" w:sz="4" w:space="0" w:color="000000"/>
              <w:left w:val="single" w:sz="4" w:space="0" w:color="000000"/>
              <w:bottom w:val="single" w:sz="4" w:space="0" w:color="000000"/>
              <w:right w:val="single" w:sz="4" w:space="0" w:color="000000"/>
            </w:tcBorders>
          </w:tcPr>
          <w:p w14:paraId="0000028F"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Yes</w:t>
            </w:r>
          </w:p>
        </w:tc>
        <w:tc>
          <w:tcPr>
            <w:tcW w:w="7343" w:type="dxa"/>
            <w:tcBorders>
              <w:left w:val="single" w:sz="4" w:space="0" w:color="000000"/>
              <w:right w:val="single" w:sz="4" w:space="0" w:color="000000"/>
            </w:tcBorders>
            <w:shd w:val="clear" w:color="auto" w:fill="auto"/>
          </w:tcPr>
          <w:p w14:paraId="00000290"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Baited traps are deployed both outside and inside the base and huts to protect food and human health (</w:t>
            </w:r>
            <w:proofErr w:type="spellStart"/>
            <w:r>
              <w:rPr>
                <w:rFonts w:ascii="Times New Roman" w:eastAsia="Times New Roman" w:hAnsi="Times New Roman" w:cs="Times New Roman"/>
                <w:color w:val="000000"/>
                <w:sz w:val="20"/>
                <w:szCs w:val="20"/>
              </w:rPr>
              <w:t>Wolfaardt</w:t>
            </w:r>
            <w:proofErr w:type="spellEnd"/>
            <w:r>
              <w:rPr>
                <w:rFonts w:ascii="Times New Roman" w:eastAsia="Times New Roman" w:hAnsi="Times New Roman" w:cs="Times New Roman"/>
                <w:color w:val="000000"/>
                <w:sz w:val="20"/>
                <w:szCs w:val="20"/>
              </w:rPr>
              <w:t xml:space="preserve"> pers. comm. 2022). Mice are not yet, otherwise, subject to control, although an eradication</w:t>
            </w:r>
            <w:r>
              <w:rPr>
                <w:rFonts w:ascii="Times New Roman" w:eastAsia="Times New Roman" w:hAnsi="Times New Roman" w:cs="Times New Roman"/>
                <w:sz w:val="20"/>
                <w:szCs w:val="20"/>
              </w:rPr>
              <w:t xml:space="preserve"> is being planned through the ‘Mouse-free Marion Project’, due to start in 2025 if enough funds are raised</w:t>
            </w:r>
          </w:p>
        </w:tc>
      </w:tr>
      <w:tr w:rsidR="00073819" w14:paraId="38D11715"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91"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Poa pratensis</w:t>
            </w:r>
          </w:p>
        </w:tc>
        <w:tc>
          <w:tcPr>
            <w:tcW w:w="1276" w:type="dxa"/>
            <w:tcBorders>
              <w:top w:val="nil"/>
              <w:left w:val="nil"/>
              <w:bottom w:val="single" w:sz="4" w:space="0" w:color="000000"/>
              <w:right w:val="single" w:sz="4" w:space="0" w:color="000000"/>
            </w:tcBorders>
            <w:shd w:val="clear" w:color="auto" w:fill="auto"/>
          </w:tcPr>
          <w:p w14:paraId="00000292"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Kentucky bluegrass</w:t>
            </w:r>
          </w:p>
        </w:tc>
        <w:tc>
          <w:tcPr>
            <w:tcW w:w="1275" w:type="dxa"/>
            <w:tcBorders>
              <w:top w:val="nil"/>
              <w:left w:val="single" w:sz="4" w:space="0" w:color="000000"/>
              <w:bottom w:val="single" w:sz="4" w:space="0" w:color="000000"/>
              <w:right w:val="single" w:sz="4" w:space="0" w:color="000000"/>
            </w:tcBorders>
            <w:shd w:val="clear" w:color="auto" w:fill="auto"/>
          </w:tcPr>
          <w:p w14:paraId="00000293"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Eradication target (PEI) </w:t>
            </w:r>
            <w:r>
              <w:rPr>
                <w:rFonts w:ascii="Times New Roman" w:eastAsia="Times New Roman" w:hAnsi="Times New Roman" w:cs="Times New Roman"/>
                <w:color w:val="000000"/>
                <w:sz w:val="20"/>
                <w:szCs w:val="20"/>
              </w:rPr>
              <w:br/>
              <w:t>Management target (MI)</w:t>
            </w:r>
          </w:p>
        </w:tc>
        <w:tc>
          <w:tcPr>
            <w:tcW w:w="1531" w:type="dxa"/>
            <w:tcBorders>
              <w:top w:val="single" w:sz="4" w:space="0" w:color="000000"/>
              <w:left w:val="single" w:sz="4" w:space="0" w:color="000000"/>
              <w:bottom w:val="single" w:sz="4" w:space="0" w:color="000000"/>
              <w:right w:val="single" w:sz="4" w:space="0" w:color="000000"/>
            </w:tcBorders>
          </w:tcPr>
          <w:p w14:paraId="00000294"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Invasive</w:t>
            </w:r>
          </w:p>
        </w:tc>
        <w:tc>
          <w:tcPr>
            <w:tcW w:w="1304" w:type="dxa"/>
            <w:tcBorders>
              <w:top w:val="single" w:sz="4" w:space="0" w:color="000000"/>
              <w:left w:val="single" w:sz="4" w:space="0" w:color="000000"/>
              <w:bottom w:val="single" w:sz="4" w:space="0" w:color="000000"/>
              <w:right w:val="single" w:sz="4" w:space="0" w:color="000000"/>
            </w:tcBorders>
          </w:tcPr>
          <w:p w14:paraId="00000295"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No</w:t>
            </w:r>
          </w:p>
        </w:tc>
        <w:tc>
          <w:tcPr>
            <w:tcW w:w="7343" w:type="dxa"/>
            <w:tcBorders>
              <w:left w:val="single" w:sz="4" w:space="0" w:color="000000"/>
              <w:right w:val="single" w:sz="4" w:space="0" w:color="000000"/>
            </w:tcBorders>
            <w:shd w:val="clear" w:color="auto" w:fill="auto"/>
          </w:tcPr>
          <w:p w14:paraId="00000296"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None implemented (Greve et al. 2017; DEA and DST-NRF CIB 2021)</w:t>
            </w:r>
          </w:p>
        </w:tc>
      </w:tr>
      <w:tr w:rsidR="00073819" w14:paraId="486F5FA3"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97"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sz w:val="20"/>
                <w:szCs w:val="20"/>
              </w:rPr>
              <w:t xml:space="preserve">Porcellio </w:t>
            </w:r>
            <w:proofErr w:type="spellStart"/>
            <w:r>
              <w:rPr>
                <w:rFonts w:ascii="Times New Roman" w:eastAsia="Times New Roman" w:hAnsi="Times New Roman" w:cs="Times New Roman"/>
                <w:i/>
                <w:sz w:val="20"/>
                <w:szCs w:val="20"/>
              </w:rPr>
              <w:t>scaber</w:t>
            </w:r>
            <w:proofErr w:type="spellEnd"/>
          </w:p>
        </w:tc>
        <w:tc>
          <w:tcPr>
            <w:tcW w:w="1276" w:type="dxa"/>
            <w:tcBorders>
              <w:top w:val="nil"/>
              <w:left w:val="nil"/>
              <w:bottom w:val="single" w:sz="4" w:space="0" w:color="000000"/>
              <w:right w:val="single" w:sz="4" w:space="0" w:color="000000"/>
            </w:tcBorders>
            <w:shd w:val="clear" w:color="auto" w:fill="auto"/>
          </w:tcPr>
          <w:p w14:paraId="00000298"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common rough woodlouse</w:t>
            </w:r>
          </w:p>
        </w:tc>
        <w:tc>
          <w:tcPr>
            <w:tcW w:w="1275" w:type="dxa"/>
            <w:tcBorders>
              <w:top w:val="nil"/>
              <w:left w:val="single" w:sz="4" w:space="0" w:color="000000"/>
              <w:bottom w:val="single" w:sz="4" w:space="0" w:color="000000"/>
              <w:right w:val="single" w:sz="4" w:space="0" w:color="000000"/>
            </w:tcBorders>
            <w:shd w:val="clear" w:color="auto" w:fill="auto"/>
          </w:tcPr>
          <w:p w14:paraId="00000299"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Not listed</w:t>
            </w:r>
          </w:p>
        </w:tc>
        <w:tc>
          <w:tcPr>
            <w:tcW w:w="1531" w:type="dxa"/>
            <w:tcBorders>
              <w:top w:val="single" w:sz="4" w:space="0" w:color="000000"/>
              <w:left w:val="single" w:sz="4" w:space="0" w:color="000000"/>
              <w:bottom w:val="single" w:sz="4" w:space="0" w:color="000000"/>
              <w:right w:val="single" w:sz="4" w:space="0" w:color="000000"/>
            </w:tcBorders>
          </w:tcPr>
          <w:p w14:paraId="0000029A"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Doubtful (eradication to be confirmed)</w:t>
            </w:r>
          </w:p>
        </w:tc>
        <w:tc>
          <w:tcPr>
            <w:tcW w:w="1304" w:type="dxa"/>
            <w:tcBorders>
              <w:top w:val="single" w:sz="4" w:space="0" w:color="000000"/>
              <w:left w:val="single" w:sz="4" w:space="0" w:color="000000"/>
              <w:bottom w:val="single" w:sz="4" w:space="0" w:color="000000"/>
              <w:right w:val="single" w:sz="4" w:space="0" w:color="000000"/>
            </w:tcBorders>
          </w:tcPr>
          <w:p w14:paraId="0000029B"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left w:val="single" w:sz="4" w:space="0" w:color="000000"/>
              <w:right w:val="single" w:sz="4" w:space="0" w:color="000000"/>
            </w:tcBorders>
            <w:shd w:val="clear" w:color="auto" w:fill="auto"/>
          </w:tcPr>
          <w:p w14:paraId="0000029C"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The woodlouse is believed to have been successfully eradicated in 2012, but this needs to be monitored for confirmation. Control is recommended via application of pyrethroid (Super Crackdown)</w:t>
            </w:r>
          </w:p>
        </w:tc>
      </w:tr>
      <w:tr w:rsidR="00073819" w14:paraId="73B4D657"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9D"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Rumex acetosella</w:t>
            </w:r>
          </w:p>
        </w:tc>
        <w:tc>
          <w:tcPr>
            <w:tcW w:w="1276" w:type="dxa"/>
            <w:tcBorders>
              <w:top w:val="nil"/>
              <w:left w:val="nil"/>
              <w:bottom w:val="single" w:sz="4" w:space="0" w:color="000000"/>
              <w:right w:val="single" w:sz="4" w:space="0" w:color="000000"/>
            </w:tcBorders>
            <w:shd w:val="clear" w:color="auto" w:fill="auto"/>
          </w:tcPr>
          <w:p w14:paraId="0000029E"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sheep sorrel</w:t>
            </w:r>
          </w:p>
        </w:tc>
        <w:tc>
          <w:tcPr>
            <w:tcW w:w="1275" w:type="dxa"/>
            <w:tcBorders>
              <w:top w:val="nil"/>
              <w:left w:val="single" w:sz="4" w:space="0" w:color="000000"/>
              <w:bottom w:val="single" w:sz="4" w:space="0" w:color="000000"/>
              <w:right w:val="single" w:sz="4" w:space="0" w:color="000000"/>
            </w:tcBorders>
            <w:shd w:val="clear" w:color="auto" w:fill="auto"/>
          </w:tcPr>
          <w:p w14:paraId="0000029F"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Eradication target</w:t>
            </w:r>
          </w:p>
        </w:tc>
        <w:tc>
          <w:tcPr>
            <w:tcW w:w="1531" w:type="dxa"/>
            <w:tcBorders>
              <w:top w:val="single" w:sz="4" w:space="0" w:color="000000"/>
              <w:left w:val="single" w:sz="4" w:space="0" w:color="000000"/>
              <w:bottom w:val="single" w:sz="4" w:space="0" w:color="000000"/>
              <w:right w:val="single" w:sz="4" w:space="0" w:color="000000"/>
            </w:tcBorders>
          </w:tcPr>
          <w:p w14:paraId="000002A0"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Naturalised not invasive</w:t>
            </w:r>
          </w:p>
        </w:tc>
        <w:tc>
          <w:tcPr>
            <w:tcW w:w="1304" w:type="dxa"/>
            <w:tcBorders>
              <w:top w:val="single" w:sz="4" w:space="0" w:color="000000"/>
              <w:left w:val="single" w:sz="4" w:space="0" w:color="000000"/>
              <w:bottom w:val="single" w:sz="4" w:space="0" w:color="000000"/>
              <w:right w:val="single" w:sz="4" w:space="0" w:color="000000"/>
            </w:tcBorders>
          </w:tcPr>
          <w:p w14:paraId="000002A1"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left w:val="single" w:sz="4" w:space="0" w:color="000000"/>
              <w:right w:val="single" w:sz="4" w:space="0" w:color="000000"/>
            </w:tcBorders>
            <w:shd w:val="clear" w:color="auto" w:fill="auto"/>
          </w:tcPr>
          <w:p w14:paraId="000002A2"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Mechanical removal of aboveground biomass (inflorescence is cut and then plant pulled) (Debbie Muir pers. comm. 22 May 2023)</w:t>
            </w:r>
          </w:p>
        </w:tc>
      </w:tr>
      <w:tr w:rsidR="00073819" w14:paraId="7B8FB78C" w14:textId="77777777">
        <w:trPr>
          <w:cantSplit/>
          <w:trHeight w:val="20"/>
        </w:trPr>
        <w:tc>
          <w:tcPr>
            <w:tcW w:w="1305" w:type="dxa"/>
            <w:tcBorders>
              <w:top w:val="nil"/>
              <w:left w:val="single" w:sz="4" w:space="0" w:color="000000"/>
              <w:bottom w:val="single" w:sz="4" w:space="0" w:color="000000"/>
              <w:right w:val="single" w:sz="4" w:space="0" w:color="000000"/>
            </w:tcBorders>
            <w:shd w:val="clear" w:color="auto" w:fill="auto"/>
          </w:tcPr>
          <w:p w14:paraId="000002A3"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Sagina procumbens</w:t>
            </w:r>
          </w:p>
        </w:tc>
        <w:tc>
          <w:tcPr>
            <w:tcW w:w="1276" w:type="dxa"/>
            <w:tcBorders>
              <w:top w:val="nil"/>
              <w:left w:val="nil"/>
              <w:bottom w:val="single" w:sz="4" w:space="0" w:color="000000"/>
              <w:right w:val="single" w:sz="4" w:space="0" w:color="000000"/>
            </w:tcBorders>
            <w:shd w:val="clear" w:color="auto" w:fill="auto"/>
          </w:tcPr>
          <w:p w14:paraId="000002A4" w14:textId="77777777" w:rsidR="00073819" w:rsidRDefault="0099474B">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birdeye</w:t>
            </w:r>
            <w:proofErr w:type="spellEnd"/>
            <w:r>
              <w:rPr>
                <w:rFonts w:ascii="Times New Roman" w:eastAsia="Times New Roman" w:hAnsi="Times New Roman" w:cs="Times New Roman"/>
                <w:sz w:val="20"/>
                <w:szCs w:val="20"/>
              </w:rPr>
              <w:t xml:space="preserve"> pearlwort</w:t>
            </w:r>
          </w:p>
        </w:tc>
        <w:tc>
          <w:tcPr>
            <w:tcW w:w="1275" w:type="dxa"/>
            <w:tcBorders>
              <w:top w:val="nil"/>
              <w:left w:val="single" w:sz="4" w:space="0" w:color="000000"/>
              <w:bottom w:val="single" w:sz="4" w:space="0" w:color="000000"/>
              <w:right w:val="single" w:sz="4" w:space="0" w:color="000000"/>
            </w:tcBorders>
            <w:shd w:val="clear" w:color="auto" w:fill="auto"/>
          </w:tcPr>
          <w:p w14:paraId="000002A5"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Management target</w:t>
            </w:r>
          </w:p>
        </w:tc>
        <w:tc>
          <w:tcPr>
            <w:tcW w:w="1531" w:type="dxa"/>
            <w:tcBorders>
              <w:top w:val="single" w:sz="4" w:space="0" w:color="000000"/>
              <w:left w:val="single" w:sz="4" w:space="0" w:color="000000"/>
              <w:bottom w:val="single" w:sz="4" w:space="0" w:color="000000"/>
              <w:right w:val="single" w:sz="4" w:space="0" w:color="000000"/>
            </w:tcBorders>
          </w:tcPr>
          <w:p w14:paraId="000002A6"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Invasive</w:t>
            </w:r>
          </w:p>
        </w:tc>
        <w:tc>
          <w:tcPr>
            <w:tcW w:w="1304" w:type="dxa"/>
            <w:tcBorders>
              <w:top w:val="single" w:sz="4" w:space="0" w:color="000000"/>
              <w:left w:val="single" w:sz="4" w:space="0" w:color="000000"/>
              <w:bottom w:val="single" w:sz="4" w:space="0" w:color="000000"/>
              <w:right w:val="single" w:sz="4" w:space="0" w:color="000000"/>
            </w:tcBorders>
          </w:tcPr>
          <w:p w14:paraId="000002A7"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No</w:t>
            </w:r>
          </w:p>
        </w:tc>
        <w:tc>
          <w:tcPr>
            <w:tcW w:w="7343" w:type="dxa"/>
            <w:tcBorders>
              <w:left w:val="single" w:sz="4" w:space="0" w:color="000000"/>
              <w:right w:val="single" w:sz="4" w:space="0" w:color="000000"/>
            </w:tcBorders>
            <w:shd w:val="clear" w:color="auto" w:fill="auto"/>
          </w:tcPr>
          <w:p w14:paraId="000002A8"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xml:space="preserve">None implemented (successful eradication deemed unfeasible by Greve et al. 2017), but the potential for classical biocontrol is under investigation </w:t>
            </w:r>
          </w:p>
        </w:tc>
      </w:tr>
      <w:tr w:rsidR="00073819" w14:paraId="53815E15" w14:textId="77777777">
        <w:trPr>
          <w:cantSplit/>
          <w:trHeight w:val="20"/>
        </w:trPr>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000002A9" w14:textId="77777777" w:rsidR="00073819" w:rsidRDefault="0099474B">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Stellaria media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000002AA"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common chickweed</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000002AB"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Eradication target (PEI) </w:t>
            </w:r>
            <w:r>
              <w:rPr>
                <w:rFonts w:ascii="Times New Roman" w:eastAsia="Times New Roman" w:hAnsi="Times New Roman" w:cs="Times New Roman"/>
                <w:color w:val="000000"/>
                <w:sz w:val="20"/>
                <w:szCs w:val="20"/>
              </w:rPr>
              <w:br/>
              <w:t>Management target (MI)</w:t>
            </w:r>
          </w:p>
        </w:tc>
        <w:tc>
          <w:tcPr>
            <w:tcW w:w="1531" w:type="dxa"/>
            <w:tcBorders>
              <w:top w:val="single" w:sz="4" w:space="0" w:color="000000"/>
              <w:left w:val="single" w:sz="4" w:space="0" w:color="000000"/>
              <w:bottom w:val="single" w:sz="4" w:space="0" w:color="000000"/>
              <w:right w:val="single" w:sz="4" w:space="0" w:color="000000"/>
            </w:tcBorders>
          </w:tcPr>
          <w:p w14:paraId="000002AC"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Doubtful</w:t>
            </w:r>
          </w:p>
        </w:tc>
        <w:tc>
          <w:tcPr>
            <w:tcW w:w="1304" w:type="dxa"/>
            <w:tcBorders>
              <w:top w:val="single" w:sz="4" w:space="0" w:color="000000"/>
              <w:left w:val="single" w:sz="4" w:space="0" w:color="000000"/>
              <w:bottom w:val="single" w:sz="4" w:space="0" w:color="000000"/>
              <w:right w:val="single" w:sz="4" w:space="0" w:color="000000"/>
            </w:tcBorders>
          </w:tcPr>
          <w:p w14:paraId="000002AD" w14:textId="77777777" w:rsidR="00073819" w:rsidRDefault="0099474B">
            <w:pP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7343" w:type="dxa"/>
            <w:tcBorders>
              <w:left w:val="single" w:sz="4" w:space="0" w:color="000000"/>
              <w:right w:val="single" w:sz="4" w:space="0" w:color="000000"/>
            </w:tcBorders>
            <w:shd w:val="clear" w:color="auto" w:fill="auto"/>
          </w:tcPr>
          <w:p w14:paraId="000002AE"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xml:space="preserve">It used to be sprayed with herbicide (2.5% Kilo Max). </w:t>
            </w:r>
            <w:r>
              <w:rPr>
                <w:rFonts w:ascii="Times New Roman" w:eastAsia="Times New Roman" w:hAnsi="Times New Roman" w:cs="Times New Roman"/>
                <w:color w:val="000000"/>
                <w:sz w:val="20"/>
                <w:szCs w:val="20"/>
              </w:rPr>
              <w:t>It has not been seen more recently, currently being monitored. Used to be widespread, so will be difficult to confirm eradication</w:t>
            </w:r>
          </w:p>
        </w:tc>
      </w:tr>
    </w:tbl>
    <w:p w14:paraId="000002AF" w14:textId="77777777" w:rsidR="00073819" w:rsidRDefault="00073819">
      <w:pPr>
        <w:sectPr w:rsidR="00073819" w:rsidSect="0099474B">
          <w:type w:val="continuous"/>
          <w:pgSz w:w="16838" w:h="11906" w:orient="landscape"/>
          <w:pgMar w:top="1440" w:right="1440" w:bottom="1440" w:left="1440" w:header="709" w:footer="709" w:gutter="0"/>
          <w:cols w:space="720"/>
          <w:docGrid w:linePitch="299"/>
        </w:sectPr>
      </w:pPr>
    </w:p>
    <w:p w14:paraId="000002B0" w14:textId="1BCACF4B" w:rsidR="00073819" w:rsidRPr="00354635" w:rsidRDefault="0099474B">
      <w:pPr>
        <w:pStyle w:val="Heading2"/>
        <w:rPr>
          <w:rFonts w:ascii="Times New Roman" w:eastAsia="Times New Roman" w:hAnsi="Times New Roman" w:cs="Times New Roman"/>
          <w:sz w:val="20"/>
          <w:szCs w:val="20"/>
        </w:rPr>
      </w:pPr>
      <w:r w:rsidRPr="00354635">
        <w:rPr>
          <w:rFonts w:ascii="Times New Roman" w:eastAsia="Times New Roman" w:hAnsi="Times New Roman" w:cs="Times New Roman"/>
          <w:sz w:val="20"/>
          <w:szCs w:val="20"/>
        </w:rPr>
        <w:lastRenderedPageBreak/>
        <w:t>Input - Money spent</w:t>
      </w:r>
      <w:r w:rsidR="00354635" w:rsidRPr="00354635">
        <w:rPr>
          <w:rFonts w:ascii="Times New Roman" w:eastAsia="Times New Roman" w:hAnsi="Times New Roman" w:cs="Times New Roman"/>
          <w:sz w:val="20"/>
          <w:szCs w:val="20"/>
        </w:rPr>
        <w:t xml:space="preserve"> (indicator 4.2)</w:t>
      </w:r>
    </w:p>
    <w:p w14:paraId="000002B1" w14:textId="5E3C398A" w:rsidR="00073819" w:rsidRDefault="0099474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 DFFE budget allocated for herbicides (comprising two different types) and equipment, including personal protective equipment (PPE), for alien species control on the PEIs from 2011 to 2022 amounted to ZAR 58 664</w:t>
      </w:r>
      <w:r w:rsidR="00D65AE1">
        <w:rPr>
          <w:rFonts w:ascii="Times New Roman" w:eastAsia="Times New Roman" w:hAnsi="Times New Roman" w:cs="Times New Roman"/>
          <w:sz w:val="20"/>
          <w:szCs w:val="20"/>
        </w:rPr>
        <w:t xml:space="preserve"> (</w:t>
      </w:r>
      <w:r w:rsidR="00AB76FB" w:rsidRPr="00A83D4D">
        <w:rPr>
          <w:rFonts w:ascii="Times New Roman" w:eastAsia="Times New Roman" w:hAnsi="Times New Roman" w:cs="Times New Roman"/>
          <w:sz w:val="20"/>
          <w:szCs w:val="20"/>
        </w:rPr>
        <w:t xml:space="preserve">after adjusting for inflation </w:t>
      </w:r>
      <w:r w:rsidR="00AB76FB">
        <w:rPr>
          <w:rFonts w:ascii="Times New Roman" w:eastAsia="Times New Roman" w:hAnsi="Times New Roman" w:cs="Times New Roman"/>
          <w:sz w:val="20"/>
          <w:szCs w:val="20"/>
        </w:rPr>
        <w:t xml:space="preserve">this amount would be equivalent to </w:t>
      </w:r>
      <w:r w:rsidR="00AB76FB" w:rsidRPr="0034769B">
        <w:rPr>
          <w:rFonts w:ascii="Times New Roman" w:eastAsia="Times New Roman" w:hAnsi="Times New Roman" w:cs="Times New Roman"/>
          <w:sz w:val="20"/>
          <w:szCs w:val="20"/>
        </w:rPr>
        <w:t xml:space="preserve">ZAR </w:t>
      </w:r>
      <w:r w:rsidR="00BF5845" w:rsidRPr="00D65AE1">
        <w:rPr>
          <w:rFonts w:ascii="Times New Roman" w:eastAsia="Times New Roman" w:hAnsi="Times New Roman" w:cs="Times New Roman"/>
          <w:sz w:val="20"/>
          <w:szCs w:val="20"/>
        </w:rPr>
        <w:t>63,717</w:t>
      </w:r>
      <w:r w:rsidR="00BF5845">
        <w:rPr>
          <w:rFonts w:ascii="Times New Roman" w:eastAsia="Times New Roman" w:hAnsi="Times New Roman" w:cs="Times New Roman"/>
          <w:sz w:val="20"/>
          <w:szCs w:val="20"/>
        </w:rPr>
        <w:t xml:space="preserve"> </w:t>
      </w:r>
      <w:r w:rsidR="00AB76FB" w:rsidRPr="0034769B">
        <w:rPr>
          <w:rFonts w:ascii="Times New Roman" w:eastAsia="Times New Roman" w:hAnsi="Times New Roman" w:cs="Times New Roman"/>
          <w:sz w:val="20"/>
          <w:szCs w:val="20"/>
        </w:rPr>
        <w:t>in 2024</w:t>
      </w:r>
      <w:r w:rsidR="00AB76FB">
        <w:rPr>
          <w:rFonts w:ascii="Times New Roman" w:eastAsia="Times New Roman" w:hAnsi="Times New Roman" w:cs="Times New Roman"/>
          <w:sz w:val="20"/>
          <w:szCs w:val="20"/>
        </w:rPr>
        <w:t xml:space="preserve">, </w:t>
      </w:r>
      <w:r w:rsidR="00AB76FB" w:rsidRPr="00A83D4D">
        <w:rPr>
          <w:rFonts w:ascii="Times New Roman" w:eastAsia="Times New Roman" w:hAnsi="Times New Roman" w:cs="Times New Roman"/>
          <w:sz w:val="20"/>
          <w:szCs w:val="20"/>
        </w:rPr>
        <w:t xml:space="preserve">and </w:t>
      </w:r>
      <w:r w:rsidR="00AB76FB">
        <w:rPr>
          <w:rFonts w:ascii="Times New Roman" w:eastAsia="Times New Roman" w:hAnsi="Times New Roman" w:cs="Times New Roman"/>
          <w:sz w:val="20"/>
          <w:szCs w:val="20"/>
        </w:rPr>
        <w:t xml:space="preserve">USD </w:t>
      </w:r>
      <w:r w:rsidR="005A706F" w:rsidRPr="005A706F">
        <w:rPr>
          <w:rFonts w:ascii="Times New Roman" w:eastAsia="Times New Roman" w:hAnsi="Times New Roman" w:cs="Times New Roman"/>
          <w:sz w:val="20"/>
          <w:szCs w:val="20"/>
        </w:rPr>
        <w:t>3,614</w:t>
      </w:r>
      <w:r w:rsidR="005A706F">
        <w:rPr>
          <w:rFonts w:ascii="Times New Roman" w:eastAsia="Times New Roman" w:hAnsi="Times New Roman" w:cs="Times New Roman"/>
          <w:sz w:val="20"/>
          <w:szCs w:val="20"/>
        </w:rPr>
        <w:t xml:space="preserve"> </w:t>
      </w:r>
      <w:r w:rsidR="00AB76FB" w:rsidRPr="00A83D4D">
        <w:rPr>
          <w:rFonts w:ascii="Times New Roman" w:eastAsia="Times New Roman" w:hAnsi="Times New Roman" w:cs="Times New Roman"/>
          <w:sz w:val="20"/>
          <w:szCs w:val="20"/>
        </w:rPr>
        <w:t>at the current exchange rate</w:t>
      </w:r>
      <w:r w:rsidR="00E16602">
        <w:rPr>
          <w:rFonts w:ascii="Times New Roman" w:eastAsia="Times New Roman" w:hAnsi="Times New Roman" w:cs="Times New Roman"/>
          <w:sz w:val="20"/>
          <w:szCs w:val="20"/>
        </w:rPr>
        <w:t>; Fig. S9</w:t>
      </w:r>
      <w:r w:rsidR="00BF5845">
        <w:rPr>
          <w:rFonts w:ascii="Times New Roman" w:eastAsia="Times New Roman" w:hAnsi="Times New Roman" w:cs="Times New Roman"/>
          <w:sz w:val="20"/>
          <w:szCs w:val="20"/>
        </w:rPr>
        <w:t>).</w:t>
      </w:r>
      <w:r w:rsidR="00D65AE1">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The sole pesticide utilised on Marion Island to control invertebrates was donated, and its monetary value is yet to be determined. In 2006, a targeted attempt was undertaken to control the invasive plant </w:t>
      </w:r>
      <w:r>
        <w:rPr>
          <w:rFonts w:ascii="Times New Roman" w:eastAsia="Times New Roman" w:hAnsi="Times New Roman" w:cs="Times New Roman"/>
          <w:i/>
          <w:sz w:val="20"/>
          <w:szCs w:val="20"/>
        </w:rPr>
        <w:t>Elymus repens</w:t>
      </w:r>
      <w:r>
        <w:rPr>
          <w:rFonts w:ascii="Times New Roman" w:eastAsia="Times New Roman" w:hAnsi="Times New Roman" w:cs="Times New Roman"/>
          <w:sz w:val="20"/>
          <w:szCs w:val="20"/>
        </w:rPr>
        <w:t xml:space="preserve"> (couch grass), involving the removal of above-ground material and a considerable amount of the below-ground rhizomes, along with herbicide application. The total expenditure for this operation was ZAR 201 378, inclusive of labour costs and helicopter transport for biomass removal.</w:t>
      </w:r>
    </w:p>
    <w:p w14:paraId="000002B2" w14:textId="77777777" w:rsidR="00073819" w:rsidRDefault="0099474B">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 predominant expense in controlling biological invasions on Marion Island lies in the time dedicated to this task by the Environmental Control Officers (ECOs). ECOs are employed by the DFFE; they undertake various responsibilities, and there is no available estimate of the time dedicated specifically to alien species monitoring and management. Continuous management (or monitoring) efforts on Prince Edward Island are impractical due to the absence of regular human presence on the island.</w:t>
      </w:r>
    </w:p>
    <w:p w14:paraId="000002B3" w14:textId="6DD46456" w:rsidR="00073819" w:rsidRDefault="0099474B">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Money was spent on herbicides and pesticides to control invasive plants and the invertebrate, respectively (Fig</w:t>
      </w:r>
      <w:r w:rsidR="003302AF">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S9). The budget included the purchase of PPE that the ECOs who apply the chemicals must wear.</w:t>
      </w:r>
    </w:p>
    <w:p w14:paraId="000002B4" w14:textId="77777777" w:rsidR="00073819" w:rsidRDefault="00073819">
      <w:pPr>
        <w:spacing w:line="360" w:lineRule="auto"/>
        <w:ind w:firstLine="720"/>
        <w:jc w:val="both"/>
        <w:rPr>
          <w:rFonts w:ascii="Times New Roman" w:eastAsia="Times New Roman" w:hAnsi="Times New Roman" w:cs="Times New Roman"/>
          <w:sz w:val="20"/>
          <w:szCs w:val="20"/>
        </w:rPr>
      </w:pPr>
    </w:p>
    <w:p w14:paraId="000002B5" w14:textId="77777777" w:rsidR="00073819" w:rsidRDefault="0099474B">
      <w:pPr>
        <w:jc w:val="center"/>
        <w:rPr>
          <w:b/>
          <w:sz w:val="24"/>
          <w:szCs w:val="24"/>
        </w:rPr>
      </w:pPr>
      <w:r>
        <w:rPr>
          <w:b/>
          <w:noProof/>
          <w:sz w:val="24"/>
          <w:szCs w:val="24"/>
          <w:lang w:val="en-IN" w:eastAsia="en-IN"/>
        </w:rPr>
        <w:drawing>
          <wp:inline distT="114300" distB="114300" distL="114300" distR="114300" wp14:anchorId="43656305" wp14:editId="23949574">
            <wp:extent cx="4762500" cy="2800350"/>
            <wp:effectExtent l="0" t="0" r="0" b="0"/>
            <wp:docPr id="2035808454"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21"/>
                    <a:srcRect/>
                    <a:stretch>
                      <a:fillRect/>
                    </a:stretch>
                  </pic:blipFill>
                  <pic:spPr>
                    <a:xfrm>
                      <a:off x="0" y="0"/>
                      <a:ext cx="4762500" cy="2800350"/>
                    </a:xfrm>
                    <a:prstGeom prst="rect">
                      <a:avLst/>
                    </a:prstGeom>
                    <a:ln/>
                  </pic:spPr>
                </pic:pic>
              </a:graphicData>
            </a:graphic>
          </wp:inline>
        </w:drawing>
      </w:r>
    </w:p>
    <w:p w14:paraId="000002B6" w14:textId="77777777" w:rsidR="00073819" w:rsidRDefault="0099474B">
      <w:pPr>
        <w:spacing w:before="120" w:after="240"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Fig. S9</w:t>
      </w:r>
      <w:r>
        <w:rPr>
          <w:rFonts w:ascii="Times New Roman" w:eastAsia="Times New Roman" w:hAnsi="Times New Roman" w:cs="Times New Roman"/>
          <w:sz w:val="20"/>
          <w:szCs w:val="20"/>
        </w:rPr>
        <w:t xml:space="preserve"> Money spent on Marion Island invasive species control: 'Equipment' includes personal protective equipment for the Environmental Control Officers who apply the chemicals, plus the tools they need. ‘Chemical control’ includes costs of herbicides. Labour costs are not included, but almost certainly will be significantly more than the costs reported here</w:t>
      </w:r>
    </w:p>
    <w:p w14:paraId="000002B7" w14:textId="77777777" w:rsidR="00073819" w:rsidRDefault="00073819">
      <w:pPr>
        <w:spacing w:before="120" w:after="240" w:line="240" w:lineRule="auto"/>
        <w:jc w:val="both"/>
        <w:rPr>
          <w:rFonts w:ascii="Times New Roman" w:eastAsia="Times New Roman" w:hAnsi="Times New Roman" w:cs="Times New Roman"/>
          <w:sz w:val="20"/>
          <w:szCs w:val="20"/>
        </w:rPr>
      </w:pPr>
    </w:p>
    <w:p w14:paraId="000002B8" w14:textId="677AFDDC" w:rsidR="00073819" w:rsidRDefault="0099474B">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Herbicide use for invasive grasses: CIB staff (</w:t>
      </w:r>
      <w:proofErr w:type="spellStart"/>
      <w:r>
        <w:rPr>
          <w:rFonts w:ascii="Times New Roman" w:eastAsia="Times New Roman" w:hAnsi="Times New Roman" w:cs="Times New Roman"/>
          <w:sz w:val="20"/>
          <w:szCs w:val="20"/>
        </w:rPr>
        <w:t>Suzaan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Kritzinger</w:t>
      </w:r>
      <w:proofErr w:type="spellEnd"/>
      <w:r>
        <w:rPr>
          <w:rFonts w:ascii="Times New Roman" w:eastAsia="Times New Roman" w:hAnsi="Times New Roman" w:cs="Times New Roman"/>
          <w:sz w:val="20"/>
          <w:szCs w:val="20"/>
        </w:rPr>
        <w:t xml:space="preserve">-Klopper and Steven Chown) removed above-ground material of </w:t>
      </w:r>
      <w:r>
        <w:rPr>
          <w:rFonts w:ascii="Times New Roman" w:eastAsia="Times New Roman" w:hAnsi="Times New Roman" w:cs="Times New Roman"/>
          <w:i/>
          <w:sz w:val="20"/>
          <w:szCs w:val="20"/>
        </w:rPr>
        <w:t xml:space="preserve">Elymus repens </w:t>
      </w:r>
      <w:r>
        <w:rPr>
          <w:rFonts w:ascii="Times New Roman" w:eastAsia="Times New Roman" w:hAnsi="Times New Roman" w:cs="Times New Roman"/>
          <w:sz w:val="20"/>
          <w:szCs w:val="20"/>
        </w:rPr>
        <w:t>(syn.</w:t>
      </w:r>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Elytrigia</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repens</w:t>
      </w:r>
      <w:proofErr w:type="spellEnd"/>
      <w:r>
        <w:rPr>
          <w:rFonts w:ascii="Times New Roman" w:eastAsia="Times New Roman" w:hAnsi="Times New Roman" w:cs="Times New Roman"/>
          <w:sz w:val="20"/>
          <w:szCs w:val="20"/>
        </w:rPr>
        <w:t>) and some of the below-ground rhizomes and applied glyphosate herbicide during the relief voyage in 2006. The total cost of the operation was ZAR</w:t>
      </w:r>
      <w:r w:rsidR="0034769B">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201 378</w:t>
      </w:r>
      <w:r w:rsidR="005B763C">
        <w:rPr>
          <w:rFonts w:ascii="Times New Roman" w:eastAsia="Times New Roman" w:hAnsi="Times New Roman" w:cs="Times New Roman"/>
          <w:sz w:val="20"/>
          <w:szCs w:val="20"/>
        </w:rPr>
        <w:t xml:space="preserve"> </w:t>
      </w:r>
      <w:r w:rsidR="005B763C">
        <w:rPr>
          <w:rFonts w:ascii="Times New Roman" w:eastAsia="Times New Roman" w:hAnsi="Times New Roman" w:cs="Times New Roman"/>
          <w:sz w:val="20"/>
          <w:szCs w:val="20"/>
        </w:rPr>
        <w:lastRenderedPageBreak/>
        <w:t>(</w:t>
      </w:r>
      <w:r w:rsidR="00A83D4D" w:rsidRPr="00A83D4D">
        <w:rPr>
          <w:rFonts w:ascii="Times New Roman" w:eastAsia="Times New Roman" w:hAnsi="Times New Roman" w:cs="Times New Roman"/>
          <w:sz w:val="20"/>
          <w:szCs w:val="20"/>
        </w:rPr>
        <w:t xml:space="preserve">after adjusting for inflation </w:t>
      </w:r>
      <w:r w:rsidR="0034769B">
        <w:rPr>
          <w:rFonts w:ascii="Times New Roman" w:eastAsia="Times New Roman" w:hAnsi="Times New Roman" w:cs="Times New Roman"/>
          <w:sz w:val="20"/>
          <w:szCs w:val="20"/>
        </w:rPr>
        <w:t xml:space="preserve">this amount would be equivalent to </w:t>
      </w:r>
      <w:r w:rsidR="0034769B" w:rsidRPr="0034769B">
        <w:rPr>
          <w:rFonts w:ascii="Times New Roman" w:eastAsia="Times New Roman" w:hAnsi="Times New Roman" w:cs="Times New Roman"/>
          <w:sz w:val="20"/>
          <w:szCs w:val="20"/>
        </w:rPr>
        <w:t>ZAR 550</w:t>
      </w:r>
      <w:r w:rsidR="0034769B">
        <w:rPr>
          <w:rFonts w:ascii="Times New Roman" w:eastAsia="Times New Roman" w:hAnsi="Times New Roman" w:cs="Times New Roman"/>
          <w:sz w:val="20"/>
          <w:szCs w:val="20"/>
        </w:rPr>
        <w:t xml:space="preserve"> </w:t>
      </w:r>
      <w:r w:rsidR="0034769B" w:rsidRPr="0034769B">
        <w:rPr>
          <w:rFonts w:ascii="Times New Roman" w:eastAsia="Times New Roman" w:hAnsi="Times New Roman" w:cs="Times New Roman"/>
          <w:sz w:val="20"/>
          <w:szCs w:val="20"/>
        </w:rPr>
        <w:t>939 in 2024</w:t>
      </w:r>
      <w:r>
        <w:rPr>
          <w:rFonts w:ascii="Times New Roman" w:eastAsia="Times New Roman" w:hAnsi="Times New Roman" w:cs="Times New Roman"/>
          <w:sz w:val="20"/>
          <w:szCs w:val="20"/>
        </w:rPr>
        <w:t>,</w:t>
      </w:r>
      <w:r w:rsidR="007B7D2E">
        <w:rPr>
          <w:rFonts w:ascii="Times New Roman" w:eastAsia="Times New Roman" w:hAnsi="Times New Roman" w:cs="Times New Roman"/>
          <w:sz w:val="20"/>
          <w:szCs w:val="20"/>
        </w:rPr>
        <w:t xml:space="preserve"> </w:t>
      </w:r>
      <w:r w:rsidR="003D4E85" w:rsidRPr="00A83D4D">
        <w:rPr>
          <w:rFonts w:ascii="Times New Roman" w:eastAsia="Times New Roman" w:hAnsi="Times New Roman" w:cs="Times New Roman"/>
          <w:sz w:val="20"/>
          <w:szCs w:val="20"/>
        </w:rPr>
        <w:t xml:space="preserve">and </w:t>
      </w:r>
      <w:r w:rsidR="00D9044D">
        <w:rPr>
          <w:rFonts w:ascii="Times New Roman" w:eastAsia="Times New Roman" w:hAnsi="Times New Roman" w:cs="Times New Roman"/>
          <w:sz w:val="20"/>
          <w:szCs w:val="20"/>
        </w:rPr>
        <w:t xml:space="preserve">USD </w:t>
      </w:r>
      <w:r w:rsidR="008652D7" w:rsidRPr="008652D7">
        <w:rPr>
          <w:rFonts w:ascii="Times New Roman" w:eastAsia="Times New Roman" w:hAnsi="Times New Roman" w:cs="Times New Roman"/>
          <w:sz w:val="20"/>
          <w:szCs w:val="20"/>
        </w:rPr>
        <w:t>31,304</w:t>
      </w:r>
      <w:r w:rsidR="00D9044D">
        <w:rPr>
          <w:rFonts w:ascii="Times New Roman" w:eastAsia="Times New Roman" w:hAnsi="Times New Roman" w:cs="Times New Roman"/>
          <w:sz w:val="20"/>
          <w:szCs w:val="20"/>
        </w:rPr>
        <w:t xml:space="preserve"> </w:t>
      </w:r>
      <w:r w:rsidR="003D4E85" w:rsidRPr="00A83D4D">
        <w:rPr>
          <w:rFonts w:ascii="Times New Roman" w:eastAsia="Times New Roman" w:hAnsi="Times New Roman" w:cs="Times New Roman"/>
          <w:sz w:val="20"/>
          <w:szCs w:val="20"/>
        </w:rPr>
        <w:t>at the current exchange rate</w:t>
      </w:r>
      <w:r w:rsidR="007B7D2E">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including three helicopter trips to remove plant material (1 000 kg) and human </w:t>
      </w:r>
      <w:r w:rsidR="00145252">
        <w:rPr>
          <w:rFonts w:ascii="Times New Roman" w:eastAsia="Times New Roman" w:hAnsi="Times New Roman" w:cs="Times New Roman"/>
          <w:sz w:val="20"/>
          <w:szCs w:val="20"/>
        </w:rPr>
        <w:t>resources but</w:t>
      </w:r>
      <w:r>
        <w:rPr>
          <w:rFonts w:ascii="Times New Roman" w:eastAsia="Times New Roman" w:hAnsi="Times New Roman" w:cs="Times New Roman"/>
          <w:sz w:val="20"/>
          <w:szCs w:val="20"/>
        </w:rPr>
        <w:t xml:space="preserve"> excluding the costs of herbicide and its application over the subsequent years. The herbicide treatments were supposed to be continued by the island-based ECOs every second month and a re-assessment of the situation made in April 2007.</w:t>
      </w:r>
    </w:p>
    <w:p w14:paraId="000002B9" w14:textId="77777777" w:rsidR="00073819" w:rsidRDefault="00073819">
      <w:pPr>
        <w:rPr>
          <w:rFonts w:ascii="Times New Roman" w:eastAsia="Times New Roman" w:hAnsi="Times New Roman" w:cs="Times New Roman"/>
          <w:sz w:val="20"/>
          <w:szCs w:val="20"/>
        </w:rPr>
      </w:pPr>
    </w:p>
    <w:p w14:paraId="000002BA" w14:textId="66352898" w:rsidR="00073819" w:rsidRPr="000F44FF" w:rsidRDefault="0099474B">
      <w:pPr>
        <w:spacing w:line="360" w:lineRule="auto"/>
        <w:rPr>
          <w:rFonts w:ascii="Times New Roman" w:eastAsia="Times New Roman" w:hAnsi="Times New Roman" w:cs="Times New Roman"/>
          <w:b/>
          <w:sz w:val="20"/>
          <w:szCs w:val="20"/>
        </w:rPr>
      </w:pPr>
      <w:r w:rsidRPr="000F44FF">
        <w:rPr>
          <w:rFonts w:ascii="Times New Roman" w:eastAsia="Times New Roman" w:hAnsi="Times New Roman" w:cs="Times New Roman"/>
          <w:b/>
          <w:sz w:val="20"/>
          <w:szCs w:val="20"/>
        </w:rPr>
        <w:t>Input - Planning coverage</w:t>
      </w:r>
      <w:r w:rsidR="00354635" w:rsidRPr="000F44FF">
        <w:rPr>
          <w:rFonts w:ascii="Times New Roman" w:eastAsia="Times New Roman" w:hAnsi="Times New Roman" w:cs="Times New Roman"/>
          <w:b/>
          <w:sz w:val="20"/>
          <w:szCs w:val="20"/>
        </w:rPr>
        <w:t xml:space="preserve"> (indicator </w:t>
      </w:r>
      <w:r w:rsidR="000F44FF" w:rsidRPr="000F44FF">
        <w:rPr>
          <w:rFonts w:ascii="Times New Roman" w:eastAsia="Times New Roman" w:hAnsi="Times New Roman" w:cs="Times New Roman"/>
          <w:b/>
          <w:sz w:val="20"/>
          <w:szCs w:val="20"/>
        </w:rPr>
        <w:t>4.3)</w:t>
      </w:r>
    </w:p>
    <w:p w14:paraId="000002BB" w14:textId="3853CDC7" w:rsidR="00073819" w:rsidRDefault="00C465DA">
      <w:pPr>
        <w:spacing w:line="360" w:lineRule="auto"/>
        <w:jc w:val="both"/>
        <w:rPr>
          <w:rFonts w:ascii="Times New Roman" w:eastAsia="Times New Roman" w:hAnsi="Times New Roman" w:cs="Times New Roman"/>
          <w:sz w:val="20"/>
          <w:szCs w:val="20"/>
        </w:rPr>
      </w:pPr>
      <w:r w:rsidRPr="00C465DA">
        <w:rPr>
          <w:rFonts w:ascii="Times New Roman" w:eastAsia="Times New Roman" w:hAnsi="Times New Roman" w:cs="Times New Roman"/>
          <w:sz w:val="20"/>
          <w:szCs w:val="20"/>
        </w:rPr>
        <w:t xml:space="preserve">Two management plans have been formulated for the PEIs: one in 1996 (PEIMPWG 1996), and another in 2010 (DEA 2010). Originally, management plans were slated for revision and update every four years, yet the first revision is still in progress. As a result, the estimates provided </w:t>
      </w:r>
      <w:r w:rsidR="00E560E6">
        <w:rPr>
          <w:rFonts w:ascii="Times New Roman" w:eastAsia="Times New Roman" w:hAnsi="Times New Roman" w:cs="Times New Roman"/>
          <w:sz w:val="20"/>
          <w:szCs w:val="20"/>
        </w:rPr>
        <w:t>for this indicator</w:t>
      </w:r>
      <w:r w:rsidRPr="00C465DA">
        <w:rPr>
          <w:rFonts w:ascii="Times New Roman" w:eastAsia="Times New Roman" w:hAnsi="Times New Roman" w:cs="Times New Roman"/>
          <w:sz w:val="20"/>
          <w:szCs w:val="20"/>
        </w:rPr>
        <w:t xml:space="preserve"> pertain to the 2010 </w:t>
      </w:r>
      <w:r w:rsidR="007C5757">
        <w:rPr>
          <w:rFonts w:ascii="Times New Roman" w:eastAsia="Times New Roman" w:hAnsi="Times New Roman" w:cs="Times New Roman"/>
          <w:sz w:val="20"/>
          <w:szCs w:val="20"/>
        </w:rPr>
        <w:t>M</w:t>
      </w:r>
      <w:r w:rsidRPr="00C465DA">
        <w:rPr>
          <w:rFonts w:ascii="Times New Roman" w:eastAsia="Times New Roman" w:hAnsi="Times New Roman" w:cs="Times New Roman"/>
          <w:sz w:val="20"/>
          <w:szCs w:val="20"/>
        </w:rPr>
        <w:t xml:space="preserve">anagement </w:t>
      </w:r>
      <w:r w:rsidR="007C5757">
        <w:rPr>
          <w:rFonts w:ascii="Times New Roman" w:eastAsia="Times New Roman" w:hAnsi="Times New Roman" w:cs="Times New Roman"/>
          <w:sz w:val="20"/>
          <w:szCs w:val="20"/>
        </w:rPr>
        <w:t>P</w:t>
      </w:r>
      <w:r w:rsidRPr="00C465DA">
        <w:rPr>
          <w:rFonts w:ascii="Times New Roman" w:eastAsia="Times New Roman" w:hAnsi="Times New Roman" w:cs="Times New Roman"/>
          <w:sz w:val="20"/>
          <w:szCs w:val="20"/>
        </w:rPr>
        <w:t>lan.</w:t>
      </w:r>
      <w:r w:rsidR="00E560E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As part of the Management Plan, the former Department of Environmental Affairs (DEA) and the former DST-NRF Centre of Excellence for Invasion Biology (CIB) collaborated on the development of an eradication strategy titled 'Eradication, monitoring, and control of alien and invasive species on Marion Island'. This strategy undergoes annual revision and updates by the DFFE alien species management team (Debbie Muir, pers. comm. 2023). The current iteration of the eradication plan classifies species into three distinct categories based on their priority for control: high, medium, and low. The plan aims to divide the list into an active priority list (comprising taxa currently present and managed) and a historical list of taxa requiring only monitoring (those with doubtful presence requiring confirmation of eradication). This facilitates an evaluation of changes in the extent of invasive species and the efficacy of control measures. To aid this assessment, data have been integrated into maps illustrating historical and current invasions (Fig</w:t>
      </w:r>
      <w:r w:rsidR="009468DD">
        <w:rPr>
          <w:rFonts w:ascii="Times New Roman" w:eastAsia="Times New Roman" w:hAnsi="Times New Roman" w:cs="Times New Roman"/>
          <w:sz w:val="20"/>
          <w:szCs w:val="20"/>
        </w:rPr>
        <w:t>s.</w:t>
      </w:r>
      <w:r>
        <w:rPr>
          <w:rFonts w:ascii="Times New Roman" w:eastAsia="Times New Roman" w:hAnsi="Times New Roman" w:cs="Times New Roman"/>
          <w:sz w:val="20"/>
          <w:szCs w:val="20"/>
        </w:rPr>
        <w:t xml:space="preserve"> S6.3–6.7).</w:t>
      </w:r>
    </w:p>
    <w:p w14:paraId="000002BC"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The ‘Mouse-Free Marion' eradication project is currently in its planning phase with fundraising efforts underway. The planned cost for the mouse eradication as of December 2022 was ~ZAR 450 million (more than USD 24 million). The planned eradication, if successful, will be the largest eradication of rodents from an island globally (Preston et al. 2019; Springer 2022).</w:t>
      </w:r>
    </w:p>
    <w:p w14:paraId="000002BD" w14:textId="77777777" w:rsidR="00073819" w:rsidRDefault="00073819">
      <w:pPr>
        <w:spacing w:line="360" w:lineRule="auto"/>
        <w:rPr>
          <w:rFonts w:ascii="Times New Roman" w:eastAsia="Times New Roman" w:hAnsi="Times New Roman" w:cs="Times New Roman"/>
          <w:sz w:val="20"/>
          <w:szCs w:val="20"/>
        </w:rPr>
      </w:pPr>
    </w:p>
    <w:p w14:paraId="000002BE" w14:textId="03052857" w:rsidR="00073819" w:rsidRPr="000F44FF" w:rsidRDefault="0099474B">
      <w:pPr>
        <w:spacing w:line="360" w:lineRule="auto"/>
        <w:rPr>
          <w:rFonts w:ascii="Times New Roman" w:eastAsia="Times New Roman" w:hAnsi="Times New Roman" w:cs="Times New Roman"/>
          <w:b/>
          <w:sz w:val="20"/>
          <w:szCs w:val="20"/>
        </w:rPr>
      </w:pPr>
      <w:r w:rsidRPr="000F44FF">
        <w:rPr>
          <w:rFonts w:ascii="Times New Roman" w:eastAsia="Times New Roman" w:hAnsi="Times New Roman" w:cs="Times New Roman"/>
          <w:b/>
          <w:sz w:val="20"/>
          <w:szCs w:val="20"/>
        </w:rPr>
        <w:t>Output</w:t>
      </w:r>
      <w:r w:rsidRPr="000F44FF">
        <w:rPr>
          <w:rFonts w:ascii="Times New Roman" w:eastAsia="Times New Roman" w:hAnsi="Times New Roman" w:cs="Times New Roman"/>
          <w:b/>
          <w:i/>
          <w:sz w:val="20"/>
          <w:szCs w:val="20"/>
        </w:rPr>
        <w:t xml:space="preserve"> - </w:t>
      </w:r>
      <w:r w:rsidRPr="000F44FF">
        <w:rPr>
          <w:rFonts w:ascii="Times New Roman" w:eastAsia="Times New Roman" w:hAnsi="Times New Roman" w:cs="Times New Roman"/>
          <w:b/>
          <w:sz w:val="20"/>
          <w:szCs w:val="20"/>
        </w:rPr>
        <w:t>Pathways treated</w:t>
      </w:r>
      <w:r w:rsidR="000F44FF" w:rsidRPr="000F44FF">
        <w:rPr>
          <w:rFonts w:ascii="Times New Roman" w:eastAsia="Times New Roman" w:hAnsi="Times New Roman" w:cs="Times New Roman"/>
          <w:b/>
          <w:sz w:val="20"/>
          <w:szCs w:val="20"/>
        </w:rPr>
        <w:t xml:space="preserve"> (indicator 4.4)</w:t>
      </w:r>
    </w:p>
    <w:p w14:paraId="000002BF" w14:textId="77777777" w:rsidR="00073819" w:rsidRDefault="0099474B">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To prevent accidental introductions with expeditioners and their equipment and belongings, expeditioners are required to inspect their belongings (e.g., clothes, equipment) and remove any alien species or propagules before they leave for the PEIs. Guidance on how these inspections should be performed is provided in a ‘Gear Checks’ document (see below). Expeditioners also sign a document, the ‘Biosecurity self-audit checklist and declaration’, confirming that they have followed the required biosecurity measures. As propagules can easily become entrapped in Velcro there is a ‘minimum Velcro policy’, with expeditioners encouraged to use belongings (e.g., clothes) that lack Velcro, and as of 2022 all clothing supplied by DFFE was Velcro-free. During the voyage to Marion Island, the outer field gear and equipment of expeditioners that is not in the cargo hold is inspected for biological material. </w:t>
      </w:r>
    </w:p>
    <w:p w14:paraId="000002C0"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transport of propagules (e.g., seeds) from sites close to the base on Marion Island to elsewhere on the island is reduced through biosecurity measures. For example, walkways have been built around the base </w:t>
      </w:r>
      <w:r>
        <w:rPr>
          <w:rFonts w:ascii="Times New Roman" w:eastAsia="Times New Roman" w:hAnsi="Times New Roman" w:cs="Times New Roman"/>
          <w:sz w:val="20"/>
          <w:szCs w:val="20"/>
        </w:rPr>
        <w:lastRenderedPageBreak/>
        <w:t xml:space="preserve">where some of the non-invasive alien plants grow, and there are restrictions to prevent expeditioners from traversing the ground between these walkways, thus reducing the spread of plant propagules. Additionally, during hut restocking, containers are transported from the helicopter deck at the base, and not from the vegetation around the base, to the huts. </w:t>
      </w:r>
    </w:p>
    <w:p w14:paraId="000002C1"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Equipment, food and other goods are transported to Marion Island in shipping containers. Before they are packed in South Africa, these containers are cleaned using a high-pressure hose, and all cargo are inspected for alien species or propagules. Fresh produce is prohibited, and all other foods must be irradiated (e.g., eggs), frozen (e.g., meats and vegetables), or otherwise sterilised (e.g., canned). Such rules aim to prevent the introduction of alien species as contaminants with the food transported to the islands.</w:t>
      </w:r>
    </w:p>
    <w:p w14:paraId="000002C2" w14:textId="77777777" w:rsidR="00073819" w:rsidRDefault="0099474B">
      <w:pPr>
        <w:rPr>
          <w:rFonts w:ascii="Times New Roman" w:eastAsia="Times New Roman" w:hAnsi="Times New Roman" w:cs="Times New Roman"/>
          <w:sz w:val="20"/>
          <w:szCs w:val="20"/>
        </w:rPr>
      </w:pPr>
      <w:r>
        <w:br w:type="page"/>
      </w:r>
    </w:p>
    <w:p w14:paraId="000002C3" w14:textId="77777777" w:rsidR="00073819" w:rsidRDefault="0099474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‘Gear Checks’ document:</w:t>
      </w:r>
      <w:r>
        <w:rPr>
          <w:noProof/>
          <w:lang w:val="en-IN" w:eastAsia="en-IN"/>
        </w:rPr>
        <w:drawing>
          <wp:anchor distT="0" distB="0" distL="114300" distR="114300" simplePos="0" relativeHeight="251658240" behindDoc="0" locked="0" layoutInCell="1" hidden="0" allowOverlap="1" wp14:anchorId="1636466E" wp14:editId="3B38A1C8">
            <wp:simplePos x="0" y="0"/>
            <wp:positionH relativeFrom="column">
              <wp:posOffset>44451</wp:posOffset>
            </wp:positionH>
            <wp:positionV relativeFrom="paragraph">
              <wp:posOffset>260350</wp:posOffset>
            </wp:positionV>
            <wp:extent cx="3384550" cy="1129030"/>
            <wp:effectExtent l="0" t="0" r="0" b="0"/>
            <wp:wrapSquare wrapText="bothSides" distT="0" distB="0" distL="114300" distR="114300"/>
            <wp:docPr id="203580845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3384550" cy="1129030"/>
                    </a:xfrm>
                    <a:prstGeom prst="rect">
                      <a:avLst/>
                    </a:prstGeom>
                    <a:ln/>
                  </pic:spPr>
                </pic:pic>
              </a:graphicData>
            </a:graphic>
          </wp:anchor>
        </w:drawing>
      </w:r>
      <w:r>
        <w:rPr>
          <w:noProof/>
          <w:lang w:val="en-IN" w:eastAsia="en-IN"/>
        </w:rPr>
        <w:drawing>
          <wp:anchor distT="0" distB="0" distL="114300" distR="114300" simplePos="0" relativeHeight="251659264" behindDoc="0" locked="0" layoutInCell="1" hidden="0" allowOverlap="1" wp14:anchorId="06A35BDD" wp14:editId="4407D778">
            <wp:simplePos x="0" y="0"/>
            <wp:positionH relativeFrom="column">
              <wp:posOffset>5073650</wp:posOffset>
            </wp:positionH>
            <wp:positionV relativeFrom="paragraph">
              <wp:posOffset>260350</wp:posOffset>
            </wp:positionV>
            <wp:extent cx="704215" cy="1081405"/>
            <wp:effectExtent l="0" t="0" r="0" b="0"/>
            <wp:wrapSquare wrapText="bothSides" distT="0" distB="0" distL="114300" distR="114300"/>
            <wp:docPr id="2035808447" name="image8.jpg" descr="SANAP"/>
            <wp:cNvGraphicFramePr/>
            <a:graphic xmlns:a="http://schemas.openxmlformats.org/drawingml/2006/main">
              <a:graphicData uri="http://schemas.openxmlformats.org/drawingml/2006/picture">
                <pic:pic xmlns:pic="http://schemas.openxmlformats.org/drawingml/2006/picture">
                  <pic:nvPicPr>
                    <pic:cNvPr id="0" name="image8.jpg" descr="SANAP"/>
                    <pic:cNvPicPr preferRelativeResize="0"/>
                  </pic:nvPicPr>
                  <pic:blipFill>
                    <a:blip r:embed="rId23"/>
                    <a:srcRect/>
                    <a:stretch>
                      <a:fillRect/>
                    </a:stretch>
                  </pic:blipFill>
                  <pic:spPr>
                    <a:xfrm>
                      <a:off x="0" y="0"/>
                      <a:ext cx="704215" cy="1081405"/>
                    </a:xfrm>
                    <a:prstGeom prst="rect">
                      <a:avLst/>
                    </a:prstGeom>
                    <a:ln/>
                  </pic:spPr>
                </pic:pic>
              </a:graphicData>
            </a:graphic>
          </wp:anchor>
        </w:drawing>
      </w:r>
    </w:p>
    <w:p w14:paraId="000002C4" w14:textId="77777777" w:rsidR="00073819" w:rsidRDefault="0099474B">
      <w:pPr>
        <w:jc w:val="both"/>
        <w:rPr>
          <w:rFonts w:ascii="Arial" w:eastAsia="Arial" w:hAnsi="Arial" w:cs="Arial"/>
          <w:b/>
          <w:sz w:val="40"/>
          <w:szCs w:val="40"/>
        </w:rPr>
      </w:pPr>
      <w:r>
        <w:rPr>
          <w:rFonts w:ascii="Arial" w:eastAsia="Arial" w:hAnsi="Arial" w:cs="Arial"/>
          <w:b/>
          <w:sz w:val="40"/>
          <w:szCs w:val="40"/>
        </w:rPr>
        <w:tab/>
      </w:r>
    </w:p>
    <w:p w14:paraId="000002C5" w14:textId="77777777" w:rsidR="00073819" w:rsidRDefault="00073819">
      <w:pPr>
        <w:jc w:val="center"/>
        <w:rPr>
          <w:rFonts w:ascii="Arial" w:eastAsia="Arial" w:hAnsi="Arial" w:cs="Arial"/>
          <w:b/>
          <w:color w:val="000000"/>
        </w:rPr>
      </w:pPr>
    </w:p>
    <w:p w14:paraId="000002C6" w14:textId="77777777" w:rsidR="00073819" w:rsidRDefault="00073819">
      <w:pPr>
        <w:jc w:val="center"/>
        <w:rPr>
          <w:rFonts w:ascii="Arial" w:eastAsia="Arial" w:hAnsi="Arial" w:cs="Arial"/>
          <w:b/>
          <w:color w:val="000000"/>
          <w:sz w:val="40"/>
          <w:szCs w:val="40"/>
        </w:rPr>
      </w:pPr>
    </w:p>
    <w:p w14:paraId="000002C7" w14:textId="77777777" w:rsidR="00073819" w:rsidRDefault="00073819">
      <w:pPr>
        <w:jc w:val="center"/>
        <w:rPr>
          <w:rFonts w:ascii="Arial" w:eastAsia="Arial" w:hAnsi="Arial" w:cs="Arial"/>
          <w:b/>
          <w:color w:val="000000"/>
          <w:sz w:val="40"/>
          <w:szCs w:val="40"/>
        </w:rPr>
      </w:pPr>
    </w:p>
    <w:p w14:paraId="000002C8" w14:textId="77777777" w:rsidR="00073819" w:rsidRDefault="0099474B">
      <w:pPr>
        <w:jc w:val="center"/>
        <w:rPr>
          <w:rFonts w:ascii="Arial" w:eastAsia="Arial" w:hAnsi="Arial" w:cs="Arial"/>
          <w:b/>
          <w:color w:val="000000"/>
          <w:sz w:val="36"/>
          <w:szCs w:val="36"/>
        </w:rPr>
      </w:pPr>
      <w:r>
        <w:rPr>
          <w:rFonts w:ascii="Arial" w:eastAsia="Arial" w:hAnsi="Arial" w:cs="Arial"/>
          <w:b/>
          <w:color w:val="000000"/>
          <w:sz w:val="36"/>
          <w:szCs w:val="36"/>
        </w:rPr>
        <w:t xml:space="preserve">SANAP VOYAGE PARTICIPANTS </w:t>
      </w:r>
    </w:p>
    <w:p w14:paraId="000002C9" w14:textId="77777777" w:rsidR="00073819" w:rsidRDefault="00073819">
      <w:pPr>
        <w:jc w:val="center"/>
        <w:rPr>
          <w:rFonts w:ascii="Arial" w:eastAsia="Arial" w:hAnsi="Arial" w:cs="Arial"/>
          <w:b/>
          <w:color w:val="000000"/>
          <w:sz w:val="32"/>
          <w:szCs w:val="32"/>
        </w:rPr>
      </w:pPr>
    </w:p>
    <w:p w14:paraId="000002CA" w14:textId="77777777" w:rsidR="00073819" w:rsidRDefault="0099474B">
      <w:pPr>
        <w:jc w:val="center"/>
        <w:rPr>
          <w:rFonts w:ascii="Arial" w:eastAsia="Arial" w:hAnsi="Arial" w:cs="Arial"/>
          <w:b/>
          <w:color w:val="000000"/>
          <w:sz w:val="28"/>
          <w:szCs w:val="28"/>
        </w:rPr>
      </w:pPr>
      <w:r>
        <w:rPr>
          <w:rFonts w:ascii="Arial" w:eastAsia="Arial" w:hAnsi="Arial" w:cs="Arial"/>
          <w:b/>
          <w:color w:val="000000"/>
          <w:sz w:val="28"/>
          <w:szCs w:val="28"/>
        </w:rPr>
        <w:t>GEAR CHECKS</w:t>
      </w:r>
    </w:p>
    <w:p w14:paraId="000002CB" w14:textId="77777777" w:rsidR="00073819" w:rsidRDefault="0099474B">
      <w:pPr>
        <w:jc w:val="both"/>
        <w:rPr>
          <w:rFonts w:ascii="Arial" w:eastAsia="Arial" w:hAnsi="Arial" w:cs="Arial"/>
          <w:color w:val="000000"/>
          <w:sz w:val="18"/>
          <w:szCs w:val="18"/>
        </w:rPr>
      </w:pPr>
      <w:r>
        <w:rPr>
          <w:rFonts w:ascii="Arial" w:eastAsia="Arial" w:hAnsi="Arial" w:cs="Arial"/>
          <w:color w:val="000000"/>
          <w:sz w:val="18"/>
          <w:szCs w:val="18"/>
        </w:rPr>
        <w:t>_________________________________________________________________________________</w:t>
      </w:r>
    </w:p>
    <w:p w14:paraId="000002CC" w14:textId="77777777" w:rsidR="00073819" w:rsidRDefault="00073819">
      <w:pPr>
        <w:jc w:val="both"/>
        <w:rPr>
          <w:rFonts w:ascii="Arial" w:eastAsia="Arial" w:hAnsi="Arial" w:cs="Arial"/>
          <w:color w:val="000000"/>
          <w:sz w:val="18"/>
          <w:szCs w:val="18"/>
        </w:rPr>
      </w:pPr>
    </w:p>
    <w:p w14:paraId="000002CD" w14:textId="77777777" w:rsidR="00073819" w:rsidRDefault="0099474B">
      <w:pPr>
        <w:jc w:val="both"/>
        <w:rPr>
          <w:rFonts w:ascii="Arial" w:eastAsia="Arial" w:hAnsi="Arial" w:cs="Arial"/>
          <w:color w:val="000000"/>
          <w:sz w:val="18"/>
          <w:szCs w:val="18"/>
        </w:rPr>
      </w:pPr>
      <w:r>
        <w:rPr>
          <w:rFonts w:ascii="Arial" w:eastAsia="Arial" w:hAnsi="Arial" w:cs="Arial"/>
          <w:color w:val="000000"/>
          <w:sz w:val="18"/>
          <w:szCs w:val="18"/>
        </w:rPr>
        <w:t>Dear SANAP Voyage Participant</w:t>
      </w:r>
    </w:p>
    <w:p w14:paraId="000002CE" w14:textId="77777777" w:rsidR="00073819" w:rsidRDefault="00073819">
      <w:pPr>
        <w:jc w:val="both"/>
        <w:rPr>
          <w:rFonts w:ascii="Arial" w:eastAsia="Arial" w:hAnsi="Arial" w:cs="Arial"/>
          <w:color w:val="000000"/>
          <w:sz w:val="18"/>
          <w:szCs w:val="18"/>
        </w:rPr>
      </w:pPr>
    </w:p>
    <w:p w14:paraId="000002CF" w14:textId="77777777" w:rsidR="00073819" w:rsidRDefault="0099474B">
      <w:pPr>
        <w:jc w:val="both"/>
        <w:rPr>
          <w:rFonts w:ascii="Arial" w:eastAsia="Arial" w:hAnsi="Arial" w:cs="Arial"/>
          <w:color w:val="000000"/>
          <w:sz w:val="18"/>
          <w:szCs w:val="18"/>
        </w:rPr>
      </w:pPr>
      <w:r>
        <w:rPr>
          <w:rFonts w:ascii="Arial" w:eastAsia="Arial" w:hAnsi="Arial" w:cs="Arial"/>
          <w:color w:val="000000"/>
          <w:sz w:val="18"/>
          <w:szCs w:val="18"/>
        </w:rPr>
        <w:t>One of the most serious threats to the conservation of our sub-Antarctic islands and Antarctica is the introduction of alien plants and invertebrates.  Alien species are often able to out-compete local, more vulnerable species, rapidly invading and seriously altering natural communities.  The harmful effects of cats and rodents on the naturally-occurring birds on oceanic islands are well-known, but deleterious effects have been shown from the introductions of alien plants and invertebrates as well.  Introduced diseases could also be potentially disastrous for Antarctica and the islands’ wildlife, particularly seabirds and seals.</w:t>
      </w:r>
    </w:p>
    <w:p w14:paraId="000002D0" w14:textId="77777777" w:rsidR="00073819" w:rsidRDefault="00073819">
      <w:pPr>
        <w:jc w:val="both"/>
        <w:rPr>
          <w:rFonts w:ascii="Arial" w:eastAsia="Arial" w:hAnsi="Arial" w:cs="Arial"/>
          <w:color w:val="000000"/>
          <w:sz w:val="18"/>
          <w:szCs w:val="18"/>
        </w:rPr>
      </w:pPr>
    </w:p>
    <w:p w14:paraId="000002D1" w14:textId="77777777" w:rsidR="00073819" w:rsidRDefault="0099474B">
      <w:pPr>
        <w:jc w:val="both"/>
        <w:rPr>
          <w:rFonts w:ascii="Arial" w:eastAsia="Arial" w:hAnsi="Arial" w:cs="Arial"/>
          <w:color w:val="000000"/>
          <w:sz w:val="18"/>
          <w:szCs w:val="18"/>
        </w:rPr>
      </w:pPr>
      <w:r>
        <w:rPr>
          <w:rFonts w:ascii="Arial" w:eastAsia="Arial" w:hAnsi="Arial" w:cs="Arial"/>
          <w:color w:val="000000"/>
          <w:sz w:val="18"/>
          <w:szCs w:val="18"/>
        </w:rPr>
        <w:t>SANAP is trying its best to avoid introducing new species to the Antarctic and sub-Antarctic, but for this to be successful a determined and continued effort is required by all involved.  YOU can help to protect our islands and Antarctica by doing the following when packing your personal effects for SANAP voyages:</w:t>
      </w:r>
    </w:p>
    <w:p w14:paraId="000002D2" w14:textId="77777777" w:rsidR="00073819" w:rsidRDefault="00073819">
      <w:pPr>
        <w:jc w:val="both"/>
        <w:rPr>
          <w:rFonts w:ascii="Arial" w:eastAsia="Arial" w:hAnsi="Arial" w:cs="Arial"/>
          <w:color w:val="000000"/>
          <w:sz w:val="18"/>
          <w:szCs w:val="18"/>
        </w:rPr>
      </w:pPr>
    </w:p>
    <w:p w14:paraId="000002D3"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GEAR (Footwear &amp; Clothing):</w:t>
      </w:r>
    </w:p>
    <w:p w14:paraId="000002D4"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Please carefully check all </w:t>
      </w:r>
      <w:r>
        <w:rPr>
          <w:rFonts w:ascii="Arial" w:eastAsia="Arial" w:hAnsi="Arial" w:cs="Arial"/>
          <w:color w:val="000000"/>
          <w:sz w:val="18"/>
          <w:szCs w:val="18"/>
          <w:u w:val="single"/>
        </w:rPr>
        <w:t>footwear</w:t>
      </w:r>
      <w:r>
        <w:rPr>
          <w:rFonts w:ascii="Arial" w:eastAsia="Arial" w:hAnsi="Arial" w:cs="Arial"/>
          <w:color w:val="000000"/>
          <w:sz w:val="18"/>
          <w:szCs w:val="18"/>
        </w:rPr>
        <w:t xml:space="preserve"> (inside, soles, laces) and remove any encrusted dirt or mud and any plant material, especially seeds, which you may find.  Try to avoid packing or taking footwear which has Velcro strapping.  Please check and thoroughly clean both your field and indoor footwear.</w:t>
      </w:r>
    </w:p>
    <w:p w14:paraId="000002D5"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In the same way, check the hems, pockets and Velcro strips of all </w:t>
      </w:r>
      <w:r>
        <w:rPr>
          <w:rFonts w:ascii="Arial" w:eastAsia="Arial" w:hAnsi="Arial" w:cs="Arial"/>
          <w:color w:val="000000"/>
          <w:sz w:val="18"/>
          <w:szCs w:val="18"/>
          <w:u w:val="single"/>
        </w:rPr>
        <w:t>clothing</w:t>
      </w:r>
      <w:r>
        <w:rPr>
          <w:rFonts w:ascii="Arial" w:eastAsia="Arial" w:hAnsi="Arial" w:cs="Arial"/>
          <w:color w:val="000000"/>
          <w:sz w:val="18"/>
          <w:szCs w:val="18"/>
        </w:rPr>
        <w:t xml:space="preserve"> that you intend to take ashore, including socks, gloves and jerseys, for seeds and other plant material, and remove anything found using tweezers or forceps.  Preferably do not take clothing with Velcro (unless unused).  All clothing should be washed before packing, and the piece of luggage properly sealed once it is full.</w:t>
      </w:r>
    </w:p>
    <w:p w14:paraId="000002D6" w14:textId="77777777" w:rsidR="00073819" w:rsidRDefault="00073819">
      <w:pPr>
        <w:jc w:val="both"/>
        <w:rPr>
          <w:rFonts w:ascii="Arial" w:eastAsia="Arial" w:hAnsi="Arial" w:cs="Arial"/>
          <w:color w:val="000000"/>
          <w:sz w:val="18"/>
          <w:szCs w:val="18"/>
        </w:rPr>
      </w:pPr>
    </w:p>
    <w:p w14:paraId="000002D7"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GEAR (Luggage):</w:t>
      </w:r>
    </w:p>
    <w:p w14:paraId="000002D8"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Also, carefully check all your </w:t>
      </w:r>
      <w:r>
        <w:rPr>
          <w:rFonts w:ascii="Arial" w:eastAsia="Arial" w:hAnsi="Arial" w:cs="Arial"/>
          <w:color w:val="000000"/>
          <w:sz w:val="18"/>
          <w:szCs w:val="18"/>
          <w:u w:val="single"/>
        </w:rPr>
        <w:t>luggage containers</w:t>
      </w:r>
      <w:r>
        <w:rPr>
          <w:rFonts w:ascii="Arial" w:eastAsia="Arial" w:hAnsi="Arial" w:cs="Arial"/>
          <w:color w:val="000000"/>
          <w:sz w:val="18"/>
          <w:szCs w:val="18"/>
        </w:rPr>
        <w:t>, e.g. “trommels”, personal kitbags, suitcases, backpacks, day packs, camera and video bags or any other bags or containers, which you plan to take ashore, for seeds, other plant material and invertebrates (organic matter).  Be especially careful when checking between seams, in “hidden” pockets, underneath stiffeners and liners and all Velcro material.</w:t>
      </w:r>
    </w:p>
    <w:p w14:paraId="000002D9"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It is advisable to spray luggage containers with a domestic pyrethrin-based </w:t>
      </w:r>
      <w:r>
        <w:rPr>
          <w:rFonts w:ascii="Arial" w:eastAsia="Arial" w:hAnsi="Arial" w:cs="Arial"/>
          <w:color w:val="000000"/>
          <w:sz w:val="18"/>
          <w:szCs w:val="18"/>
          <w:u w:val="single"/>
        </w:rPr>
        <w:t>i</w:t>
      </w:r>
      <w:r>
        <w:rPr>
          <w:rFonts w:ascii="Arial" w:eastAsia="Arial" w:hAnsi="Arial" w:cs="Arial"/>
          <w:color w:val="000000"/>
          <w:sz w:val="18"/>
          <w:szCs w:val="18"/>
        </w:rPr>
        <w:t xml:space="preserve">nsecticide before packing – preferably the night before so that they can air.  Moth balls can be placed in luggage </w:t>
      </w:r>
      <w:proofErr w:type="gramStart"/>
      <w:r>
        <w:rPr>
          <w:rFonts w:ascii="Arial" w:eastAsia="Arial" w:hAnsi="Arial" w:cs="Arial"/>
          <w:color w:val="000000"/>
          <w:sz w:val="18"/>
          <w:szCs w:val="18"/>
        </w:rPr>
        <w:t>containers,</w:t>
      </w:r>
      <w:proofErr w:type="gramEnd"/>
      <w:r>
        <w:rPr>
          <w:rFonts w:ascii="Arial" w:eastAsia="Arial" w:hAnsi="Arial" w:cs="Arial"/>
          <w:color w:val="000000"/>
          <w:sz w:val="18"/>
          <w:szCs w:val="18"/>
        </w:rPr>
        <w:t xml:space="preserve"> however, they have a strong odour.</w:t>
      </w:r>
    </w:p>
    <w:p w14:paraId="000002DB"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GEAR (Equipment &amp; Other):</w:t>
      </w:r>
    </w:p>
    <w:p w14:paraId="000002DC"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lastRenderedPageBreak/>
        <w:t xml:space="preserve">Ensure that all </w:t>
      </w:r>
      <w:r>
        <w:rPr>
          <w:rFonts w:ascii="Arial" w:eastAsia="Arial" w:hAnsi="Arial" w:cs="Arial"/>
          <w:color w:val="000000"/>
          <w:sz w:val="18"/>
          <w:szCs w:val="18"/>
          <w:u w:val="single"/>
        </w:rPr>
        <w:t>equipment</w:t>
      </w:r>
      <w:r>
        <w:rPr>
          <w:rFonts w:ascii="Arial" w:eastAsia="Arial" w:hAnsi="Arial" w:cs="Arial"/>
          <w:color w:val="000000"/>
          <w:sz w:val="18"/>
          <w:szCs w:val="18"/>
        </w:rPr>
        <w:t xml:space="preserve"> you are taking ashore is free of invertebrates, e.g. spiders have been known to live inside desk-top computer cases and in lab equipment.  Also check any items such as camera tripods, surveying poles, walking sticks, hiking (“trek”) poles, etc. for adhering soil and mud and ensure these are properly cleaned.</w:t>
      </w:r>
    </w:p>
    <w:p w14:paraId="000002DD"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u w:val="single"/>
        </w:rPr>
        <w:t>Other</w:t>
      </w:r>
      <w:r>
        <w:rPr>
          <w:rFonts w:ascii="Arial" w:eastAsia="Arial" w:hAnsi="Arial" w:cs="Arial"/>
          <w:color w:val="000000"/>
          <w:sz w:val="18"/>
          <w:szCs w:val="18"/>
        </w:rPr>
        <w:t>: Check books, video cassettes, etc. for fish-moths, cockroaches or any other invertebrates.</w:t>
      </w:r>
    </w:p>
    <w:p w14:paraId="000002DE" w14:textId="77777777" w:rsidR="00073819" w:rsidRDefault="00073819">
      <w:pPr>
        <w:jc w:val="both"/>
        <w:rPr>
          <w:rFonts w:ascii="Arial" w:eastAsia="Arial" w:hAnsi="Arial" w:cs="Arial"/>
          <w:color w:val="000000"/>
          <w:sz w:val="18"/>
          <w:szCs w:val="18"/>
        </w:rPr>
      </w:pPr>
    </w:p>
    <w:p w14:paraId="000002DF"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PACKING &amp; PACKAGING:</w:t>
      </w:r>
    </w:p>
    <w:p w14:paraId="000002E0"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It is necessary to </w:t>
      </w:r>
      <w:r>
        <w:rPr>
          <w:rFonts w:ascii="Arial" w:eastAsia="Arial" w:hAnsi="Arial" w:cs="Arial"/>
          <w:color w:val="000000"/>
          <w:sz w:val="18"/>
          <w:szCs w:val="18"/>
          <w:u w:val="single"/>
        </w:rPr>
        <w:t>pack indoors during the day</w:t>
      </w:r>
      <w:r>
        <w:rPr>
          <w:rFonts w:ascii="Arial" w:eastAsia="Arial" w:hAnsi="Arial" w:cs="Arial"/>
          <w:color w:val="000000"/>
          <w:sz w:val="18"/>
          <w:szCs w:val="18"/>
        </w:rPr>
        <w:t>, and preferably off the floor (e.g. on a low table or bed) to avoid any invertebrates getting into your belongings.  However, if do you have to pack at night, it is essential that you pack in a closed room (with all windows and doors shut) to avoid contamination. Avoid packing directly under strong lights, as flying invertebrates (such as moths) are attracted to these areas.</w:t>
      </w:r>
    </w:p>
    <w:p w14:paraId="000002E1"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Do not take any loose polystyrene </w:t>
      </w:r>
      <w:r>
        <w:rPr>
          <w:rFonts w:ascii="Arial" w:eastAsia="Arial" w:hAnsi="Arial" w:cs="Arial"/>
          <w:color w:val="000000"/>
          <w:sz w:val="18"/>
          <w:szCs w:val="18"/>
          <w:u w:val="single"/>
        </w:rPr>
        <w:t>packaging</w:t>
      </w:r>
      <w:r>
        <w:rPr>
          <w:rFonts w:ascii="Arial" w:eastAsia="Arial" w:hAnsi="Arial" w:cs="Arial"/>
          <w:color w:val="000000"/>
          <w:sz w:val="18"/>
          <w:szCs w:val="18"/>
        </w:rPr>
        <w:t xml:space="preserve"> material (“beads” and “chips” are specifically banned, as they can easily “escape” into the environment), cardboard or unnecessary plastic wrapping to the island.  Cockroaches favour corrugated cardboard boxes, and may lay their eggs between the cardboard layers.  Use reusable plastic “tote” bins for gear and reusable plastic bubble-wrap to protect fragile items.  Remove as much packaging as possible from your belongings, as this minimises waste carried to the island (which then needs to be returned to South Africa).</w:t>
      </w:r>
    </w:p>
    <w:p w14:paraId="000002E2" w14:textId="77777777" w:rsidR="00073819" w:rsidRDefault="00073819">
      <w:pPr>
        <w:jc w:val="both"/>
        <w:rPr>
          <w:rFonts w:ascii="Arial" w:eastAsia="Arial" w:hAnsi="Arial" w:cs="Arial"/>
          <w:color w:val="000000"/>
          <w:sz w:val="18"/>
          <w:szCs w:val="18"/>
        </w:rPr>
      </w:pPr>
    </w:p>
    <w:p w14:paraId="000002E3"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FOOD:</w:t>
      </w:r>
    </w:p>
    <w:p w14:paraId="000002E4"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u w:val="single"/>
        </w:rPr>
        <w:t>No fresh produce</w:t>
      </w:r>
      <w:r>
        <w:rPr>
          <w:rFonts w:ascii="Arial" w:eastAsia="Arial" w:hAnsi="Arial" w:cs="Arial"/>
          <w:color w:val="000000"/>
          <w:sz w:val="18"/>
          <w:szCs w:val="18"/>
        </w:rPr>
        <w:t xml:space="preserve"> of any description, including fruit, vegetables and meat (even though they are available on the ship) may be taken ashore to the islands.</w:t>
      </w:r>
    </w:p>
    <w:p w14:paraId="000002E5"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If you are packing any </w:t>
      </w:r>
      <w:r>
        <w:rPr>
          <w:rFonts w:ascii="Arial" w:eastAsia="Arial" w:hAnsi="Arial" w:cs="Arial"/>
          <w:color w:val="000000"/>
          <w:sz w:val="18"/>
          <w:szCs w:val="18"/>
          <w:u w:val="single"/>
        </w:rPr>
        <w:t>personal food items</w:t>
      </w:r>
      <w:r>
        <w:rPr>
          <w:rFonts w:ascii="Arial" w:eastAsia="Arial" w:hAnsi="Arial" w:cs="Arial"/>
          <w:color w:val="000000"/>
          <w:sz w:val="18"/>
          <w:szCs w:val="18"/>
        </w:rPr>
        <w:t>, such as energy bars containing seeds, ensure that they are well-sealed, cannot germinate and do not carry live organisms (e.g. moulds, fungi, weevils, worms, etc.).</w:t>
      </w:r>
    </w:p>
    <w:p w14:paraId="000002E6" w14:textId="77777777" w:rsidR="00073819" w:rsidRDefault="00073819">
      <w:pPr>
        <w:jc w:val="both"/>
        <w:rPr>
          <w:rFonts w:ascii="Arial" w:eastAsia="Arial" w:hAnsi="Arial" w:cs="Arial"/>
          <w:color w:val="000000"/>
          <w:sz w:val="18"/>
          <w:szCs w:val="18"/>
        </w:rPr>
      </w:pPr>
    </w:p>
    <w:p w14:paraId="000002E7"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PERSONAL PACKAGES:</w:t>
      </w:r>
    </w:p>
    <w:p w14:paraId="000002E8"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If you are an overwintering expedition member and are expecting </w:t>
      </w:r>
      <w:r>
        <w:rPr>
          <w:rFonts w:ascii="Arial" w:eastAsia="Arial" w:hAnsi="Arial" w:cs="Arial"/>
          <w:color w:val="000000"/>
          <w:sz w:val="18"/>
          <w:szCs w:val="18"/>
          <w:u w:val="single"/>
        </w:rPr>
        <w:t>personal packages from colleagues, friends or relatives</w:t>
      </w:r>
      <w:r>
        <w:rPr>
          <w:rFonts w:ascii="Arial" w:eastAsia="Arial" w:hAnsi="Arial" w:cs="Arial"/>
          <w:color w:val="000000"/>
          <w:sz w:val="18"/>
          <w:szCs w:val="18"/>
        </w:rPr>
        <w:t xml:space="preserve"> to be sent to the island after you have arrived there, then you have an important responsibility to inform them carefully to follow these guidelines.  In these ways you will be contributing to keeping Antarctica and the islands as pristine as possible.</w:t>
      </w:r>
    </w:p>
    <w:p w14:paraId="000002E9" w14:textId="77777777" w:rsidR="00073819" w:rsidRDefault="00073819">
      <w:pPr>
        <w:jc w:val="both"/>
        <w:rPr>
          <w:rFonts w:ascii="Arial" w:eastAsia="Arial" w:hAnsi="Arial" w:cs="Arial"/>
          <w:color w:val="000000"/>
          <w:sz w:val="18"/>
          <w:szCs w:val="18"/>
        </w:rPr>
      </w:pPr>
    </w:p>
    <w:p w14:paraId="000002EA"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“BOOT-WASHING CEREMONY”:</w:t>
      </w:r>
    </w:p>
    <w:p w14:paraId="000002EB"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On the southbound voyage, all who are going ashore (including ship-based personnel making day visits only) must take part in a </w:t>
      </w:r>
      <w:r>
        <w:rPr>
          <w:rFonts w:ascii="Arial" w:eastAsia="Arial" w:hAnsi="Arial" w:cs="Arial"/>
          <w:color w:val="000000"/>
          <w:sz w:val="18"/>
          <w:szCs w:val="18"/>
          <w:u w:val="single"/>
        </w:rPr>
        <w:t>compulsory “Boot-washing Ceremony</w:t>
      </w:r>
      <w:r>
        <w:rPr>
          <w:rFonts w:ascii="Arial" w:eastAsia="Arial" w:hAnsi="Arial" w:cs="Arial"/>
          <w:color w:val="000000"/>
          <w:sz w:val="18"/>
          <w:szCs w:val="18"/>
        </w:rPr>
        <w:t xml:space="preserve">”, where a register will be signed.  </w:t>
      </w:r>
    </w:p>
    <w:p w14:paraId="000002EC"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Your gear (footwear, outer clothing, bags, etc.) will then be checked by the Environmental Control Officer/Conservation Officer and you will be required to scrub the soles of all your footwear (not only your field boots) in a disinfectant solution, such as bleach or Virkon S, to prevent the transmission of fungi and diseases to the continent and islands.</w:t>
      </w:r>
    </w:p>
    <w:p w14:paraId="000002ED" w14:textId="77777777" w:rsidR="00073819" w:rsidRDefault="00073819">
      <w:pPr>
        <w:jc w:val="both"/>
        <w:rPr>
          <w:rFonts w:ascii="Arial" w:eastAsia="Arial" w:hAnsi="Arial" w:cs="Arial"/>
          <w:color w:val="000000"/>
          <w:sz w:val="18"/>
          <w:szCs w:val="18"/>
        </w:rPr>
      </w:pPr>
    </w:p>
    <w:p w14:paraId="000002EE" w14:textId="77777777" w:rsidR="00073819" w:rsidRDefault="0099474B">
      <w:pPr>
        <w:jc w:val="both"/>
        <w:rPr>
          <w:rFonts w:ascii="Arial" w:eastAsia="Arial" w:hAnsi="Arial" w:cs="Arial"/>
          <w:b/>
          <w:color w:val="000000"/>
          <w:sz w:val="18"/>
          <w:szCs w:val="18"/>
        </w:rPr>
      </w:pPr>
      <w:r>
        <w:rPr>
          <w:rFonts w:ascii="Arial" w:eastAsia="Arial" w:hAnsi="Arial" w:cs="Arial"/>
          <w:b/>
          <w:color w:val="000000"/>
          <w:sz w:val="18"/>
          <w:szCs w:val="18"/>
        </w:rPr>
        <w:t>BIODEGRADABLE/ENVIRONMENTALLY FRIENDLY PRODUCTS:</w:t>
      </w:r>
    </w:p>
    <w:p w14:paraId="000002EF" w14:textId="77777777" w:rsidR="00073819" w:rsidRDefault="0099474B">
      <w:pPr>
        <w:numPr>
          <w:ilvl w:val="0"/>
          <w:numId w:val="1"/>
        </w:num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There is a wide variety of </w:t>
      </w:r>
      <w:r>
        <w:rPr>
          <w:rFonts w:ascii="Arial" w:eastAsia="Arial" w:hAnsi="Arial" w:cs="Arial"/>
          <w:color w:val="000000"/>
          <w:sz w:val="18"/>
          <w:szCs w:val="18"/>
          <w:u w:val="single"/>
        </w:rPr>
        <w:t>biodegradable/environmentally friendly products</w:t>
      </w:r>
      <w:r>
        <w:rPr>
          <w:rFonts w:ascii="Arial" w:eastAsia="Arial" w:hAnsi="Arial" w:cs="Arial"/>
          <w:color w:val="000000"/>
          <w:sz w:val="18"/>
          <w:szCs w:val="18"/>
        </w:rPr>
        <w:t xml:space="preserve"> available. Where possible, try and buy these rather than conventional products when choosing your toiletries, etc.</w:t>
      </w:r>
    </w:p>
    <w:p w14:paraId="000002F0" w14:textId="77777777" w:rsidR="00073819" w:rsidRDefault="00073819">
      <w:pPr>
        <w:spacing w:after="0" w:line="240" w:lineRule="auto"/>
        <w:ind w:left="360"/>
        <w:jc w:val="both"/>
        <w:rPr>
          <w:rFonts w:ascii="Arial" w:eastAsia="Arial" w:hAnsi="Arial" w:cs="Arial"/>
          <w:color w:val="000000"/>
          <w:sz w:val="18"/>
          <w:szCs w:val="18"/>
        </w:rPr>
      </w:pPr>
    </w:p>
    <w:p w14:paraId="000002F1" w14:textId="77777777" w:rsidR="00073819" w:rsidRDefault="0099474B">
      <w:pPr>
        <w:jc w:val="center"/>
        <w:rPr>
          <w:rFonts w:ascii="Arial" w:eastAsia="Arial" w:hAnsi="Arial" w:cs="Arial"/>
          <w:b/>
          <w:i/>
          <w:color w:val="000000"/>
          <w:sz w:val="18"/>
          <w:szCs w:val="18"/>
        </w:rPr>
      </w:pPr>
      <w:r>
        <w:rPr>
          <w:rFonts w:ascii="Arial" w:eastAsia="Arial" w:hAnsi="Arial" w:cs="Arial"/>
          <w:b/>
          <w:i/>
          <w:color w:val="000000"/>
          <w:sz w:val="18"/>
          <w:szCs w:val="18"/>
        </w:rPr>
        <w:t xml:space="preserve">MANY THANKS FOR YOUR CO-OPERATION </w:t>
      </w:r>
    </w:p>
    <w:p w14:paraId="000002F2" w14:textId="77777777" w:rsidR="00073819" w:rsidRDefault="0099474B">
      <w:pPr>
        <w:jc w:val="center"/>
        <w:rPr>
          <w:rFonts w:ascii="Arial" w:eastAsia="Arial" w:hAnsi="Arial" w:cs="Arial"/>
          <w:b/>
          <w:i/>
          <w:color w:val="000000"/>
          <w:sz w:val="18"/>
          <w:szCs w:val="18"/>
        </w:rPr>
      </w:pPr>
      <w:r>
        <w:rPr>
          <w:rFonts w:ascii="Arial" w:eastAsia="Arial" w:hAnsi="Arial" w:cs="Arial"/>
          <w:b/>
          <w:i/>
          <w:color w:val="000000"/>
          <w:sz w:val="18"/>
          <w:szCs w:val="18"/>
        </w:rPr>
        <w:t xml:space="preserve"> WE HOPE YOU ENJOY YOUR VISIT</w:t>
      </w:r>
    </w:p>
    <w:p w14:paraId="000002F3" w14:textId="77777777" w:rsidR="00073819" w:rsidRDefault="0099474B">
      <w:pPr>
        <w:jc w:val="both"/>
        <w:rPr>
          <w:rFonts w:ascii="Arial" w:eastAsia="Arial" w:hAnsi="Arial" w:cs="Arial"/>
          <w:b/>
          <w:i/>
          <w:color w:val="000000"/>
          <w:sz w:val="18"/>
          <w:szCs w:val="18"/>
        </w:rPr>
      </w:pPr>
      <w:r>
        <w:rPr>
          <w:rFonts w:ascii="Arial" w:eastAsia="Arial" w:hAnsi="Arial" w:cs="Arial"/>
          <w:b/>
          <w:i/>
          <w:color w:val="000000"/>
          <w:sz w:val="18"/>
          <w:szCs w:val="18"/>
        </w:rPr>
        <w:t xml:space="preserve">SANAP Management </w:t>
      </w:r>
    </w:p>
    <w:p w14:paraId="000002F4" w14:textId="77777777" w:rsidR="00073819" w:rsidRDefault="0099474B">
      <w:pPr>
        <w:jc w:val="both"/>
        <w:rPr>
          <w:rFonts w:ascii="Arial" w:eastAsia="Arial" w:hAnsi="Arial" w:cs="Arial"/>
          <w:b/>
          <w:i/>
          <w:color w:val="000000"/>
          <w:sz w:val="18"/>
          <w:szCs w:val="18"/>
        </w:rPr>
      </w:pPr>
      <w:r>
        <w:rPr>
          <w:rFonts w:ascii="Arial" w:eastAsia="Arial" w:hAnsi="Arial" w:cs="Arial"/>
          <w:b/>
          <w:i/>
          <w:color w:val="000000"/>
          <w:sz w:val="18"/>
          <w:szCs w:val="18"/>
        </w:rPr>
        <w:t>September 2009 (Version 4)</w:t>
      </w:r>
    </w:p>
    <w:p w14:paraId="000002F5" w14:textId="77777777" w:rsidR="00073819" w:rsidRDefault="0099474B">
      <w:pPr>
        <w:rPr>
          <w:rFonts w:ascii="Times New Roman" w:eastAsia="Times New Roman" w:hAnsi="Times New Roman" w:cs="Times New Roman"/>
          <w:sz w:val="20"/>
          <w:szCs w:val="20"/>
        </w:rPr>
      </w:pPr>
      <w:r>
        <w:br w:type="page"/>
      </w:r>
    </w:p>
    <w:p w14:paraId="000002F6" w14:textId="29AF4354" w:rsidR="00073819" w:rsidRDefault="0099474B">
      <w:pPr>
        <w:spacing w:line="360" w:lineRule="auto"/>
        <w:rPr>
          <w:rFonts w:ascii="Times New Roman" w:eastAsia="Times New Roman" w:hAnsi="Times New Roman" w:cs="Times New Roman"/>
          <w:i/>
          <w:sz w:val="20"/>
          <w:szCs w:val="20"/>
        </w:rPr>
      </w:pPr>
      <w:r w:rsidRPr="00880247">
        <w:rPr>
          <w:rFonts w:ascii="Times New Roman" w:eastAsia="Times New Roman" w:hAnsi="Times New Roman" w:cs="Times New Roman"/>
          <w:b/>
          <w:sz w:val="20"/>
          <w:szCs w:val="20"/>
        </w:rPr>
        <w:lastRenderedPageBreak/>
        <w:t>Output - Species and Sites treated</w:t>
      </w:r>
      <w:r w:rsidR="000F44FF">
        <w:rPr>
          <w:rFonts w:ascii="Times New Roman" w:eastAsia="Times New Roman" w:hAnsi="Times New Roman" w:cs="Times New Roman"/>
          <w:sz w:val="20"/>
          <w:szCs w:val="20"/>
        </w:rPr>
        <w:t xml:space="preserve"> (</w:t>
      </w:r>
      <w:r w:rsidR="000F44FF" w:rsidRPr="00804836">
        <w:rPr>
          <w:rFonts w:ascii="Times New Roman" w:eastAsia="Times New Roman" w:hAnsi="Times New Roman" w:cs="Times New Roman"/>
          <w:b/>
          <w:bCs/>
          <w:sz w:val="20"/>
          <w:szCs w:val="20"/>
        </w:rPr>
        <w:t>indicator</w:t>
      </w:r>
      <w:r w:rsidR="00880247" w:rsidRPr="00804836">
        <w:rPr>
          <w:rFonts w:ascii="Times New Roman" w:eastAsia="Times New Roman" w:hAnsi="Times New Roman" w:cs="Times New Roman"/>
          <w:b/>
          <w:bCs/>
          <w:sz w:val="20"/>
          <w:szCs w:val="20"/>
        </w:rPr>
        <w:t>s 4.5 and 4.6</w:t>
      </w:r>
      <w:r w:rsidR="00880247">
        <w:rPr>
          <w:rFonts w:ascii="Times New Roman" w:eastAsia="Times New Roman" w:hAnsi="Times New Roman" w:cs="Times New Roman"/>
          <w:sz w:val="20"/>
          <w:szCs w:val="20"/>
        </w:rPr>
        <w:t xml:space="preserve"> respectively)</w:t>
      </w:r>
    </w:p>
    <w:p w14:paraId="000002F7" w14:textId="460C85A6" w:rsidR="00073819" w:rsidRDefault="0099474B">
      <w:pPr>
        <w:spacing w:line="360" w:lineRule="auto"/>
        <w:rPr>
          <w:rFonts w:ascii="Times New Roman" w:eastAsia="Times New Roman" w:hAnsi="Times New Roman" w:cs="Times New Roman"/>
          <w:sz w:val="20"/>
          <w:szCs w:val="20"/>
          <w:highlight w:val="yellow"/>
        </w:rPr>
      </w:pPr>
      <w:r>
        <w:rPr>
          <w:rFonts w:ascii="Times New Roman" w:eastAsia="Times New Roman" w:hAnsi="Times New Roman" w:cs="Times New Roman"/>
          <w:sz w:val="20"/>
          <w:szCs w:val="20"/>
        </w:rPr>
        <w:t>Among the 13 regulated invasive taxa, which include 11 currently present and two with uncertain presence, nine taxa have been managed solely on Marion Island (Table S</w:t>
      </w:r>
      <w:r w:rsidR="006D2F07">
        <w:rPr>
          <w:rFonts w:ascii="Times New Roman" w:eastAsia="Times New Roman" w:hAnsi="Times New Roman" w:cs="Times New Roman"/>
          <w:sz w:val="20"/>
          <w:szCs w:val="20"/>
        </w:rPr>
        <w:t>6</w:t>
      </w:r>
      <w:r>
        <w:rPr>
          <w:rFonts w:ascii="Times New Roman" w:eastAsia="Times New Roman" w:hAnsi="Times New Roman" w:cs="Times New Roman"/>
          <w:sz w:val="20"/>
          <w:szCs w:val="20"/>
        </w:rPr>
        <w:t xml:space="preserve">). Additional attention is directed towards two species, </w:t>
      </w:r>
      <w:proofErr w:type="spellStart"/>
      <w:r>
        <w:rPr>
          <w:rFonts w:ascii="Times New Roman" w:eastAsia="Times New Roman" w:hAnsi="Times New Roman" w:cs="Times New Roman"/>
          <w:i/>
          <w:sz w:val="20"/>
          <w:szCs w:val="20"/>
        </w:rPr>
        <w:t>Holcus</w:t>
      </w:r>
      <w:proofErr w:type="spellEnd"/>
      <w:r>
        <w:rPr>
          <w:rFonts w:ascii="Times New Roman" w:eastAsia="Times New Roman" w:hAnsi="Times New Roman" w:cs="Times New Roman"/>
          <w:i/>
          <w:sz w:val="20"/>
          <w:szCs w:val="20"/>
        </w:rPr>
        <w:t xml:space="preserve"> </w:t>
      </w:r>
      <w:proofErr w:type="spellStart"/>
      <w:r>
        <w:rPr>
          <w:rFonts w:ascii="Times New Roman" w:eastAsia="Times New Roman" w:hAnsi="Times New Roman" w:cs="Times New Roman"/>
          <w:i/>
          <w:sz w:val="20"/>
          <w:szCs w:val="20"/>
        </w:rPr>
        <w:t>lanatus</w:t>
      </w:r>
      <w:proofErr w:type="spellEnd"/>
      <w:r>
        <w:rPr>
          <w:rFonts w:ascii="Times New Roman" w:eastAsia="Times New Roman" w:hAnsi="Times New Roman" w:cs="Times New Roman"/>
          <w:sz w:val="20"/>
          <w:szCs w:val="20"/>
        </w:rPr>
        <w:t xml:space="preserve"> (common velvet grass) and </w:t>
      </w:r>
      <w:r>
        <w:rPr>
          <w:rFonts w:ascii="Times New Roman" w:eastAsia="Times New Roman" w:hAnsi="Times New Roman" w:cs="Times New Roman"/>
          <w:i/>
          <w:sz w:val="20"/>
          <w:szCs w:val="20"/>
        </w:rPr>
        <w:t xml:space="preserve">Porcellio </w:t>
      </w:r>
      <w:proofErr w:type="spellStart"/>
      <w:r>
        <w:rPr>
          <w:rFonts w:ascii="Times New Roman" w:eastAsia="Times New Roman" w:hAnsi="Times New Roman" w:cs="Times New Roman"/>
          <w:i/>
          <w:sz w:val="20"/>
          <w:szCs w:val="20"/>
        </w:rPr>
        <w:t>scaber</w:t>
      </w:r>
      <w:proofErr w:type="spellEnd"/>
      <w:r>
        <w:rPr>
          <w:rFonts w:ascii="Times New Roman" w:eastAsia="Times New Roman" w:hAnsi="Times New Roman" w:cs="Times New Roman"/>
          <w:sz w:val="20"/>
          <w:szCs w:val="20"/>
        </w:rPr>
        <w:t xml:space="preserve"> (common rough woodlouse). These species are not listed in the regulations and are undergoing monitoring to validate eradication efforts. </w:t>
      </w:r>
      <w:r>
        <w:rPr>
          <w:rFonts w:ascii="Times New Roman" w:eastAsia="Times New Roman" w:hAnsi="Times New Roman" w:cs="Times New Roman"/>
          <w:i/>
          <w:sz w:val="20"/>
          <w:szCs w:val="20"/>
        </w:rPr>
        <w:t xml:space="preserve">Juncus </w:t>
      </w:r>
      <w:r>
        <w:rPr>
          <w:rFonts w:ascii="Times New Roman" w:eastAsia="Times New Roman" w:hAnsi="Times New Roman" w:cs="Times New Roman"/>
          <w:sz w:val="20"/>
          <w:szCs w:val="20"/>
        </w:rPr>
        <w:t xml:space="preserve">cf. </w:t>
      </w:r>
      <w:r>
        <w:rPr>
          <w:rFonts w:ascii="Times New Roman" w:eastAsia="Times New Roman" w:hAnsi="Times New Roman" w:cs="Times New Roman"/>
          <w:i/>
          <w:sz w:val="20"/>
          <w:szCs w:val="20"/>
        </w:rPr>
        <w:t>effusus</w:t>
      </w:r>
      <w:r>
        <w:rPr>
          <w:rFonts w:ascii="Times New Roman" w:eastAsia="Times New Roman" w:hAnsi="Times New Roman" w:cs="Times New Roman"/>
          <w:sz w:val="20"/>
          <w:szCs w:val="20"/>
        </w:rPr>
        <w:t xml:space="preserve"> (common rush) was being monitored to confirm eradication in 2022 and 2023, but a population was missed during eradication, and ‘rediscovered’ in 2023 (Michelle Greve pers. obs.). Consequently, the total number of managed species amounts to twelve.</w:t>
      </w:r>
    </w:p>
    <w:p w14:paraId="000002F8"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sites where management efforts occur are predominantly situated on the eastern side of Marion Island, with the majority located within a kilometre of the research base (the most distant site being &lt; 5 km from the base). </w:t>
      </w:r>
    </w:p>
    <w:p w14:paraId="55D68E00" w14:textId="77777777" w:rsidR="001B005C" w:rsidRDefault="001B005C">
      <w:pPr>
        <w:spacing w:line="360" w:lineRule="auto"/>
        <w:rPr>
          <w:rFonts w:ascii="Times New Roman" w:eastAsia="Times New Roman" w:hAnsi="Times New Roman" w:cs="Times New Roman"/>
          <w:b/>
          <w:sz w:val="20"/>
          <w:szCs w:val="20"/>
        </w:rPr>
      </w:pPr>
    </w:p>
    <w:p w14:paraId="000002FA" w14:textId="4C78EADA" w:rsidR="00073819" w:rsidRPr="00880247" w:rsidRDefault="0099474B">
      <w:pPr>
        <w:spacing w:line="360" w:lineRule="auto"/>
        <w:rPr>
          <w:rFonts w:ascii="Times New Roman" w:eastAsia="Times New Roman" w:hAnsi="Times New Roman" w:cs="Times New Roman"/>
          <w:b/>
          <w:sz w:val="20"/>
          <w:szCs w:val="20"/>
        </w:rPr>
      </w:pPr>
      <w:r w:rsidRPr="00880247">
        <w:rPr>
          <w:rFonts w:ascii="Times New Roman" w:eastAsia="Times New Roman" w:hAnsi="Times New Roman" w:cs="Times New Roman"/>
          <w:b/>
          <w:sz w:val="20"/>
          <w:szCs w:val="20"/>
        </w:rPr>
        <w:t>Outcome -</w:t>
      </w:r>
      <w:r w:rsidRPr="00880247">
        <w:rPr>
          <w:rFonts w:ascii="Times New Roman" w:eastAsia="Times New Roman" w:hAnsi="Times New Roman" w:cs="Times New Roman"/>
          <w:b/>
          <w:i/>
          <w:sz w:val="20"/>
          <w:szCs w:val="20"/>
        </w:rPr>
        <w:t xml:space="preserve"> </w:t>
      </w:r>
      <w:r w:rsidRPr="00880247">
        <w:rPr>
          <w:rFonts w:ascii="Times New Roman" w:eastAsia="Times New Roman" w:hAnsi="Times New Roman" w:cs="Times New Roman"/>
          <w:b/>
          <w:sz w:val="20"/>
          <w:szCs w:val="20"/>
        </w:rPr>
        <w:t>Effectiveness of pathway treatments</w:t>
      </w:r>
      <w:r w:rsidR="00880247" w:rsidRPr="00880247">
        <w:rPr>
          <w:rFonts w:ascii="Times New Roman" w:eastAsia="Times New Roman" w:hAnsi="Times New Roman" w:cs="Times New Roman"/>
          <w:b/>
          <w:sz w:val="20"/>
          <w:szCs w:val="20"/>
        </w:rPr>
        <w:t xml:space="preserve"> (indicator 4.7)</w:t>
      </w:r>
    </w:p>
    <w:p w14:paraId="7D41F2EF" w14:textId="2C6DB640" w:rsidR="009C39A4" w:rsidRDefault="00D8577B">
      <w:pPr>
        <w:spacing w:line="360" w:lineRule="auto"/>
        <w:rPr>
          <w:rFonts w:ascii="Times New Roman" w:eastAsia="Times New Roman" w:hAnsi="Times New Roman" w:cs="Times New Roman"/>
          <w:sz w:val="20"/>
          <w:szCs w:val="20"/>
        </w:rPr>
      </w:pPr>
      <w:r w:rsidRPr="00D8577B">
        <w:rPr>
          <w:rFonts w:ascii="Times New Roman" w:eastAsia="Times New Roman" w:hAnsi="Times New Roman" w:cs="Times New Roman"/>
          <w:sz w:val="20"/>
          <w:szCs w:val="20"/>
        </w:rPr>
        <w:t>Based on species that have already established on the PEIs, and on which species have already established on other sub-Antarctic islands, we assume that several species that occur in mainland South Africa can establish on the PEIs, despite the fact that the climate of the islands is very different to that of mainland South Africa.</w:t>
      </w:r>
    </w:p>
    <w:p w14:paraId="000002FB" w14:textId="17B54334" w:rsidR="00073819" w:rsidRDefault="0099474B" w:rsidP="009C39A4">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No alien marine species have been recorded</w:t>
      </w:r>
      <w:r w:rsidR="009C39A4">
        <w:rPr>
          <w:rFonts w:ascii="Times New Roman" w:eastAsia="Times New Roman" w:hAnsi="Times New Roman" w:cs="Times New Roman"/>
          <w:sz w:val="20"/>
          <w:szCs w:val="20"/>
        </w:rPr>
        <w:t xml:space="preserve"> from the PEIs</w:t>
      </w:r>
      <w:r>
        <w:rPr>
          <w:rFonts w:ascii="Times New Roman" w:eastAsia="Times New Roman" w:hAnsi="Times New Roman" w:cs="Times New Roman"/>
          <w:sz w:val="20"/>
          <w:szCs w:val="20"/>
        </w:rPr>
        <w:t xml:space="preserve">. Recent marine introductions may have been prevented by the management interventions that tackle ballast water and hull fouling. But, the marine environment around the islands is also likely unsuitable for the marine species of mainland South Africa. As sea temperatures around the islands are increasing due to climate change, the interventions in place to prevent marine introductions will be increasingly important in future. </w:t>
      </w:r>
    </w:p>
    <w:p w14:paraId="000002FC" w14:textId="77777777" w:rsidR="00073819" w:rsidRDefault="00073819">
      <w:pPr>
        <w:spacing w:line="360" w:lineRule="auto"/>
        <w:rPr>
          <w:rFonts w:ascii="Times New Roman" w:eastAsia="Times New Roman" w:hAnsi="Times New Roman" w:cs="Times New Roman"/>
          <w:sz w:val="20"/>
          <w:szCs w:val="20"/>
        </w:rPr>
      </w:pPr>
    </w:p>
    <w:p w14:paraId="000002FD" w14:textId="3F17CCD1" w:rsidR="00073819" w:rsidRDefault="0099474B">
      <w:pPr>
        <w:spacing w:line="360" w:lineRule="auto"/>
        <w:rPr>
          <w:rFonts w:ascii="Times New Roman" w:eastAsia="Times New Roman" w:hAnsi="Times New Roman" w:cs="Times New Roman"/>
          <w:sz w:val="20"/>
          <w:szCs w:val="20"/>
        </w:rPr>
      </w:pPr>
      <w:r w:rsidRPr="00A427DA">
        <w:rPr>
          <w:rFonts w:ascii="Times New Roman" w:eastAsia="Times New Roman" w:hAnsi="Times New Roman" w:cs="Times New Roman"/>
          <w:b/>
          <w:sz w:val="20"/>
          <w:szCs w:val="20"/>
        </w:rPr>
        <w:t>Outcome - Effectiveness of species and site treatments</w:t>
      </w:r>
      <w:r w:rsidR="009355C5">
        <w:rPr>
          <w:rFonts w:ascii="Times New Roman" w:eastAsia="Times New Roman" w:hAnsi="Times New Roman" w:cs="Times New Roman"/>
          <w:sz w:val="20"/>
          <w:szCs w:val="20"/>
        </w:rPr>
        <w:t xml:space="preserve"> (</w:t>
      </w:r>
      <w:r w:rsidR="009355C5" w:rsidRPr="00804836">
        <w:rPr>
          <w:rFonts w:ascii="Times New Roman" w:eastAsia="Times New Roman" w:hAnsi="Times New Roman" w:cs="Times New Roman"/>
          <w:b/>
          <w:bCs/>
          <w:sz w:val="20"/>
          <w:szCs w:val="20"/>
        </w:rPr>
        <w:t xml:space="preserve">indicators </w:t>
      </w:r>
      <w:r w:rsidR="00A427DA" w:rsidRPr="00804836">
        <w:rPr>
          <w:rFonts w:ascii="Times New Roman" w:eastAsia="Times New Roman" w:hAnsi="Times New Roman" w:cs="Times New Roman"/>
          <w:b/>
          <w:bCs/>
          <w:sz w:val="20"/>
          <w:szCs w:val="20"/>
        </w:rPr>
        <w:t>4.8 and 4.9</w:t>
      </w:r>
      <w:r w:rsidR="00A427DA">
        <w:rPr>
          <w:rFonts w:ascii="Times New Roman" w:eastAsia="Times New Roman" w:hAnsi="Times New Roman" w:cs="Times New Roman"/>
          <w:sz w:val="20"/>
          <w:szCs w:val="20"/>
        </w:rPr>
        <w:t xml:space="preserve"> respectively)</w:t>
      </w:r>
    </w:p>
    <w:p w14:paraId="000002FE" w14:textId="47ABAD75" w:rsidR="00073819" w:rsidRDefault="0099474B">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The success of species treatment depends on the environmental control officers (ECOs) that form part of the overwintering team on MI. They are responsible for many </w:t>
      </w:r>
      <w:r w:rsidR="00C21695">
        <w:rPr>
          <w:rFonts w:ascii="Times New Roman" w:eastAsia="Times New Roman" w:hAnsi="Times New Roman" w:cs="Times New Roman"/>
          <w:sz w:val="20"/>
          <w:szCs w:val="20"/>
        </w:rPr>
        <w:t>tasks but</w:t>
      </w:r>
      <w:r>
        <w:rPr>
          <w:rFonts w:ascii="Times New Roman" w:eastAsia="Times New Roman" w:hAnsi="Times New Roman" w:cs="Times New Roman"/>
          <w:sz w:val="20"/>
          <w:szCs w:val="20"/>
        </w:rPr>
        <w:t xml:space="preserve"> are only supervised on site for three weeks (which may not always be effective or adequate) and the eradication plans that they follow are not always updated with the latest recommendations (Neethling 2019).</w:t>
      </w:r>
    </w:p>
    <w:p w14:paraId="000002FF"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Four species believed to have been eradicated remain part of the eradication plan for ongoing monitoring until confirmation of eradication is obtained through four independent assessment reports spanning 12 years.</w:t>
      </w:r>
    </w:p>
    <w:p w14:paraId="00000300" w14:textId="708928F7" w:rsidR="00073819" w:rsidRDefault="0099474B">
      <w:pPr>
        <w:spacing w:line="360" w:lineRule="auto"/>
        <w:ind w:firstLine="720"/>
        <w:rPr>
          <w:rFonts w:ascii="Times New Roman" w:eastAsia="Times New Roman" w:hAnsi="Times New Roman" w:cs="Times New Roman"/>
          <w:sz w:val="20"/>
          <w:szCs w:val="20"/>
        </w:rPr>
      </w:pPr>
      <w:bookmarkStart w:id="9" w:name="_heading=h.3dy6vkm" w:colFirst="0" w:colLast="0"/>
      <w:bookmarkEnd w:id="9"/>
      <w:r>
        <w:rPr>
          <w:rFonts w:ascii="Times New Roman" w:eastAsia="Times New Roman" w:hAnsi="Times New Roman" w:cs="Times New Roman"/>
          <w:sz w:val="20"/>
          <w:szCs w:val="20"/>
        </w:rPr>
        <w:t>The maximum number of mice captured with traps at the research station was 412 in 2022, but numbers vary annually with survey effort (Table S</w:t>
      </w:r>
      <w:r w:rsidR="00566F91">
        <w:rPr>
          <w:rFonts w:ascii="Times New Roman" w:eastAsia="Times New Roman" w:hAnsi="Times New Roman" w:cs="Times New Roman"/>
          <w:sz w:val="20"/>
          <w:szCs w:val="20"/>
        </w:rPr>
        <w:t>7</w:t>
      </w:r>
      <w:r>
        <w:rPr>
          <w:rFonts w:ascii="Times New Roman" w:eastAsia="Times New Roman" w:hAnsi="Times New Roman" w:cs="Times New Roman"/>
          <w:sz w:val="20"/>
          <w:szCs w:val="20"/>
        </w:rPr>
        <w:t xml:space="preserve">). For instance, in 2018, 255 mice were captured, followed by 62 in 2019 (data collected by ECOs Mr. </w:t>
      </w:r>
      <w:proofErr w:type="spellStart"/>
      <w:r>
        <w:rPr>
          <w:rFonts w:ascii="Times New Roman" w:eastAsia="Times New Roman" w:hAnsi="Times New Roman" w:cs="Times New Roman"/>
          <w:sz w:val="20"/>
          <w:szCs w:val="20"/>
        </w:rPr>
        <w:t>Mishumo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Masithembi</w:t>
      </w:r>
      <w:proofErr w:type="spellEnd"/>
      <w:r>
        <w:rPr>
          <w:rFonts w:ascii="Times New Roman" w:eastAsia="Times New Roman" w:hAnsi="Times New Roman" w:cs="Times New Roman"/>
          <w:sz w:val="20"/>
          <w:szCs w:val="20"/>
        </w:rPr>
        <w:t xml:space="preserve"> and </w:t>
      </w:r>
      <w:proofErr w:type="spellStart"/>
      <w:r>
        <w:rPr>
          <w:rFonts w:ascii="Times New Roman" w:eastAsia="Times New Roman" w:hAnsi="Times New Roman" w:cs="Times New Roman"/>
          <w:sz w:val="20"/>
          <w:szCs w:val="20"/>
        </w:rPr>
        <w:t>Gcobani</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Tshangana</w:t>
      </w:r>
      <w:proofErr w:type="spellEnd"/>
      <w:r>
        <w:rPr>
          <w:rFonts w:ascii="Times New Roman" w:eastAsia="Times New Roman" w:hAnsi="Times New Roman" w:cs="Times New Roman"/>
          <w:sz w:val="20"/>
          <w:szCs w:val="20"/>
        </w:rPr>
        <w:t xml:space="preserve">). There is a lack of available data to evaluate the efficacy of house mice control at the field huts. However, considering the limited extent of the research station and huts within the species' habitat range, coupled with the mice's ability to </w:t>
      </w:r>
      <w:r>
        <w:rPr>
          <w:rFonts w:ascii="Times New Roman" w:eastAsia="Times New Roman" w:hAnsi="Times New Roman" w:cs="Times New Roman"/>
          <w:sz w:val="20"/>
          <w:szCs w:val="20"/>
        </w:rPr>
        <w:lastRenderedPageBreak/>
        <w:t>traverse the landscape, it can be inferred that the impact of control measures is minimal. At most, localised and temporary reductions in densities may occur.</w:t>
      </w:r>
    </w:p>
    <w:p w14:paraId="00000302" w14:textId="732C4226" w:rsidR="00073819" w:rsidRDefault="0099474B">
      <w:pPr>
        <w:spacing w:before="120" w:after="240" w:line="24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Table S</w:t>
      </w:r>
      <w:r w:rsidR="002E2C82">
        <w:rPr>
          <w:rFonts w:ascii="Times New Roman" w:eastAsia="Times New Roman" w:hAnsi="Times New Roman" w:cs="Times New Roman"/>
          <w:b/>
          <w:sz w:val="20"/>
          <w:szCs w:val="20"/>
        </w:rPr>
        <w:t>7</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 xml:space="preserve">Number of mice caught by month and year at Marion Island research station from April–May 2018 to December 2022. The maximum number of mice captured in one month occurred in April–May 2018, but the maximum capture of mice per year occurred in 2022. Data are missing for some months in 2018, 2020 and 2021. Data collected by Mr </w:t>
      </w:r>
      <w:proofErr w:type="spellStart"/>
      <w:r>
        <w:rPr>
          <w:rFonts w:ascii="Times New Roman" w:eastAsia="Times New Roman" w:hAnsi="Times New Roman" w:cs="Times New Roman"/>
          <w:sz w:val="20"/>
          <w:szCs w:val="20"/>
        </w:rPr>
        <w:t>Mishumo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Masithambi</w:t>
      </w:r>
      <w:proofErr w:type="spellEnd"/>
      <w:r>
        <w:rPr>
          <w:rFonts w:ascii="Times New Roman" w:eastAsia="Times New Roman" w:hAnsi="Times New Roman" w:cs="Times New Roman"/>
          <w:sz w:val="20"/>
          <w:szCs w:val="20"/>
        </w:rPr>
        <w:t xml:space="preserve"> and </w:t>
      </w:r>
      <w:proofErr w:type="spellStart"/>
      <w:r>
        <w:rPr>
          <w:rFonts w:ascii="Times New Roman" w:eastAsia="Times New Roman" w:hAnsi="Times New Roman" w:cs="Times New Roman"/>
          <w:sz w:val="20"/>
          <w:szCs w:val="20"/>
        </w:rPr>
        <w:t>Gcobani</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Tshangana</w:t>
      </w:r>
      <w:proofErr w:type="spellEnd"/>
    </w:p>
    <w:tbl>
      <w:tblPr>
        <w:tblStyle w:val="a6"/>
        <w:tblW w:w="6062" w:type="dxa"/>
        <w:jc w:val="center"/>
        <w:tblLayout w:type="fixed"/>
        <w:tblLook w:val="0400" w:firstRow="0" w:lastRow="0" w:firstColumn="0" w:lastColumn="0" w:noHBand="0" w:noVBand="1"/>
      </w:tblPr>
      <w:tblGrid>
        <w:gridCol w:w="1262"/>
        <w:gridCol w:w="960"/>
        <w:gridCol w:w="960"/>
        <w:gridCol w:w="960"/>
        <w:gridCol w:w="960"/>
        <w:gridCol w:w="960"/>
      </w:tblGrid>
      <w:tr w:rsidR="00073819" w14:paraId="25033EF2" w14:textId="77777777">
        <w:trPr>
          <w:trHeight w:val="288"/>
          <w:jc w:val="center"/>
        </w:trPr>
        <w:tc>
          <w:tcPr>
            <w:tcW w:w="1262" w:type="dxa"/>
            <w:tcBorders>
              <w:top w:val="single" w:sz="4" w:space="0" w:color="000000"/>
              <w:left w:val="nil"/>
              <w:bottom w:val="single" w:sz="4" w:space="0" w:color="000000"/>
              <w:right w:val="nil"/>
            </w:tcBorders>
            <w:shd w:val="clear" w:color="auto" w:fill="auto"/>
            <w:vAlign w:val="bottom"/>
          </w:tcPr>
          <w:p w14:paraId="00000303"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960" w:type="dxa"/>
            <w:tcBorders>
              <w:top w:val="single" w:sz="4" w:space="0" w:color="000000"/>
              <w:left w:val="nil"/>
              <w:bottom w:val="single" w:sz="4" w:space="0" w:color="000000"/>
              <w:right w:val="nil"/>
            </w:tcBorders>
            <w:shd w:val="clear" w:color="auto" w:fill="auto"/>
            <w:vAlign w:val="bottom"/>
          </w:tcPr>
          <w:p w14:paraId="00000304" w14:textId="77777777" w:rsidR="00073819" w:rsidRDefault="0099474B">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2018</w:t>
            </w:r>
          </w:p>
        </w:tc>
        <w:tc>
          <w:tcPr>
            <w:tcW w:w="960" w:type="dxa"/>
            <w:tcBorders>
              <w:top w:val="single" w:sz="4" w:space="0" w:color="000000"/>
              <w:left w:val="nil"/>
              <w:bottom w:val="single" w:sz="4" w:space="0" w:color="000000"/>
              <w:right w:val="nil"/>
            </w:tcBorders>
            <w:shd w:val="clear" w:color="auto" w:fill="auto"/>
            <w:vAlign w:val="bottom"/>
          </w:tcPr>
          <w:p w14:paraId="00000305" w14:textId="77777777" w:rsidR="00073819" w:rsidRDefault="0099474B">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2019</w:t>
            </w:r>
          </w:p>
        </w:tc>
        <w:tc>
          <w:tcPr>
            <w:tcW w:w="960" w:type="dxa"/>
            <w:tcBorders>
              <w:top w:val="single" w:sz="4" w:space="0" w:color="000000"/>
              <w:left w:val="nil"/>
              <w:bottom w:val="single" w:sz="4" w:space="0" w:color="000000"/>
              <w:right w:val="nil"/>
            </w:tcBorders>
            <w:shd w:val="clear" w:color="auto" w:fill="auto"/>
            <w:vAlign w:val="bottom"/>
          </w:tcPr>
          <w:p w14:paraId="00000306" w14:textId="77777777" w:rsidR="00073819" w:rsidRDefault="0099474B">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2020</w:t>
            </w:r>
          </w:p>
        </w:tc>
        <w:tc>
          <w:tcPr>
            <w:tcW w:w="960" w:type="dxa"/>
            <w:tcBorders>
              <w:top w:val="single" w:sz="4" w:space="0" w:color="000000"/>
              <w:left w:val="nil"/>
              <w:bottom w:val="single" w:sz="4" w:space="0" w:color="000000"/>
              <w:right w:val="nil"/>
            </w:tcBorders>
            <w:shd w:val="clear" w:color="auto" w:fill="auto"/>
            <w:vAlign w:val="bottom"/>
          </w:tcPr>
          <w:p w14:paraId="00000307" w14:textId="77777777" w:rsidR="00073819" w:rsidRDefault="0099474B">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2021</w:t>
            </w:r>
          </w:p>
        </w:tc>
        <w:tc>
          <w:tcPr>
            <w:tcW w:w="960" w:type="dxa"/>
            <w:tcBorders>
              <w:top w:val="single" w:sz="4" w:space="0" w:color="000000"/>
              <w:left w:val="nil"/>
              <w:bottom w:val="single" w:sz="4" w:space="0" w:color="000000"/>
              <w:right w:val="nil"/>
            </w:tcBorders>
            <w:shd w:val="clear" w:color="auto" w:fill="auto"/>
            <w:vAlign w:val="bottom"/>
          </w:tcPr>
          <w:p w14:paraId="00000308" w14:textId="77777777" w:rsidR="00073819" w:rsidRDefault="0099474B">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2022</w:t>
            </w:r>
          </w:p>
        </w:tc>
      </w:tr>
      <w:tr w:rsidR="00073819" w14:paraId="0892924C" w14:textId="77777777">
        <w:trPr>
          <w:trHeight w:val="288"/>
          <w:jc w:val="center"/>
        </w:trPr>
        <w:tc>
          <w:tcPr>
            <w:tcW w:w="1262" w:type="dxa"/>
            <w:tcBorders>
              <w:top w:val="nil"/>
              <w:left w:val="nil"/>
              <w:bottom w:val="nil"/>
              <w:right w:val="nil"/>
            </w:tcBorders>
            <w:shd w:val="clear" w:color="auto" w:fill="auto"/>
            <w:vAlign w:val="bottom"/>
          </w:tcPr>
          <w:p w14:paraId="00000309"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January</w:t>
            </w:r>
          </w:p>
        </w:tc>
        <w:tc>
          <w:tcPr>
            <w:tcW w:w="960" w:type="dxa"/>
            <w:tcBorders>
              <w:top w:val="nil"/>
              <w:left w:val="nil"/>
              <w:bottom w:val="nil"/>
              <w:right w:val="nil"/>
            </w:tcBorders>
            <w:shd w:val="clear" w:color="auto" w:fill="auto"/>
            <w:vAlign w:val="bottom"/>
          </w:tcPr>
          <w:p w14:paraId="0000030A"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0B"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960" w:type="dxa"/>
            <w:tcBorders>
              <w:top w:val="nil"/>
              <w:left w:val="nil"/>
              <w:bottom w:val="nil"/>
              <w:right w:val="nil"/>
            </w:tcBorders>
            <w:shd w:val="clear" w:color="auto" w:fill="auto"/>
            <w:vAlign w:val="bottom"/>
          </w:tcPr>
          <w:p w14:paraId="0000030C"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0D"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0E"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r>
      <w:tr w:rsidR="00073819" w14:paraId="7A0332EA" w14:textId="77777777">
        <w:trPr>
          <w:trHeight w:val="288"/>
          <w:jc w:val="center"/>
        </w:trPr>
        <w:tc>
          <w:tcPr>
            <w:tcW w:w="1262" w:type="dxa"/>
            <w:tcBorders>
              <w:top w:val="nil"/>
              <w:left w:val="nil"/>
              <w:bottom w:val="nil"/>
              <w:right w:val="nil"/>
            </w:tcBorders>
            <w:shd w:val="clear" w:color="auto" w:fill="auto"/>
            <w:vAlign w:val="bottom"/>
          </w:tcPr>
          <w:p w14:paraId="0000030F"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February</w:t>
            </w:r>
          </w:p>
        </w:tc>
        <w:tc>
          <w:tcPr>
            <w:tcW w:w="960" w:type="dxa"/>
            <w:tcBorders>
              <w:top w:val="nil"/>
              <w:left w:val="nil"/>
              <w:bottom w:val="nil"/>
              <w:right w:val="nil"/>
            </w:tcBorders>
            <w:shd w:val="clear" w:color="auto" w:fill="auto"/>
            <w:vAlign w:val="bottom"/>
          </w:tcPr>
          <w:p w14:paraId="00000310"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11"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c>
          <w:tcPr>
            <w:tcW w:w="960" w:type="dxa"/>
            <w:tcBorders>
              <w:top w:val="nil"/>
              <w:left w:val="nil"/>
              <w:bottom w:val="nil"/>
              <w:right w:val="nil"/>
            </w:tcBorders>
            <w:shd w:val="clear" w:color="auto" w:fill="auto"/>
            <w:vAlign w:val="bottom"/>
          </w:tcPr>
          <w:p w14:paraId="00000312"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c>
          <w:tcPr>
            <w:tcW w:w="960" w:type="dxa"/>
            <w:tcBorders>
              <w:top w:val="nil"/>
              <w:left w:val="nil"/>
              <w:bottom w:val="nil"/>
              <w:right w:val="nil"/>
            </w:tcBorders>
            <w:shd w:val="clear" w:color="auto" w:fill="auto"/>
            <w:vAlign w:val="bottom"/>
          </w:tcPr>
          <w:p w14:paraId="00000313"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14"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r>
      <w:tr w:rsidR="00073819" w14:paraId="67C53BE2" w14:textId="77777777">
        <w:trPr>
          <w:trHeight w:val="288"/>
          <w:jc w:val="center"/>
        </w:trPr>
        <w:tc>
          <w:tcPr>
            <w:tcW w:w="1262" w:type="dxa"/>
            <w:tcBorders>
              <w:top w:val="nil"/>
              <w:left w:val="nil"/>
              <w:bottom w:val="nil"/>
              <w:right w:val="nil"/>
            </w:tcBorders>
            <w:shd w:val="clear" w:color="auto" w:fill="auto"/>
            <w:vAlign w:val="bottom"/>
          </w:tcPr>
          <w:p w14:paraId="00000315"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March</w:t>
            </w:r>
          </w:p>
        </w:tc>
        <w:tc>
          <w:tcPr>
            <w:tcW w:w="960" w:type="dxa"/>
            <w:tcBorders>
              <w:top w:val="nil"/>
              <w:left w:val="nil"/>
              <w:bottom w:val="nil"/>
              <w:right w:val="nil"/>
            </w:tcBorders>
            <w:shd w:val="clear" w:color="auto" w:fill="auto"/>
            <w:vAlign w:val="bottom"/>
          </w:tcPr>
          <w:p w14:paraId="00000316"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17"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27</w:t>
            </w:r>
          </w:p>
        </w:tc>
        <w:tc>
          <w:tcPr>
            <w:tcW w:w="960" w:type="dxa"/>
            <w:tcBorders>
              <w:top w:val="nil"/>
              <w:left w:val="nil"/>
              <w:bottom w:val="nil"/>
              <w:right w:val="nil"/>
            </w:tcBorders>
            <w:shd w:val="clear" w:color="auto" w:fill="auto"/>
            <w:vAlign w:val="bottom"/>
          </w:tcPr>
          <w:p w14:paraId="00000318"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19"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1A"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r>
      <w:tr w:rsidR="00073819" w14:paraId="14973721" w14:textId="77777777">
        <w:trPr>
          <w:trHeight w:val="288"/>
          <w:jc w:val="center"/>
        </w:trPr>
        <w:tc>
          <w:tcPr>
            <w:tcW w:w="1262" w:type="dxa"/>
            <w:tcBorders>
              <w:top w:val="nil"/>
              <w:left w:val="nil"/>
              <w:bottom w:val="nil"/>
              <w:right w:val="nil"/>
            </w:tcBorders>
            <w:shd w:val="clear" w:color="auto" w:fill="auto"/>
            <w:vAlign w:val="bottom"/>
          </w:tcPr>
          <w:p w14:paraId="0000031B"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April– May</w:t>
            </w:r>
          </w:p>
        </w:tc>
        <w:tc>
          <w:tcPr>
            <w:tcW w:w="960" w:type="dxa"/>
            <w:tcBorders>
              <w:top w:val="nil"/>
              <w:left w:val="nil"/>
              <w:bottom w:val="nil"/>
              <w:right w:val="nil"/>
            </w:tcBorders>
            <w:shd w:val="clear" w:color="auto" w:fill="auto"/>
            <w:vAlign w:val="bottom"/>
          </w:tcPr>
          <w:p w14:paraId="0000031C"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w:t>
            </w:r>
          </w:p>
        </w:tc>
        <w:tc>
          <w:tcPr>
            <w:tcW w:w="960" w:type="dxa"/>
            <w:tcBorders>
              <w:top w:val="nil"/>
              <w:left w:val="nil"/>
              <w:bottom w:val="nil"/>
              <w:right w:val="nil"/>
            </w:tcBorders>
            <w:shd w:val="clear" w:color="auto" w:fill="auto"/>
            <w:vAlign w:val="bottom"/>
          </w:tcPr>
          <w:p w14:paraId="0000031D"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c>
          <w:tcPr>
            <w:tcW w:w="960" w:type="dxa"/>
            <w:tcBorders>
              <w:top w:val="nil"/>
              <w:left w:val="nil"/>
              <w:bottom w:val="nil"/>
              <w:right w:val="nil"/>
            </w:tcBorders>
            <w:shd w:val="clear" w:color="auto" w:fill="auto"/>
            <w:vAlign w:val="bottom"/>
          </w:tcPr>
          <w:p w14:paraId="0000031E"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1F"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w:t>
            </w:r>
          </w:p>
        </w:tc>
        <w:tc>
          <w:tcPr>
            <w:tcW w:w="960" w:type="dxa"/>
            <w:tcBorders>
              <w:top w:val="nil"/>
              <w:left w:val="nil"/>
              <w:bottom w:val="nil"/>
              <w:right w:val="nil"/>
            </w:tcBorders>
            <w:shd w:val="clear" w:color="auto" w:fill="auto"/>
            <w:vAlign w:val="bottom"/>
          </w:tcPr>
          <w:p w14:paraId="00000320"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155</w:t>
            </w:r>
          </w:p>
        </w:tc>
      </w:tr>
      <w:tr w:rsidR="00073819" w14:paraId="082AA14B" w14:textId="77777777">
        <w:trPr>
          <w:trHeight w:val="288"/>
          <w:jc w:val="center"/>
        </w:trPr>
        <w:tc>
          <w:tcPr>
            <w:tcW w:w="1262" w:type="dxa"/>
            <w:tcBorders>
              <w:top w:val="nil"/>
              <w:left w:val="nil"/>
              <w:bottom w:val="nil"/>
              <w:right w:val="nil"/>
            </w:tcBorders>
            <w:shd w:val="clear" w:color="auto" w:fill="auto"/>
            <w:vAlign w:val="bottom"/>
          </w:tcPr>
          <w:p w14:paraId="00000321"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June</w:t>
            </w:r>
          </w:p>
        </w:tc>
        <w:tc>
          <w:tcPr>
            <w:tcW w:w="960" w:type="dxa"/>
            <w:tcBorders>
              <w:top w:val="nil"/>
              <w:left w:val="nil"/>
              <w:bottom w:val="nil"/>
              <w:right w:val="nil"/>
            </w:tcBorders>
            <w:shd w:val="clear" w:color="auto" w:fill="auto"/>
            <w:vAlign w:val="bottom"/>
          </w:tcPr>
          <w:p w14:paraId="00000322"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w:t>
            </w:r>
          </w:p>
        </w:tc>
        <w:tc>
          <w:tcPr>
            <w:tcW w:w="960" w:type="dxa"/>
            <w:tcBorders>
              <w:top w:val="nil"/>
              <w:left w:val="nil"/>
              <w:bottom w:val="nil"/>
              <w:right w:val="nil"/>
            </w:tcBorders>
            <w:shd w:val="clear" w:color="auto" w:fill="auto"/>
            <w:vAlign w:val="bottom"/>
          </w:tcPr>
          <w:p w14:paraId="00000323"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p>
        </w:tc>
        <w:tc>
          <w:tcPr>
            <w:tcW w:w="960" w:type="dxa"/>
            <w:tcBorders>
              <w:top w:val="nil"/>
              <w:left w:val="nil"/>
              <w:bottom w:val="nil"/>
              <w:right w:val="nil"/>
            </w:tcBorders>
            <w:shd w:val="clear" w:color="auto" w:fill="auto"/>
            <w:vAlign w:val="bottom"/>
          </w:tcPr>
          <w:p w14:paraId="00000324"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25"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16</w:t>
            </w:r>
          </w:p>
        </w:tc>
        <w:tc>
          <w:tcPr>
            <w:tcW w:w="960" w:type="dxa"/>
            <w:tcBorders>
              <w:top w:val="nil"/>
              <w:left w:val="nil"/>
              <w:bottom w:val="nil"/>
              <w:right w:val="nil"/>
            </w:tcBorders>
            <w:shd w:val="clear" w:color="auto" w:fill="auto"/>
            <w:vAlign w:val="bottom"/>
          </w:tcPr>
          <w:p w14:paraId="00000326"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103</w:t>
            </w:r>
          </w:p>
        </w:tc>
      </w:tr>
      <w:tr w:rsidR="00073819" w14:paraId="667A657A" w14:textId="77777777">
        <w:trPr>
          <w:trHeight w:val="288"/>
          <w:jc w:val="center"/>
        </w:trPr>
        <w:tc>
          <w:tcPr>
            <w:tcW w:w="1262" w:type="dxa"/>
            <w:tcBorders>
              <w:top w:val="nil"/>
              <w:left w:val="nil"/>
              <w:bottom w:val="nil"/>
              <w:right w:val="nil"/>
            </w:tcBorders>
            <w:shd w:val="clear" w:color="auto" w:fill="auto"/>
            <w:vAlign w:val="bottom"/>
          </w:tcPr>
          <w:p w14:paraId="00000327"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July</w:t>
            </w:r>
          </w:p>
        </w:tc>
        <w:tc>
          <w:tcPr>
            <w:tcW w:w="960" w:type="dxa"/>
            <w:tcBorders>
              <w:top w:val="nil"/>
              <w:left w:val="nil"/>
              <w:bottom w:val="nil"/>
              <w:right w:val="nil"/>
            </w:tcBorders>
            <w:shd w:val="clear" w:color="auto" w:fill="auto"/>
            <w:vAlign w:val="bottom"/>
          </w:tcPr>
          <w:p w14:paraId="00000328"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19</w:t>
            </w:r>
          </w:p>
        </w:tc>
        <w:tc>
          <w:tcPr>
            <w:tcW w:w="960" w:type="dxa"/>
            <w:tcBorders>
              <w:top w:val="nil"/>
              <w:left w:val="nil"/>
              <w:bottom w:val="nil"/>
              <w:right w:val="nil"/>
            </w:tcBorders>
            <w:shd w:val="clear" w:color="auto" w:fill="auto"/>
            <w:vAlign w:val="bottom"/>
          </w:tcPr>
          <w:p w14:paraId="00000329"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p>
        </w:tc>
        <w:tc>
          <w:tcPr>
            <w:tcW w:w="960" w:type="dxa"/>
            <w:tcBorders>
              <w:top w:val="nil"/>
              <w:left w:val="nil"/>
              <w:bottom w:val="nil"/>
              <w:right w:val="nil"/>
            </w:tcBorders>
            <w:shd w:val="clear" w:color="auto" w:fill="auto"/>
            <w:vAlign w:val="bottom"/>
          </w:tcPr>
          <w:p w14:paraId="0000032A"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2B"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w:t>
            </w:r>
          </w:p>
        </w:tc>
        <w:tc>
          <w:tcPr>
            <w:tcW w:w="960" w:type="dxa"/>
            <w:tcBorders>
              <w:top w:val="nil"/>
              <w:left w:val="nil"/>
              <w:bottom w:val="nil"/>
              <w:right w:val="nil"/>
            </w:tcBorders>
            <w:shd w:val="clear" w:color="auto" w:fill="auto"/>
            <w:vAlign w:val="bottom"/>
          </w:tcPr>
          <w:p w14:paraId="0000032C"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35</w:t>
            </w:r>
          </w:p>
        </w:tc>
      </w:tr>
      <w:tr w:rsidR="00073819" w14:paraId="0093F21C" w14:textId="77777777">
        <w:trPr>
          <w:trHeight w:val="288"/>
          <w:jc w:val="center"/>
        </w:trPr>
        <w:tc>
          <w:tcPr>
            <w:tcW w:w="1262" w:type="dxa"/>
            <w:tcBorders>
              <w:top w:val="nil"/>
              <w:left w:val="nil"/>
              <w:bottom w:val="nil"/>
              <w:right w:val="nil"/>
            </w:tcBorders>
            <w:shd w:val="clear" w:color="auto" w:fill="auto"/>
            <w:vAlign w:val="bottom"/>
          </w:tcPr>
          <w:p w14:paraId="0000032D"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August</w:t>
            </w:r>
          </w:p>
        </w:tc>
        <w:tc>
          <w:tcPr>
            <w:tcW w:w="960" w:type="dxa"/>
            <w:tcBorders>
              <w:top w:val="nil"/>
              <w:left w:val="nil"/>
              <w:bottom w:val="nil"/>
              <w:right w:val="nil"/>
            </w:tcBorders>
            <w:shd w:val="clear" w:color="auto" w:fill="auto"/>
            <w:vAlign w:val="bottom"/>
          </w:tcPr>
          <w:p w14:paraId="0000032E"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960" w:type="dxa"/>
            <w:tcBorders>
              <w:top w:val="nil"/>
              <w:left w:val="nil"/>
              <w:bottom w:val="nil"/>
              <w:right w:val="nil"/>
            </w:tcBorders>
            <w:shd w:val="clear" w:color="auto" w:fill="auto"/>
            <w:vAlign w:val="bottom"/>
          </w:tcPr>
          <w:p w14:paraId="0000032F"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960" w:type="dxa"/>
            <w:tcBorders>
              <w:top w:val="nil"/>
              <w:left w:val="nil"/>
              <w:bottom w:val="nil"/>
              <w:right w:val="nil"/>
            </w:tcBorders>
            <w:shd w:val="clear" w:color="auto" w:fill="auto"/>
            <w:vAlign w:val="bottom"/>
          </w:tcPr>
          <w:p w14:paraId="00000330"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31"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32"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w:t>
            </w:r>
          </w:p>
        </w:tc>
      </w:tr>
      <w:tr w:rsidR="00073819" w14:paraId="46BBC828" w14:textId="77777777">
        <w:trPr>
          <w:trHeight w:val="288"/>
          <w:jc w:val="center"/>
        </w:trPr>
        <w:tc>
          <w:tcPr>
            <w:tcW w:w="1262" w:type="dxa"/>
            <w:tcBorders>
              <w:top w:val="nil"/>
              <w:left w:val="nil"/>
              <w:bottom w:val="nil"/>
              <w:right w:val="nil"/>
            </w:tcBorders>
            <w:shd w:val="clear" w:color="auto" w:fill="auto"/>
            <w:vAlign w:val="bottom"/>
          </w:tcPr>
          <w:p w14:paraId="00000333"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September</w:t>
            </w:r>
          </w:p>
        </w:tc>
        <w:tc>
          <w:tcPr>
            <w:tcW w:w="960" w:type="dxa"/>
            <w:tcBorders>
              <w:top w:val="nil"/>
              <w:left w:val="nil"/>
              <w:bottom w:val="nil"/>
              <w:right w:val="nil"/>
            </w:tcBorders>
            <w:shd w:val="clear" w:color="auto" w:fill="auto"/>
            <w:vAlign w:val="bottom"/>
          </w:tcPr>
          <w:p w14:paraId="00000334"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960" w:type="dxa"/>
            <w:tcBorders>
              <w:top w:val="nil"/>
              <w:left w:val="nil"/>
              <w:bottom w:val="nil"/>
              <w:right w:val="nil"/>
            </w:tcBorders>
            <w:shd w:val="clear" w:color="auto" w:fill="auto"/>
            <w:vAlign w:val="bottom"/>
          </w:tcPr>
          <w:p w14:paraId="00000335"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960" w:type="dxa"/>
            <w:tcBorders>
              <w:top w:val="nil"/>
              <w:left w:val="nil"/>
              <w:bottom w:val="nil"/>
              <w:right w:val="nil"/>
            </w:tcBorders>
            <w:shd w:val="clear" w:color="auto" w:fill="auto"/>
            <w:vAlign w:val="bottom"/>
          </w:tcPr>
          <w:p w14:paraId="00000336"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37"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960" w:type="dxa"/>
            <w:tcBorders>
              <w:top w:val="nil"/>
              <w:left w:val="nil"/>
              <w:bottom w:val="nil"/>
              <w:right w:val="nil"/>
            </w:tcBorders>
            <w:shd w:val="clear" w:color="auto" w:fill="auto"/>
            <w:vAlign w:val="bottom"/>
          </w:tcPr>
          <w:p w14:paraId="00000338"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r>
      <w:tr w:rsidR="00073819" w14:paraId="2CFA71E9" w14:textId="77777777">
        <w:trPr>
          <w:trHeight w:val="288"/>
          <w:jc w:val="center"/>
        </w:trPr>
        <w:tc>
          <w:tcPr>
            <w:tcW w:w="1262" w:type="dxa"/>
            <w:tcBorders>
              <w:top w:val="nil"/>
              <w:left w:val="nil"/>
              <w:bottom w:val="nil"/>
              <w:right w:val="nil"/>
            </w:tcBorders>
            <w:shd w:val="clear" w:color="auto" w:fill="auto"/>
            <w:vAlign w:val="bottom"/>
          </w:tcPr>
          <w:p w14:paraId="00000339"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October</w:t>
            </w:r>
          </w:p>
        </w:tc>
        <w:tc>
          <w:tcPr>
            <w:tcW w:w="960" w:type="dxa"/>
            <w:tcBorders>
              <w:top w:val="nil"/>
              <w:left w:val="nil"/>
              <w:bottom w:val="nil"/>
              <w:right w:val="nil"/>
            </w:tcBorders>
            <w:shd w:val="clear" w:color="auto" w:fill="auto"/>
            <w:vAlign w:val="bottom"/>
          </w:tcPr>
          <w:p w14:paraId="0000033A"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p>
        </w:tc>
        <w:tc>
          <w:tcPr>
            <w:tcW w:w="960" w:type="dxa"/>
            <w:tcBorders>
              <w:top w:val="nil"/>
              <w:left w:val="nil"/>
              <w:bottom w:val="nil"/>
              <w:right w:val="nil"/>
            </w:tcBorders>
            <w:shd w:val="clear" w:color="auto" w:fill="auto"/>
            <w:vAlign w:val="bottom"/>
          </w:tcPr>
          <w:p w14:paraId="0000033B"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3C"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3D"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960" w:type="dxa"/>
            <w:tcBorders>
              <w:top w:val="nil"/>
              <w:left w:val="nil"/>
              <w:bottom w:val="nil"/>
              <w:right w:val="nil"/>
            </w:tcBorders>
            <w:shd w:val="clear" w:color="auto" w:fill="auto"/>
            <w:vAlign w:val="bottom"/>
          </w:tcPr>
          <w:p w14:paraId="0000033E"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r>
      <w:tr w:rsidR="00073819" w14:paraId="1EF0D29C" w14:textId="77777777">
        <w:trPr>
          <w:trHeight w:val="288"/>
          <w:jc w:val="center"/>
        </w:trPr>
        <w:tc>
          <w:tcPr>
            <w:tcW w:w="1262" w:type="dxa"/>
            <w:tcBorders>
              <w:top w:val="nil"/>
              <w:left w:val="nil"/>
              <w:bottom w:val="nil"/>
              <w:right w:val="nil"/>
            </w:tcBorders>
            <w:shd w:val="clear" w:color="auto" w:fill="auto"/>
            <w:vAlign w:val="bottom"/>
          </w:tcPr>
          <w:p w14:paraId="0000033F"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November</w:t>
            </w:r>
          </w:p>
        </w:tc>
        <w:tc>
          <w:tcPr>
            <w:tcW w:w="960" w:type="dxa"/>
            <w:tcBorders>
              <w:top w:val="nil"/>
              <w:left w:val="nil"/>
              <w:bottom w:val="nil"/>
              <w:right w:val="nil"/>
            </w:tcBorders>
            <w:shd w:val="clear" w:color="auto" w:fill="auto"/>
            <w:vAlign w:val="bottom"/>
          </w:tcPr>
          <w:p w14:paraId="00000340"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960" w:type="dxa"/>
            <w:tcBorders>
              <w:top w:val="nil"/>
              <w:left w:val="nil"/>
              <w:bottom w:val="nil"/>
              <w:right w:val="nil"/>
            </w:tcBorders>
            <w:shd w:val="clear" w:color="auto" w:fill="auto"/>
            <w:vAlign w:val="bottom"/>
          </w:tcPr>
          <w:p w14:paraId="00000341"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42"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43"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44"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p>
        </w:tc>
      </w:tr>
      <w:tr w:rsidR="00073819" w14:paraId="17CC71C8" w14:textId="77777777">
        <w:trPr>
          <w:trHeight w:val="288"/>
          <w:jc w:val="center"/>
        </w:trPr>
        <w:tc>
          <w:tcPr>
            <w:tcW w:w="1262" w:type="dxa"/>
            <w:tcBorders>
              <w:top w:val="nil"/>
              <w:left w:val="nil"/>
              <w:bottom w:val="nil"/>
              <w:right w:val="nil"/>
            </w:tcBorders>
            <w:shd w:val="clear" w:color="auto" w:fill="auto"/>
            <w:vAlign w:val="bottom"/>
          </w:tcPr>
          <w:p w14:paraId="00000345"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December</w:t>
            </w:r>
          </w:p>
        </w:tc>
        <w:tc>
          <w:tcPr>
            <w:tcW w:w="960" w:type="dxa"/>
            <w:tcBorders>
              <w:top w:val="nil"/>
              <w:left w:val="nil"/>
              <w:bottom w:val="nil"/>
              <w:right w:val="nil"/>
            </w:tcBorders>
            <w:shd w:val="clear" w:color="auto" w:fill="auto"/>
            <w:vAlign w:val="bottom"/>
          </w:tcPr>
          <w:p w14:paraId="00000346"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960" w:type="dxa"/>
            <w:tcBorders>
              <w:top w:val="nil"/>
              <w:left w:val="nil"/>
              <w:bottom w:val="nil"/>
              <w:right w:val="nil"/>
            </w:tcBorders>
            <w:shd w:val="clear" w:color="auto" w:fill="auto"/>
            <w:vAlign w:val="bottom"/>
          </w:tcPr>
          <w:p w14:paraId="00000347"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48" w14:textId="77777777" w:rsidR="00073819" w:rsidRDefault="0099474B">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data</w:t>
            </w:r>
          </w:p>
        </w:tc>
        <w:tc>
          <w:tcPr>
            <w:tcW w:w="960" w:type="dxa"/>
            <w:tcBorders>
              <w:top w:val="nil"/>
              <w:left w:val="nil"/>
              <w:bottom w:val="nil"/>
              <w:right w:val="nil"/>
            </w:tcBorders>
            <w:shd w:val="clear" w:color="auto" w:fill="auto"/>
            <w:vAlign w:val="bottom"/>
          </w:tcPr>
          <w:p w14:paraId="00000349"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960" w:type="dxa"/>
            <w:tcBorders>
              <w:top w:val="nil"/>
              <w:left w:val="nil"/>
              <w:bottom w:val="nil"/>
              <w:right w:val="nil"/>
            </w:tcBorders>
            <w:shd w:val="clear" w:color="auto" w:fill="auto"/>
            <w:vAlign w:val="bottom"/>
          </w:tcPr>
          <w:p w14:paraId="0000034A"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r>
      <w:tr w:rsidR="00073819" w14:paraId="1935C799" w14:textId="77777777">
        <w:trPr>
          <w:trHeight w:val="288"/>
          <w:jc w:val="center"/>
        </w:trPr>
        <w:tc>
          <w:tcPr>
            <w:tcW w:w="1262" w:type="dxa"/>
            <w:tcBorders>
              <w:top w:val="nil"/>
              <w:left w:val="nil"/>
              <w:bottom w:val="single" w:sz="4" w:space="0" w:color="000000"/>
              <w:right w:val="nil"/>
            </w:tcBorders>
            <w:shd w:val="clear" w:color="auto" w:fill="auto"/>
            <w:vAlign w:val="bottom"/>
          </w:tcPr>
          <w:p w14:paraId="0000034B" w14:textId="77777777" w:rsidR="00073819" w:rsidRDefault="0099474B">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Total </w:t>
            </w:r>
          </w:p>
        </w:tc>
        <w:tc>
          <w:tcPr>
            <w:tcW w:w="960" w:type="dxa"/>
            <w:tcBorders>
              <w:top w:val="nil"/>
              <w:left w:val="nil"/>
              <w:bottom w:val="single" w:sz="4" w:space="0" w:color="000000"/>
              <w:right w:val="nil"/>
            </w:tcBorders>
            <w:shd w:val="clear" w:color="auto" w:fill="auto"/>
            <w:vAlign w:val="bottom"/>
          </w:tcPr>
          <w:p w14:paraId="0000034C"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255</w:t>
            </w:r>
          </w:p>
        </w:tc>
        <w:tc>
          <w:tcPr>
            <w:tcW w:w="960" w:type="dxa"/>
            <w:tcBorders>
              <w:top w:val="nil"/>
              <w:left w:val="nil"/>
              <w:bottom w:val="single" w:sz="4" w:space="0" w:color="000000"/>
              <w:right w:val="nil"/>
            </w:tcBorders>
            <w:shd w:val="clear" w:color="auto" w:fill="auto"/>
            <w:vAlign w:val="bottom"/>
          </w:tcPr>
          <w:p w14:paraId="0000034D" w14:textId="77777777" w:rsidR="00073819" w:rsidRDefault="0099474B">
            <w:pPr>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62</w:t>
            </w:r>
          </w:p>
        </w:tc>
        <w:tc>
          <w:tcPr>
            <w:tcW w:w="960" w:type="dxa"/>
            <w:tcBorders>
              <w:top w:val="nil"/>
              <w:left w:val="nil"/>
              <w:bottom w:val="single" w:sz="4" w:space="0" w:color="000000"/>
              <w:right w:val="nil"/>
            </w:tcBorders>
            <w:shd w:val="clear" w:color="auto" w:fill="auto"/>
            <w:vAlign w:val="bottom"/>
          </w:tcPr>
          <w:p w14:paraId="0000034E"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c>
          <w:tcPr>
            <w:tcW w:w="960" w:type="dxa"/>
            <w:tcBorders>
              <w:top w:val="nil"/>
              <w:left w:val="nil"/>
              <w:bottom w:val="single" w:sz="4" w:space="0" w:color="000000"/>
              <w:right w:val="nil"/>
            </w:tcBorders>
            <w:shd w:val="clear" w:color="auto" w:fill="auto"/>
            <w:vAlign w:val="bottom"/>
          </w:tcPr>
          <w:p w14:paraId="0000034F" w14:textId="77777777" w:rsidR="00073819" w:rsidRDefault="0099474B">
            <w:pPr>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87</w:t>
            </w:r>
          </w:p>
        </w:tc>
        <w:tc>
          <w:tcPr>
            <w:tcW w:w="960" w:type="dxa"/>
            <w:tcBorders>
              <w:top w:val="nil"/>
              <w:left w:val="nil"/>
              <w:bottom w:val="single" w:sz="4" w:space="0" w:color="000000"/>
              <w:right w:val="nil"/>
            </w:tcBorders>
            <w:shd w:val="clear" w:color="auto" w:fill="auto"/>
            <w:vAlign w:val="bottom"/>
          </w:tcPr>
          <w:p w14:paraId="00000350" w14:textId="77777777" w:rsidR="00073819" w:rsidRDefault="0099474B">
            <w:pPr>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412</w:t>
            </w:r>
          </w:p>
        </w:tc>
      </w:tr>
    </w:tbl>
    <w:p w14:paraId="00000351" w14:textId="77777777" w:rsidR="00073819" w:rsidRDefault="00073819">
      <w:pPr>
        <w:spacing w:line="360" w:lineRule="auto"/>
        <w:ind w:firstLine="720"/>
        <w:rPr>
          <w:rFonts w:ascii="Times New Roman" w:eastAsia="Times New Roman" w:hAnsi="Times New Roman" w:cs="Times New Roman"/>
          <w:sz w:val="20"/>
          <w:szCs w:val="20"/>
        </w:rPr>
      </w:pPr>
    </w:p>
    <w:p w14:paraId="00000352" w14:textId="3DF44A71" w:rsidR="00073819" w:rsidRDefault="0099474B">
      <w:pPr>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S</w:t>
      </w:r>
      <w:r w:rsidR="00C71929">
        <w:rPr>
          <w:rFonts w:ascii="Times New Roman" w:eastAsia="Times New Roman" w:hAnsi="Times New Roman" w:cs="Times New Roman"/>
          <w:b/>
          <w:sz w:val="20"/>
          <w:szCs w:val="20"/>
        </w:rPr>
        <w:t>4</w:t>
      </w:r>
      <w:r>
        <w:rPr>
          <w:rFonts w:ascii="Times New Roman" w:eastAsia="Times New Roman" w:hAnsi="Times New Roman" w:cs="Times New Roman"/>
          <w:b/>
          <w:sz w:val="20"/>
          <w:szCs w:val="20"/>
        </w:rPr>
        <w:t xml:space="preserve"> Supplementary material for Discussion</w:t>
      </w:r>
    </w:p>
    <w:p w14:paraId="00000353" w14:textId="77777777" w:rsidR="00073819" w:rsidRDefault="0099474B">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Several gaps remain in relation to species identification and lack of data for certain taxa on nativity, status, abundance, and impacts. Two taxa have not been identified to species level, and it is unknown if they are native or alien (called ‘cryptogenic’: </w:t>
      </w:r>
      <w:proofErr w:type="spellStart"/>
      <w:r>
        <w:rPr>
          <w:rFonts w:ascii="Times New Roman" w:eastAsia="Times New Roman" w:hAnsi="Times New Roman" w:cs="Times New Roman"/>
          <w:sz w:val="20"/>
          <w:szCs w:val="20"/>
        </w:rPr>
        <w:t>Cillibidae</w:t>
      </w:r>
      <w:proofErr w:type="spellEnd"/>
      <w:r>
        <w:rPr>
          <w:rFonts w:ascii="Times New Roman" w:eastAsia="Times New Roman" w:hAnsi="Times New Roman" w:cs="Times New Roman"/>
          <w:sz w:val="20"/>
          <w:szCs w:val="20"/>
        </w:rPr>
        <w:t xml:space="preserve"> and </w:t>
      </w:r>
      <w:proofErr w:type="spellStart"/>
      <w:r>
        <w:rPr>
          <w:rFonts w:ascii="Times New Roman" w:eastAsia="Times New Roman" w:hAnsi="Times New Roman" w:cs="Times New Roman"/>
          <w:i/>
          <w:sz w:val="20"/>
          <w:szCs w:val="20"/>
        </w:rPr>
        <w:t>Dendrolaelaps</w:t>
      </w:r>
      <w:proofErr w:type="spellEnd"/>
      <w:r>
        <w:rPr>
          <w:rFonts w:ascii="Times New Roman" w:eastAsia="Times New Roman" w:hAnsi="Times New Roman" w:cs="Times New Roman"/>
          <w:sz w:val="20"/>
          <w:szCs w:val="20"/>
        </w:rPr>
        <w:t xml:space="preserve"> spp., Appendix 1). For one mite, nativity is uncertain (David Marshall and Lizel Hugo pers. comm. 2022), and different publications state opposite views [see e.g., Chown et al. (2002) and Chown and Froneman (2008)]. This is problematic as this is the most abundant mite on Marion Island. If the taxon’s status (alien or native) is not confirmed, it will not be appropriately managed, and the status of biological invasions and their management on the PEIs cannot be determined with certainty (as indicator estimates are less reliable). Another example is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i/>
          <w:sz w:val="20"/>
          <w:szCs w:val="20"/>
        </w:rPr>
        <w:t xml:space="preserve"> cf. multiflora</w:t>
      </w:r>
      <w:r>
        <w:rPr>
          <w:rFonts w:ascii="Times New Roman" w:eastAsia="Times New Roman" w:hAnsi="Times New Roman" w:cs="Times New Roman"/>
          <w:sz w:val="20"/>
          <w:szCs w:val="20"/>
        </w:rPr>
        <w:t xml:space="preserve">. The taxon on the PEIs is a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sz w:val="20"/>
          <w:szCs w:val="20"/>
        </w:rPr>
        <w:t xml:space="preserve">, but the exact species remains to be verified. There is a native subantarctic </w:t>
      </w:r>
      <w:proofErr w:type="spellStart"/>
      <w:r>
        <w:rPr>
          <w:rFonts w:ascii="Times New Roman" w:eastAsia="Times New Roman" w:hAnsi="Times New Roman" w:cs="Times New Roman"/>
          <w:i/>
          <w:sz w:val="20"/>
          <w:szCs w:val="20"/>
        </w:rPr>
        <w:t>Luzula</w:t>
      </w:r>
      <w:proofErr w:type="spellEnd"/>
      <w:r>
        <w:rPr>
          <w:rFonts w:ascii="Times New Roman" w:eastAsia="Times New Roman" w:hAnsi="Times New Roman" w:cs="Times New Roman"/>
          <w:sz w:val="20"/>
          <w:szCs w:val="20"/>
        </w:rPr>
        <w:t>, and, therefore, it could be a native species. Yet, currently the species is considered alien, and is being actively managed with herbicide.</w:t>
      </w:r>
    </w:p>
    <w:p w14:paraId="00000354"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Data gaps and challenges for interventions are numerous. For example, no estimates have been made on money spent to control invasions, as detailed expenditures have not, as of yet, been accessible. The DFFE provided data on cost of herbicides, pesticides and PPE, but not on, for example, the number of hours per month that the ECOs invest on invasive species control, or on their salaries. Current management plans seem outdated, and progress reports frequently lack sufficient detail. Consequently, it is not possible to assess the effectiveness of implementing these plans. Monitoring of species treated is performed, but is not systematic, although the DFFE has a plan to improve this (Debbie Muir, pers. comm.). </w:t>
      </w:r>
    </w:p>
    <w:p w14:paraId="00000355"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Mice eradication remains a massive challenge in terms of logistics and funding. Besides being an immensely expensive exercise, as more data become available from failed attempts on other islands, the new </w:t>
      </w:r>
      <w:r>
        <w:rPr>
          <w:rFonts w:ascii="Times New Roman" w:eastAsia="Times New Roman" w:hAnsi="Times New Roman" w:cs="Times New Roman"/>
          <w:sz w:val="20"/>
          <w:szCs w:val="20"/>
        </w:rPr>
        <w:lastRenderedPageBreak/>
        <w:t xml:space="preserve">information needs to be incorporated into the planning to avoid repeating known unsuccessful practices, which causes further delays. </w:t>
      </w:r>
    </w:p>
    <w:p w14:paraId="00000356" w14:textId="77777777" w:rsidR="00073819" w:rsidRDefault="0099474B">
      <w:pPr>
        <w:spacing w:line="36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general challenge that would threaten the PEIs native ecosystems and landscapes is the possibility that the South African government might open the land to tourism, mining and gas exploration. This is not new, as there are official records from 1998 from the Department of Environmental Affairs and Tourism, indicating that the possibility of opening Marion Island to tourism was being considered (Coastal Policy Green Paper, www.gov.za/documents/coastal-policy-green-paper). This was after the PEIs were designated a special nature reserve. The islands are a bird watchers’ paradise, and many tourists are interested to travel there to bird watch, as proved by the ‘Flock to Marion’ initiative organised by </w:t>
      </w:r>
      <w:proofErr w:type="spellStart"/>
      <w:r>
        <w:rPr>
          <w:rFonts w:ascii="Times New Roman" w:eastAsia="Times New Roman" w:hAnsi="Times New Roman" w:cs="Times New Roman"/>
          <w:sz w:val="20"/>
          <w:szCs w:val="20"/>
        </w:rPr>
        <w:t>BirdLife</w:t>
      </w:r>
      <w:proofErr w:type="spellEnd"/>
      <w:r>
        <w:rPr>
          <w:rFonts w:ascii="Times New Roman" w:eastAsia="Times New Roman" w:hAnsi="Times New Roman" w:cs="Times New Roman"/>
          <w:sz w:val="20"/>
          <w:szCs w:val="20"/>
        </w:rPr>
        <w:t xml:space="preserve"> South Africa. They have organised bird watching cruises to create awareness and raise funds for the Mouse Free Marion eradication project in 2022, and another one is planned for January 2025 (www.birdlife.org.za/flock-to-marion-again-2025/). These cruises cannot go close to Marion Island (no landing occurs), but they become fully booked quickly, so there is a high interest from the community to reach these remote places. Another potential project could allow companies to explore for oil and/or gas (Lombard et al. 2008). If any of these plans go ahead, it would invariably lead to further alien species introductions, as well as aid in alien invasive species spread.</w:t>
      </w:r>
    </w:p>
    <w:p w14:paraId="00000357" w14:textId="77777777" w:rsidR="00073819" w:rsidRDefault="00073819">
      <w:pPr>
        <w:spacing w:line="360" w:lineRule="auto"/>
        <w:rPr>
          <w:rFonts w:ascii="Times New Roman" w:eastAsia="Times New Roman" w:hAnsi="Times New Roman" w:cs="Times New Roman"/>
          <w:sz w:val="20"/>
          <w:szCs w:val="20"/>
        </w:rPr>
      </w:pPr>
    </w:p>
    <w:p w14:paraId="00000358" w14:textId="77777777" w:rsidR="00073819" w:rsidRDefault="0099474B">
      <w:pPr>
        <w:spacing w:line="36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References</w:t>
      </w:r>
    </w:p>
    <w:p w14:paraId="00000359"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Barendse J, Mercer RD, Marshall DJ, Chown SL (2002) Habitat specificity of mites on sub-Antarctic Marion Island. Environmental Entomology 31(4):612–625. </w:t>
      </w:r>
      <w:hyperlink>
        <w:r w:rsidR="00073819">
          <w:rPr>
            <w:rFonts w:ascii="Times New Roman" w:eastAsia="Times New Roman" w:hAnsi="Times New Roman" w:cs="Times New Roman"/>
            <w:color w:val="0563C1"/>
            <w:sz w:val="20"/>
            <w:szCs w:val="20"/>
            <w:u w:val="single"/>
          </w:rPr>
          <w:t>http://dx.doi.org/10.1603/0046-225X-31.4.612</w:t>
        </w:r>
      </w:hyperlink>
      <w:r>
        <w:rPr>
          <w:rFonts w:ascii="Times New Roman" w:eastAsia="Times New Roman" w:hAnsi="Times New Roman" w:cs="Times New Roman"/>
          <w:sz w:val="20"/>
          <w:szCs w:val="20"/>
        </w:rPr>
        <w:t xml:space="preserve"> </w:t>
      </w:r>
    </w:p>
    <w:p w14:paraId="0000035A"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Blackburn TM, </w:t>
      </w:r>
      <w:proofErr w:type="spellStart"/>
      <w:r>
        <w:rPr>
          <w:rFonts w:ascii="Times New Roman" w:eastAsia="Times New Roman" w:hAnsi="Times New Roman" w:cs="Times New Roman"/>
          <w:sz w:val="20"/>
          <w:szCs w:val="20"/>
        </w:rPr>
        <w:t>Pyšek</w:t>
      </w:r>
      <w:proofErr w:type="spellEnd"/>
      <w:r>
        <w:rPr>
          <w:rFonts w:ascii="Times New Roman" w:eastAsia="Times New Roman" w:hAnsi="Times New Roman" w:cs="Times New Roman"/>
          <w:sz w:val="20"/>
          <w:szCs w:val="20"/>
        </w:rPr>
        <w:t xml:space="preserve"> P, </w:t>
      </w:r>
      <w:proofErr w:type="spellStart"/>
      <w:r>
        <w:rPr>
          <w:rFonts w:ascii="Times New Roman" w:eastAsia="Times New Roman" w:hAnsi="Times New Roman" w:cs="Times New Roman"/>
          <w:sz w:val="20"/>
          <w:szCs w:val="20"/>
        </w:rPr>
        <w:t>Bacher</w:t>
      </w:r>
      <w:proofErr w:type="spellEnd"/>
      <w:r>
        <w:rPr>
          <w:rFonts w:ascii="Times New Roman" w:eastAsia="Times New Roman" w:hAnsi="Times New Roman" w:cs="Times New Roman"/>
          <w:sz w:val="20"/>
          <w:szCs w:val="20"/>
        </w:rPr>
        <w:t xml:space="preserve"> S, Carlton JT, Duncan RP, </w:t>
      </w:r>
      <w:proofErr w:type="spellStart"/>
      <w:r>
        <w:rPr>
          <w:rFonts w:ascii="Times New Roman" w:eastAsia="Times New Roman" w:hAnsi="Times New Roman" w:cs="Times New Roman"/>
          <w:sz w:val="20"/>
          <w:szCs w:val="20"/>
        </w:rPr>
        <w:t>Jarošík</w:t>
      </w:r>
      <w:proofErr w:type="spellEnd"/>
      <w:r>
        <w:rPr>
          <w:rFonts w:ascii="Times New Roman" w:eastAsia="Times New Roman" w:hAnsi="Times New Roman" w:cs="Times New Roman"/>
          <w:sz w:val="20"/>
          <w:szCs w:val="20"/>
        </w:rPr>
        <w:t xml:space="preserve"> V, Wilson JRU, Richardson DM (2011) A proposed unified framework for biological invasions. Trends </w:t>
      </w:r>
      <w:proofErr w:type="spellStart"/>
      <w:r>
        <w:rPr>
          <w:rFonts w:ascii="Times New Roman" w:eastAsia="Times New Roman" w:hAnsi="Times New Roman" w:cs="Times New Roman"/>
          <w:sz w:val="20"/>
          <w:szCs w:val="20"/>
        </w:rPr>
        <w:t>Ecol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Evol</w:t>
      </w:r>
      <w:proofErr w:type="spellEnd"/>
      <w:r>
        <w:rPr>
          <w:rFonts w:ascii="Times New Roman" w:eastAsia="Times New Roman" w:hAnsi="Times New Roman" w:cs="Times New Roman"/>
          <w:sz w:val="20"/>
          <w:szCs w:val="20"/>
        </w:rPr>
        <w:t xml:space="preserve"> 26(7):333-339. </w:t>
      </w:r>
      <w:hyperlink>
        <w:r w:rsidR="00073819">
          <w:rPr>
            <w:rFonts w:ascii="Times New Roman" w:eastAsia="Times New Roman" w:hAnsi="Times New Roman" w:cs="Times New Roman"/>
            <w:color w:val="0563C1"/>
            <w:sz w:val="20"/>
            <w:szCs w:val="20"/>
            <w:u w:val="single"/>
          </w:rPr>
          <w:t>https://doi.org/10.1016/j.tree.2011.03.023</w:t>
        </w:r>
      </w:hyperlink>
    </w:p>
    <w:p w14:paraId="0000035B"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CCAMLR. 2023. Schedule of Conservation Measures in Force 2023/24. </w:t>
      </w:r>
      <w:hyperlink>
        <w:r w:rsidR="00073819">
          <w:rPr>
            <w:rFonts w:ascii="Times New Roman" w:eastAsia="Times New Roman" w:hAnsi="Times New Roman" w:cs="Times New Roman"/>
            <w:color w:val="0563C1"/>
            <w:sz w:val="20"/>
            <w:szCs w:val="20"/>
            <w:u w:val="single"/>
          </w:rPr>
          <w:t>https://www.ccamlr.org/en/system/files/e-schedule2022-23.pdf</w:t>
        </w:r>
      </w:hyperlink>
    </w:p>
    <w:p w14:paraId="0000035C"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Cooper J, Headland RK (1991) A history of South African involvement in Antarctica and at the Prince Edward Islands. S </w:t>
      </w:r>
      <w:proofErr w:type="spellStart"/>
      <w:r>
        <w:rPr>
          <w:rFonts w:ascii="Times New Roman" w:eastAsia="Times New Roman" w:hAnsi="Times New Roman" w:cs="Times New Roman"/>
          <w:sz w:val="20"/>
          <w:szCs w:val="20"/>
        </w:rPr>
        <w:t>Afr</w:t>
      </w:r>
      <w:proofErr w:type="spellEnd"/>
      <w:r>
        <w:rPr>
          <w:rFonts w:ascii="Times New Roman" w:eastAsia="Times New Roman" w:hAnsi="Times New Roman" w:cs="Times New Roman"/>
          <w:sz w:val="20"/>
          <w:szCs w:val="20"/>
        </w:rPr>
        <w:t xml:space="preserve"> J </w:t>
      </w:r>
      <w:proofErr w:type="spellStart"/>
      <w:r>
        <w:rPr>
          <w:rFonts w:ascii="Times New Roman" w:eastAsia="Times New Roman" w:hAnsi="Times New Roman" w:cs="Times New Roman"/>
          <w:sz w:val="20"/>
          <w:szCs w:val="20"/>
        </w:rPr>
        <w:t>Antarct</w:t>
      </w:r>
      <w:proofErr w:type="spellEnd"/>
      <w:r>
        <w:rPr>
          <w:rFonts w:ascii="Times New Roman" w:eastAsia="Times New Roman" w:hAnsi="Times New Roman" w:cs="Times New Roman"/>
          <w:sz w:val="20"/>
          <w:szCs w:val="20"/>
        </w:rPr>
        <w:t xml:space="preserve"> Res. 21(2):77-91.</w:t>
      </w:r>
    </w:p>
    <w:p w14:paraId="0000035D"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DEA (2010) Department of Environmental Affairs Directorate: Antarctica and Islands. Prince Edward Islands Management Plan Version 0.2.</w:t>
      </w:r>
    </w:p>
    <w:p w14:paraId="0000035E"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DEA and DST-NRF CIB (2021) Eradication, monitoring and control of alien and invasive alien species on Marion Island. Department of Environmental Affairs and DST-NRF Centre of Excellence for Invasion Biology. 23 pp.</w:t>
      </w:r>
    </w:p>
    <w:p w14:paraId="0000035F"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DIISE (2015) The Database of Island Invasive Species Eradications, developed by Island Conservation, Coastal Conservation Action Laboratory UCSC, IUCN SSC Invasive Species Specialist Group, University of Auckland and Landcare Research New Zealand. </w:t>
      </w:r>
      <w:hyperlink>
        <w:r w:rsidR="00073819">
          <w:rPr>
            <w:rFonts w:ascii="Times New Roman" w:eastAsia="Times New Roman" w:hAnsi="Times New Roman" w:cs="Times New Roman"/>
            <w:color w:val="0563C1"/>
            <w:sz w:val="20"/>
            <w:szCs w:val="20"/>
            <w:u w:val="single"/>
          </w:rPr>
          <w:t>http://diise.islandconservation.org</w:t>
        </w:r>
      </w:hyperlink>
    </w:p>
    <w:p w14:paraId="00000360"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Gabriel AGA, Chown SL, Barendse L, Marshall DJ, Mercer RD, Pugh PJA, Smith VR (2001) Biological invasions of Southern Ocean islands: the Collembola of Marion Island as a test of generalities. </w:t>
      </w:r>
      <w:proofErr w:type="spellStart"/>
      <w:r>
        <w:rPr>
          <w:rFonts w:ascii="Times New Roman" w:eastAsia="Times New Roman" w:hAnsi="Times New Roman" w:cs="Times New Roman"/>
          <w:sz w:val="20"/>
          <w:szCs w:val="20"/>
        </w:rPr>
        <w:t>Ecography</w:t>
      </w:r>
      <w:proofErr w:type="spellEnd"/>
      <w:r>
        <w:rPr>
          <w:rFonts w:ascii="Times New Roman" w:eastAsia="Times New Roman" w:hAnsi="Times New Roman" w:cs="Times New Roman"/>
          <w:sz w:val="20"/>
          <w:szCs w:val="20"/>
        </w:rPr>
        <w:t xml:space="preserve"> 24:421–430. </w:t>
      </w:r>
      <w:hyperlink>
        <w:r w:rsidR="00073819">
          <w:rPr>
            <w:rFonts w:ascii="Times New Roman" w:eastAsia="Times New Roman" w:hAnsi="Times New Roman" w:cs="Times New Roman"/>
            <w:color w:val="0563C1"/>
            <w:sz w:val="20"/>
            <w:szCs w:val="20"/>
            <w:u w:val="single"/>
          </w:rPr>
          <w:t>https://doi.org/10.1034/j.1600-0587.2001.d01-198.x</w:t>
        </w:r>
      </w:hyperlink>
      <w:r>
        <w:rPr>
          <w:rFonts w:ascii="Times New Roman" w:eastAsia="Times New Roman" w:hAnsi="Times New Roman" w:cs="Times New Roman"/>
          <w:sz w:val="20"/>
          <w:szCs w:val="20"/>
        </w:rPr>
        <w:t xml:space="preserve"> </w:t>
      </w:r>
    </w:p>
    <w:p w14:paraId="00000361"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Greve M, Steyn C, </w:t>
      </w:r>
      <w:proofErr w:type="spellStart"/>
      <w:r>
        <w:rPr>
          <w:rFonts w:ascii="Times New Roman" w:eastAsia="Times New Roman" w:hAnsi="Times New Roman" w:cs="Times New Roman"/>
          <w:sz w:val="20"/>
          <w:szCs w:val="20"/>
        </w:rPr>
        <w:t>Mathakutha</w:t>
      </w:r>
      <w:proofErr w:type="spellEnd"/>
      <w:r>
        <w:rPr>
          <w:rFonts w:ascii="Times New Roman" w:eastAsia="Times New Roman" w:hAnsi="Times New Roman" w:cs="Times New Roman"/>
          <w:sz w:val="20"/>
          <w:szCs w:val="20"/>
        </w:rPr>
        <w:t xml:space="preserve"> R, </w:t>
      </w:r>
      <w:proofErr w:type="spellStart"/>
      <w:r>
        <w:rPr>
          <w:rFonts w:ascii="Times New Roman" w:eastAsia="Times New Roman" w:hAnsi="Times New Roman" w:cs="Times New Roman"/>
          <w:sz w:val="20"/>
          <w:szCs w:val="20"/>
        </w:rPr>
        <w:t>Chown</w:t>
      </w:r>
      <w:proofErr w:type="spellEnd"/>
      <w:r>
        <w:rPr>
          <w:rFonts w:ascii="Times New Roman" w:eastAsia="Times New Roman" w:hAnsi="Times New Roman" w:cs="Times New Roman"/>
          <w:sz w:val="20"/>
          <w:szCs w:val="20"/>
        </w:rPr>
        <w:t xml:space="preserve"> SL (2017) Terrestrial invasions on sub-Antarctic Marion and Prince Edward Islands. </w:t>
      </w:r>
      <w:proofErr w:type="spellStart"/>
      <w:r>
        <w:rPr>
          <w:rFonts w:ascii="Times New Roman" w:eastAsia="Times New Roman" w:hAnsi="Times New Roman" w:cs="Times New Roman"/>
          <w:sz w:val="20"/>
          <w:szCs w:val="20"/>
        </w:rPr>
        <w:t>Bothalia</w:t>
      </w:r>
      <w:proofErr w:type="spellEnd"/>
      <w:r>
        <w:rPr>
          <w:rFonts w:ascii="Times New Roman" w:eastAsia="Times New Roman" w:hAnsi="Times New Roman" w:cs="Times New Roman"/>
          <w:sz w:val="20"/>
          <w:szCs w:val="20"/>
        </w:rPr>
        <w:t xml:space="preserve">-African </w:t>
      </w:r>
      <w:proofErr w:type="spellStart"/>
      <w:r>
        <w:rPr>
          <w:rFonts w:ascii="Times New Roman" w:eastAsia="Times New Roman" w:hAnsi="Times New Roman" w:cs="Times New Roman"/>
          <w:sz w:val="20"/>
          <w:szCs w:val="20"/>
        </w:rPr>
        <w:t>Biodivers</w:t>
      </w:r>
      <w:proofErr w:type="spellEnd"/>
      <w:r>
        <w:rPr>
          <w:rFonts w:ascii="Times New Roman" w:eastAsia="Times New Roman" w:hAnsi="Times New Roman" w:cs="Times New Roman"/>
          <w:sz w:val="20"/>
          <w:szCs w:val="20"/>
        </w:rPr>
        <w:t xml:space="preserve"> Cons 47(2):1-21. </w:t>
      </w:r>
      <w:hyperlink>
        <w:r w:rsidR="00073819">
          <w:rPr>
            <w:rFonts w:ascii="Times New Roman" w:eastAsia="Times New Roman" w:hAnsi="Times New Roman" w:cs="Times New Roman"/>
            <w:color w:val="0563C1"/>
            <w:sz w:val="20"/>
            <w:szCs w:val="20"/>
            <w:u w:val="single"/>
          </w:rPr>
          <w:t>https://doi.org/10.4102/abc.v47i2.2143</w:t>
        </w:r>
      </w:hyperlink>
      <w:r>
        <w:rPr>
          <w:rFonts w:ascii="Times New Roman" w:eastAsia="Times New Roman" w:hAnsi="Times New Roman" w:cs="Times New Roman"/>
          <w:sz w:val="20"/>
          <w:szCs w:val="20"/>
        </w:rPr>
        <w:t xml:space="preserve"> </w:t>
      </w:r>
    </w:p>
    <w:p w14:paraId="00000362"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Groom Q, </w:t>
      </w:r>
      <w:proofErr w:type="spellStart"/>
      <w:r>
        <w:rPr>
          <w:rFonts w:ascii="Times New Roman" w:eastAsia="Times New Roman" w:hAnsi="Times New Roman" w:cs="Times New Roman"/>
          <w:sz w:val="20"/>
          <w:szCs w:val="20"/>
        </w:rPr>
        <w:t>Desmet</w:t>
      </w:r>
      <w:proofErr w:type="spellEnd"/>
      <w:r>
        <w:rPr>
          <w:rFonts w:ascii="Times New Roman" w:eastAsia="Times New Roman" w:hAnsi="Times New Roman" w:cs="Times New Roman"/>
          <w:sz w:val="20"/>
          <w:szCs w:val="20"/>
        </w:rPr>
        <w:t xml:space="preserve"> P, </w:t>
      </w:r>
      <w:proofErr w:type="spellStart"/>
      <w:r>
        <w:rPr>
          <w:rFonts w:ascii="Times New Roman" w:eastAsia="Times New Roman" w:hAnsi="Times New Roman" w:cs="Times New Roman"/>
          <w:sz w:val="20"/>
          <w:szCs w:val="20"/>
        </w:rPr>
        <w:t>Reyserhove</w:t>
      </w:r>
      <w:proofErr w:type="spellEnd"/>
      <w:r>
        <w:rPr>
          <w:rFonts w:ascii="Times New Roman" w:eastAsia="Times New Roman" w:hAnsi="Times New Roman" w:cs="Times New Roman"/>
          <w:sz w:val="20"/>
          <w:szCs w:val="20"/>
        </w:rPr>
        <w:t xml:space="preserve"> L, </w:t>
      </w:r>
      <w:proofErr w:type="spellStart"/>
      <w:r>
        <w:rPr>
          <w:rFonts w:ascii="Times New Roman" w:eastAsia="Times New Roman" w:hAnsi="Times New Roman" w:cs="Times New Roman"/>
          <w:sz w:val="20"/>
          <w:szCs w:val="20"/>
        </w:rPr>
        <w:t>Adriaens</w:t>
      </w:r>
      <w:proofErr w:type="spellEnd"/>
      <w:r>
        <w:rPr>
          <w:rFonts w:ascii="Times New Roman" w:eastAsia="Times New Roman" w:hAnsi="Times New Roman" w:cs="Times New Roman"/>
          <w:sz w:val="20"/>
          <w:szCs w:val="20"/>
        </w:rPr>
        <w:t xml:space="preserve"> T, </w:t>
      </w:r>
      <w:proofErr w:type="spellStart"/>
      <w:r>
        <w:rPr>
          <w:rFonts w:ascii="Times New Roman" w:eastAsia="Times New Roman" w:hAnsi="Times New Roman" w:cs="Times New Roman"/>
          <w:sz w:val="20"/>
          <w:szCs w:val="20"/>
        </w:rPr>
        <w:t>Oldoni</w:t>
      </w:r>
      <w:proofErr w:type="spellEnd"/>
      <w:r>
        <w:rPr>
          <w:rFonts w:ascii="Times New Roman" w:eastAsia="Times New Roman" w:hAnsi="Times New Roman" w:cs="Times New Roman"/>
          <w:sz w:val="20"/>
          <w:szCs w:val="20"/>
        </w:rPr>
        <w:t xml:space="preserve"> D, </w:t>
      </w:r>
      <w:proofErr w:type="spellStart"/>
      <w:r>
        <w:rPr>
          <w:rFonts w:ascii="Times New Roman" w:eastAsia="Times New Roman" w:hAnsi="Times New Roman" w:cs="Times New Roman"/>
          <w:sz w:val="20"/>
          <w:szCs w:val="20"/>
        </w:rPr>
        <w:t>Vanderhoeven</w:t>
      </w:r>
      <w:proofErr w:type="spellEnd"/>
      <w:r>
        <w:rPr>
          <w:rFonts w:ascii="Times New Roman" w:eastAsia="Times New Roman" w:hAnsi="Times New Roman" w:cs="Times New Roman"/>
          <w:sz w:val="20"/>
          <w:szCs w:val="20"/>
        </w:rPr>
        <w:t xml:space="preserve"> S, </w:t>
      </w:r>
      <w:proofErr w:type="spellStart"/>
      <w:r>
        <w:rPr>
          <w:rFonts w:ascii="Times New Roman" w:eastAsia="Times New Roman" w:hAnsi="Times New Roman" w:cs="Times New Roman"/>
          <w:sz w:val="20"/>
          <w:szCs w:val="20"/>
        </w:rPr>
        <w:t>Baskauf</w:t>
      </w:r>
      <w:proofErr w:type="spellEnd"/>
      <w:r>
        <w:rPr>
          <w:rFonts w:ascii="Times New Roman" w:eastAsia="Times New Roman" w:hAnsi="Times New Roman" w:cs="Times New Roman"/>
          <w:sz w:val="20"/>
          <w:szCs w:val="20"/>
        </w:rPr>
        <w:t xml:space="preserve"> SJ, Chapman A, McGeoch M, Walls R, Wieczorek J, Wilson JRU, </w:t>
      </w:r>
      <w:proofErr w:type="spellStart"/>
      <w:r>
        <w:rPr>
          <w:rFonts w:ascii="Times New Roman" w:eastAsia="Times New Roman" w:hAnsi="Times New Roman" w:cs="Times New Roman"/>
          <w:sz w:val="20"/>
          <w:szCs w:val="20"/>
        </w:rPr>
        <w:t>Zermoglio</w:t>
      </w:r>
      <w:proofErr w:type="spellEnd"/>
      <w:r>
        <w:rPr>
          <w:rFonts w:ascii="Times New Roman" w:eastAsia="Times New Roman" w:hAnsi="Times New Roman" w:cs="Times New Roman"/>
          <w:sz w:val="20"/>
          <w:szCs w:val="20"/>
        </w:rPr>
        <w:t xml:space="preserve"> PFF, Simpson A (2019) Improving </w:t>
      </w:r>
      <w:r>
        <w:rPr>
          <w:rFonts w:ascii="Times New Roman" w:eastAsia="Times New Roman" w:hAnsi="Times New Roman" w:cs="Times New Roman"/>
          <w:sz w:val="20"/>
          <w:szCs w:val="20"/>
        </w:rPr>
        <w:lastRenderedPageBreak/>
        <w:t xml:space="preserve">Darwin Core for research and management of alien species. Biodiversity Information Science and Standards 3: e38084. </w:t>
      </w:r>
      <w:hyperlink>
        <w:r w:rsidR="00073819">
          <w:rPr>
            <w:rFonts w:ascii="Times New Roman" w:eastAsia="Times New Roman" w:hAnsi="Times New Roman" w:cs="Times New Roman"/>
            <w:color w:val="0563C1"/>
            <w:sz w:val="20"/>
            <w:szCs w:val="20"/>
            <w:u w:val="single"/>
          </w:rPr>
          <w:t>https://doi.org/10.3897/biss.3.38084</w:t>
        </w:r>
      </w:hyperlink>
      <w:r>
        <w:rPr>
          <w:rFonts w:ascii="Times New Roman" w:eastAsia="Times New Roman" w:hAnsi="Times New Roman" w:cs="Times New Roman"/>
          <w:sz w:val="20"/>
          <w:szCs w:val="20"/>
        </w:rPr>
        <w:t xml:space="preserve"> </w:t>
      </w:r>
    </w:p>
    <w:p w14:paraId="00000363"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Hugo EA, Chown SL, McGeoch MA (2006) The microarthropods of sub-Antarctic Prince Edward Island: a quantitative assessment. Polar Biology 30(1):109–119. </w:t>
      </w:r>
      <w:hyperlink>
        <w:r w:rsidR="00073819">
          <w:rPr>
            <w:rFonts w:ascii="Times New Roman" w:eastAsia="Times New Roman" w:hAnsi="Times New Roman" w:cs="Times New Roman"/>
            <w:color w:val="0563C1"/>
            <w:sz w:val="20"/>
            <w:szCs w:val="20"/>
            <w:u w:val="single"/>
          </w:rPr>
          <w:t>http://dx.doi.org/10.1007/s00300-006-0166-x</w:t>
        </w:r>
      </w:hyperlink>
    </w:p>
    <w:p w14:paraId="00000364"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IPBES (2019) Global assessment report on biodiversity and ecosystem services of the Intergovernmental Science-Policy Platform on Biodiversity and Ecosystem Services. IPBES secretariat, Bonn, Germany</w:t>
      </w:r>
    </w:p>
    <w:p w14:paraId="00000365"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IPBES (2023) Summary for Policymakers of the Thematic Assessment Report on Invasive Alien Species and their Control of the Intergovernmental Science-Policy Platform on Biodiversity and Ecosystem Services. Roy HE, </w:t>
      </w:r>
      <w:proofErr w:type="spellStart"/>
      <w:r>
        <w:rPr>
          <w:rFonts w:ascii="Times New Roman" w:eastAsia="Times New Roman" w:hAnsi="Times New Roman" w:cs="Times New Roman"/>
          <w:sz w:val="20"/>
          <w:szCs w:val="20"/>
        </w:rPr>
        <w:t>Pauchard</w:t>
      </w:r>
      <w:proofErr w:type="spellEnd"/>
      <w:r>
        <w:rPr>
          <w:rFonts w:ascii="Times New Roman" w:eastAsia="Times New Roman" w:hAnsi="Times New Roman" w:cs="Times New Roman"/>
          <w:sz w:val="20"/>
          <w:szCs w:val="20"/>
        </w:rPr>
        <w:t xml:space="preserve"> A, </w:t>
      </w:r>
      <w:proofErr w:type="spellStart"/>
      <w:r>
        <w:rPr>
          <w:rFonts w:ascii="Times New Roman" w:eastAsia="Times New Roman" w:hAnsi="Times New Roman" w:cs="Times New Roman"/>
          <w:sz w:val="20"/>
          <w:szCs w:val="20"/>
        </w:rPr>
        <w:t>Stoett</w:t>
      </w:r>
      <w:proofErr w:type="spellEnd"/>
      <w:r>
        <w:rPr>
          <w:rFonts w:ascii="Times New Roman" w:eastAsia="Times New Roman" w:hAnsi="Times New Roman" w:cs="Times New Roman"/>
          <w:sz w:val="20"/>
          <w:szCs w:val="20"/>
        </w:rPr>
        <w:t xml:space="preserve"> P et al. IPBES secretariat, Bonn, Germany. </w:t>
      </w:r>
      <w:hyperlink>
        <w:r w:rsidR="00073819">
          <w:rPr>
            <w:rFonts w:ascii="Times New Roman" w:eastAsia="Times New Roman" w:hAnsi="Times New Roman" w:cs="Times New Roman"/>
            <w:color w:val="0563C1"/>
            <w:sz w:val="20"/>
            <w:szCs w:val="20"/>
            <w:u w:val="single"/>
          </w:rPr>
          <w:t>https://doi.org/10.5281/zenodo.7430692</w:t>
        </w:r>
      </w:hyperlink>
      <w:r>
        <w:rPr>
          <w:rFonts w:ascii="Times New Roman" w:eastAsia="Times New Roman" w:hAnsi="Times New Roman" w:cs="Times New Roman"/>
          <w:sz w:val="20"/>
          <w:szCs w:val="20"/>
        </w:rPr>
        <w:t xml:space="preserve"> </w:t>
      </w:r>
    </w:p>
    <w:p w14:paraId="00000366" w14:textId="77777777" w:rsidR="00073819" w:rsidRDefault="0099474B">
      <w:pPr>
        <w:spacing w:after="80" w:line="276" w:lineRule="auto"/>
        <w:ind w:left="720" w:hanging="720"/>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Kgopong</w:t>
      </w:r>
      <w:proofErr w:type="spellEnd"/>
      <w:r>
        <w:rPr>
          <w:rFonts w:ascii="Times New Roman" w:eastAsia="Times New Roman" w:hAnsi="Times New Roman" w:cs="Times New Roman"/>
          <w:sz w:val="20"/>
          <w:szCs w:val="20"/>
        </w:rPr>
        <w:t xml:space="preserve"> RM (2019) The impacts of invasive plants on springtail diversity on sub-Antarctic Marion island. PhD dissertation, Stellenbosch University, Stellenbosch.</w:t>
      </w:r>
    </w:p>
    <w:p w14:paraId="00000367"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Khoza TT, </w:t>
      </w:r>
      <w:proofErr w:type="spellStart"/>
      <w:r>
        <w:rPr>
          <w:rFonts w:ascii="Times New Roman" w:eastAsia="Times New Roman" w:hAnsi="Times New Roman" w:cs="Times New Roman"/>
          <w:sz w:val="20"/>
          <w:szCs w:val="20"/>
        </w:rPr>
        <w:t>Dippenaar</w:t>
      </w:r>
      <w:proofErr w:type="spellEnd"/>
      <w:r>
        <w:rPr>
          <w:rFonts w:ascii="Times New Roman" w:eastAsia="Times New Roman" w:hAnsi="Times New Roman" w:cs="Times New Roman"/>
          <w:sz w:val="20"/>
          <w:szCs w:val="20"/>
        </w:rPr>
        <w:t xml:space="preserve"> SM, </w:t>
      </w:r>
      <w:proofErr w:type="spellStart"/>
      <w:r>
        <w:rPr>
          <w:rFonts w:ascii="Times New Roman" w:eastAsia="Times New Roman" w:hAnsi="Times New Roman" w:cs="Times New Roman"/>
          <w:sz w:val="20"/>
          <w:szCs w:val="20"/>
        </w:rPr>
        <w:t>Dippenaar</w:t>
      </w:r>
      <w:proofErr w:type="spellEnd"/>
      <w:r>
        <w:rPr>
          <w:rFonts w:ascii="Times New Roman" w:eastAsia="Times New Roman" w:hAnsi="Times New Roman" w:cs="Times New Roman"/>
          <w:sz w:val="20"/>
          <w:szCs w:val="20"/>
        </w:rPr>
        <w:t xml:space="preserve">-Schoeman AS (2005) The biodiversity and species composition of the spider community of Marion Island, a recent survey (Arachnida: Araneae). </w:t>
      </w:r>
      <w:proofErr w:type="spellStart"/>
      <w:r>
        <w:rPr>
          <w:rFonts w:ascii="Times New Roman" w:eastAsia="Times New Roman" w:hAnsi="Times New Roman" w:cs="Times New Roman"/>
          <w:sz w:val="20"/>
          <w:szCs w:val="20"/>
        </w:rPr>
        <w:t>Koedoe</w:t>
      </w:r>
      <w:proofErr w:type="spellEnd"/>
      <w:r>
        <w:rPr>
          <w:rFonts w:ascii="Times New Roman" w:eastAsia="Times New Roman" w:hAnsi="Times New Roman" w:cs="Times New Roman"/>
          <w:sz w:val="20"/>
          <w:szCs w:val="20"/>
        </w:rPr>
        <w:t xml:space="preserve"> 48(2):103–107. </w:t>
      </w:r>
      <w:hyperlink>
        <w:r w:rsidR="00073819">
          <w:rPr>
            <w:rFonts w:ascii="Times New Roman" w:eastAsia="Times New Roman" w:hAnsi="Times New Roman" w:cs="Times New Roman"/>
            <w:color w:val="0563C1"/>
            <w:sz w:val="20"/>
            <w:szCs w:val="20"/>
            <w:u w:val="single"/>
          </w:rPr>
          <w:t>http://dx.doi.org/10.4102/koedoe.v48i2.94</w:t>
        </w:r>
      </w:hyperlink>
      <w:r>
        <w:rPr>
          <w:rFonts w:ascii="Times New Roman" w:eastAsia="Times New Roman" w:hAnsi="Times New Roman" w:cs="Times New Roman"/>
          <w:sz w:val="20"/>
          <w:szCs w:val="20"/>
        </w:rPr>
        <w:t xml:space="preserve"> </w:t>
      </w:r>
    </w:p>
    <w:p w14:paraId="00000368" w14:textId="77777777" w:rsidR="00073819" w:rsidRDefault="0099474B">
      <w:pPr>
        <w:spacing w:after="80" w:line="276" w:lineRule="auto"/>
        <w:ind w:left="720" w:hanging="720"/>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Kumschick</w:t>
      </w:r>
      <w:proofErr w:type="spellEnd"/>
      <w:r>
        <w:rPr>
          <w:rFonts w:ascii="Times New Roman" w:eastAsia="Times New Roman" w:hAnsi="Times New Roman" w:cs="Times New Roman"/>
          <w:sz w:val="20"/>
          <w:szCs w:val="20"/>
        </w:rPr>
        <w:t xml:space="preserve"> S, Foxcroft LC, Wilson JR (2020) Analysing the Risks Posed by Biological Invasions to South Africa. In: van Wilgen BW, Measey J, Richardson DM, Wilson JR, Zengeya TA (Eds) Biological invasions in South Africa. Springer, Cham, Switzerland, 573–595. </w:t>
      </w:r>
      <w:hyperlink>
        <w:r w:rsidR="00073819">
          <w:rPr>
            <w:rFonts w:ascii="Times New Roman" w:eastAsia="Times New Roman" w:hAnsi="Times New Roman" w:cs="Times New Roman"/>
            <w:color w:val="0563C1"/>
            <w:sz w:val="20"/>
            <w:szCs w:val="20"/>
            <w:u w:val="single"/>
          </w:rPr>
          <w:t>https://doi.org/10.1007/978-3-030-32394-3_20</w:t>
        </w:r>
      </w:hyperlink>
      <w:r>
        <w:rPr>
          <w:rFonts w:ascii="Times New Roman" w:eastAsia="Times New Roman" w:hAnsi="Times New Roman" w:cs="Times New Roman"/>
          <w:sz w:val="20"/>
          <w:szCs w:val="20"/>
        </w:rPr>
        <w:t xml:space="preserve"> </w:t>
      </w:r>
    </w:p>
    <w:p w14:paraId="00000369"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McGeoch MA, Shaw JD, </w:t>
      </w:r>
      <w:proofErr w:type="spellStart"/>
      <w:r>
        <w:rPr>
          <w:rFonts w:ascii="Times New Roman" w:eastAsia="Times New Roman" w:hAnsi="Times New Roman" w:cs="Times New Roman"/>
          <w:sz w:val="20"/>
          <w:szCs w:val="20"/>
        </w:rPr>
        <w:t>Terauds</w:t>
      </w:r>
      <w:proofErr w:type="spellEnd"/>
      <w:r>
        <w:rPr>
          <w:rFonts w:ascii="Times New Roman" w:eastAsia="Times New Roman" w:hAnsi="Times New Roman" w:cs="Times New Roman"/>
          <w:sz w:val="20"/>
          <w:szCs w:val="20"/>
        </w:rPr>
        <w:t xml:space="preserve"> A, Lee JE, Chown SL (2015) Monitoring biological invasion across the broader Antarctic: a baseline and indicator framework. Glob Environ Change 32:108-125. </w:t>
      </w:r>
      <w:hyperlink>
        <w:r w:rsidR="00073819">
          <w:rPr>
            <w:rFonts w:ascii="Times New Roman" w:eastAsia="Times New Roman" w:hAnsi="Times New Roman" w:cs="Times New Roman"/>
            <w:color w:val="0563C1"/>
            <w:sz w:val="20"/>
            <w:szCs w:val="20"/>
            <w:u w:val="single"/>
          </w:rPr>
          <w:t>https://doi.org/10.1016/j.gloenvcha.2014.12.012</w:t>
        </w:r>
      </w:hyperlink>
      <w:r>
        <w:rPr>
          <w:rFonts w:ascii="Times New Roman" w:eastAsia="Times New Roman" w:hAnsi="Times New Roman" w:cs="Times New Roman"/>
          <w:sz w:val="20"/>
          <w:szCs w:val="20"/>
        </w:rPr>
        <w:t xml:space="preserve">   </w:t>
      </w:r>
    </w:p>
    <w:p w14:paraId="0000036A"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Neethling H (2019) 2nd Party Assessment, Invasive Alien Plant Programme, 2019 Marion Relief Voyage. 11 April–16 May 2019 </w:t>
      </w:r>
    </w:p>
    <w:p w14:paraId="0000036B"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Preston GR, Dilley BJ, Cooper J, Beaumont J, Chauke F, Chown SL, ... Ryan PG (2019) South Africa works towards eradicating introduced house mice from sub-Antarctic Marion Island: the largest island yet attempted for mice. In Island invasives: scaling up to meet the challenge (pp. 40-46). IUCN. </w:t>
      </w:r>
      <w:hyperlink>
        <w:r w:rsidR="00073819">
          <w:rPr>
            <w:rFonts w:ascii="Times New Roman" w:eastAsia="Times New Roman" w:hAnsi="Times New Roman" w:cs="Times New Roman"/>
            <w:color w:val="1155CC"/>
            <w:sz w:val="20"/>
            <w:szCs w:val="20"/>
            <w:u w:val="single"/>
          </w:rPr>
          <w:t>https://portals.iucn.org/library/node/48358</w:t>
        </w:r>
      </w:hyperlink>
      <w:r>
        <w:rPr>
          <w:rFonts w:ascii="Times New Roman" w:eastAsia="Times New Roman" w:hAnsi="Times New Roman" w:cs="Times New Roman"/>
          <w:sz w:val="20"/>
          <w:szCs w:val="20"/>
        </w:rPr>
        <w:t xml:space="preserve"> </w:t>
      </w:r>
    </w:p>
    <w:p w14:paraId="0000036C"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Springer K (2022) Island eradications of introduced predators can be game changing, providing the planning is done correctly. Saving Marion Island’s seabirds, The Mouse Free Marion Project Newsletter 2:2–10.</w:t>
      </w:r>
    </w:p>
    <w:p w14:paraId="0000036D"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Wilson JR (2023) A list of taxa currently and historically regulated under South Africa’s National Environmental Management: Biodiversity Act, Alien &amp; Invasive Species Regulations. </w:t>
      </w:r>
      <w:hyperlink>
        <w:r w:rsidR="00073819">
          <w:rPr>
            <w:rFonts w:ascii="Times New Roman" w:eastAsia="Times New Roman" w:hAnsi="Times New Roman" w:cs="Times New Roman"/>
            <w:color w:val="0563C1"/>
            <w:sz w:val="20"/>
            <w:szCs w:val="20"/>
            <w:u w:val="single"/>
          </w:rPr>
          <w:t>http://dx.doi.org/10.5281/zenodo.7638966</w:t>
        </w:r>
      </w:hyperlink>
      <w:r>
        <w:rPr>
          <w:rFonts w:ascii="Times New Roman" w:eastAsia="Times New Roman" w:hAnsi="Times New Roman" w:cs="Times New Roman"/>
          <w:sz w:val="20"/>
          <w:szCs w:val="20"/>
        </w:rPr>
        <w:t xml:space="preserve"> </w:t>
      </w:r>
    </w:p>
    <w:p w14:paraId="0000036E"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Wilson JR, Faulkner KT, </w:t>
      </w:r>
      <w:proofErr w:type="spellStart"/>
      <w:r>
        <w:rPr>
          <w:rFonts w:ascii="Times New Roman" w:eastAsia="Times New Roman" w:hAnsi="Times New Roman" w:cs="Times New Roman"/>
          <w:sz w:val="20"/>
          <w:szCs w:val="20"/>
        </w:rPr>
        <w:t>Rahlao</w:t>
      </w:r>
      <w:proofErr w:type="spellEnd"/>
      <w:r>
        <w:rPr>
          <w:rFonts w:ascii="Times New Roman" w:eastAsia="Times New Roman" w:hAnsi="Times New Roman" w:cs="Times New Roman"/>
          <w:sz w:val="20"/>
          <w:szCs w:val="20"/>
        </w:rPr>
        <w:t xml:space="preserve"> SJ, Richardson DM, Zengeya TA, Van Wilgen BW (2018) Indicators for monitoring biological invasions at a national level. J App </w:t>
      </w:r>
      <w:proofErr w:type="spellStart"/>
      <w:r>
        <w:rPr>
          <w:rFonts w:ascii="Times New Roman" w:eastAsia="Times New Roman" w:hAnsi="Times New Roman" w:cs="Times New Roman"/>
          <w:sz w:val="20"/>
          <w:szCs w:val="20"/>
        </w:rPr>
        <w:t>Ecol</w:t>
      </w:r>
      <w:proofErr w:type="spellEnd"/>
      <w:r>
        <w:rPr>
          <w:rFonts w:ascii="Times New Roman" w:eastAsia="Times New Roman" w:hAnsi="Times New Roman" w:cs="Times New Roman"/>
          <w:sz w:val="20"/>
          <w:szCs w:val="20"/>
        </w:rPr>
        <w:t xml:space="preserve"> 55(6):2612-2620. </w:t>
      </w:r>
      <w:hyperlink>
        <w:r w:rsidR="00073819">
          <w:rPr>
            <w:rFonts w:ascii="Times New Roman" w:eastAsia="Times New Roman" w:hAnsi="Times New Roman" w:cs="Times New Roman"/>
            <w:color w:val="0563C1"/>
            <w:sz w:val="20"/>
            <w:szCs w:val="20"/>
            <w:u w:val="single"/>
          </w:rPr>
          <w:t>https://doi.org/10.1111/1365-2664.13251</w:t>
        </w:r>
      </w:hyperlink>
      <w:r>
        <w:rPr>
          <w:rFonts w:ascii="Times New Roman" w:eastAsia="Times New Roman" w:hAnsi="Times New Roman" w:cs="Times New Roman"/>
          <w:sz w:val="20"/>
          <w:szCs w:val="20"/>
        </w:rPr>
        <w:t xml:space="preserve"> </w:t>
      </w:r>
    </w:p>
    <w:p w14:paraId="0000036F" w14:textId="77777777" w:rsidR="00073819" w:rsidRDefault="0099474B">
      <w:pPr>
        <w:spacing w:after="80" w:line="276" w:lineRule="auto"/>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Wilson JRU, </w:t>
      </w:r>
      <w:proofErr w:type="spellStart"/>
      <w:r>
        <w:rPr>
          <w:rFonts w:ascii="Times New Roman" w:eastAsia="Times New Roman" w:hAnsi="Times New Roman" w:cs="Times New Roman"/>
          <w:sz w:val="20"/>
          <w:szCs w:val="20"/>
        </w:rPr>
        <w:t>Kumschick</w:t>
      </w:r>
      <w:proofErr w:type="spellEnd"/>
      <w:r>
        <w:rPr>
          <w:rFonts w:ascii="Times New Roman" w:eastAsia="Times New Roman" w:hAnsi="Times New Roman" w:cs="Times New Roman"/>
          <w:sz w:val="20"/>
          <w:szCs w:val="20"/>
        </w:rPr>
        <w:t xml:space="preserve"> S (2024) The regulation of alien species in South Africa. South African Journal of Science. </w:t>
      </w:r>
      <w:hyperlink>
        <w:r w:rsidR="00073819">
          <w:rPr>
            <w:rFonts w:ascii="Times New Roman" w:eastAsia="Times New Roman" w:hAnsi="Times New Roman" w:cs="Times New Roman"/>
            <w:color w:val="0563C1"/>
            <w:sz w:val="20"/>
            <w:szCs w:val="20"/>
            <w:u w:val="single"/>
          </w:rPr>
          <w:t>https://doi.org/10.17159/sajs.2024/17002</w:t>
        </w:r>
      </w:hyperlink>
      <w:r>
        <w:rPr>
          <w:rFonts w:ascii="Times New Roman" w:eastAsia="Times New Roman" w:hAnsi="Times New Roman" w:cs="Times New Roman"/>
          <w:sz w:val="20"/>
          <w:szCs w:val="20"/>
        </w:rPr>
        <w:t xml:space="preserve">   </w:t>
      </w:r>
    </w:p>
    <w:sectPr w:rsidR="00073819" w:rsidSect="0099474B">
      <w:type w:val="continuous"/>
      <w:pgSz w:w="11906" w:h="16838"/>
      <w:pgMar w:top="1440" w:right="1440" w:bottom="1440" w:left="1440" w:header="708"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F7BA4" w14:textId="77777777" w:rsidR="002259DF" w:rsidRDefault="002259DF">
      <w:pPr>
        <w:spacing w:after="0" w:line="240" w:lineRule="auto"/>
      </w:pPr>
      <w:r>
        <w:separator/>
      </w:r>
    </w:p>
  </w:endnote>
  <w:endnote w:type="continuationSeparator" w:id="0">
    <w:p w14:paraId="5CFE1955" w14:textId="77777777" w:rsidR="002259DF" w:rsidRDefault="00225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embedRegular r:id="rId1" w:fontKey="{703CE499-81BF-4F7C-A794-D08BA09BC3E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3EE0308C-B346-4966-BCD3-7F83D4863678}"/>
    <w:embedBold r:id="rId3" w:fontKey="{5E48EB27-3F6E-478A-A008-E8664ECF9674}"/>
    <w:embedItalic r:id="rId4" w:fontKey="{1E58C0B4-6526-4AF2-910D-CC00B0D7AC96}"/>
    <w:embedBoldItalic r:id="rId5" w:fontKey="{A5E45EBF-4CEC-466C-BFAD-2A68C1B48E07}"/>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6" w:fontKey="{5AC526EB-9BFF-4044-B1B9-E935BE0B2B50}"/>
  </w:font>
  <w:font w:name="Georgia">
    <w:panose1 w:val="02040502050405020303"/>
    <w:charset w:val="00"/>
    <w:family w:val="roman"/>
    <w:pitch w:val="variable"/>
    <w:sig w:usb0="00000287" w:usb1="00000000" w:usb2="00000000" w:usb3="00000000" w:csb0="0000009F" w:csb1="00000000"/>
    <w:embedRegular r:id="rId7" w:fontKey="{0E001020-FFDA-4EE9-B719-240A30533E05}"/>
    <w:embedItalic r:id="rId8" w:fontKey="{4402A50D-3EE5-4B17-BD1B-D2B95D57B4A5}"/>
  </w:font>
  <w:font w:name="Calibri Light">
    <w:panose1 w:val="020F0302020204030204"/>
    <w:charset w:val="00"/>
    <w:family w:val="swiss"/>
    <w:pitch w:val="variable"/>
    <w:sig w:usb0="E4002EFF" w:usb1="C000247B" w:usb2="00000009" w:usb3="00000000" w:csb0="000001FF" w:csb1="00000000"/>
    <w:embedRegular r:id="rId9" w:fontKey="{A3F815DA-FCDE-4F89-8DBA-3B3758C8838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1152540"/>
      <w:docPartObj>
        <w:docPartGallery w:val="Page Numbers (Bottom of Page)"/>
        <w:docPartUnique/>
      </w:docPartObj>
    </w:sdtPr>
    <w:sdtEndPr>
      <w:rPr>
        <w:noProof/>
      </w:rPr>
    </w:sdtEndPr>
    <w:sdtContent>
      <w:p w14:paraId="2889298C" w14:textId="2DDE2980" w:rsidR="00683E7D" w:rsidRDefault="00683E7D">
        <w:pPr>
          <w:pStyle w:val="Footer"/>
          <w:jc w:val="center"/>
        </w:pPr>
        <w:r>
          <w:fldChar w:fldCharType="begin"/>
        </w:r>
        <w:r>
          <w:instrText xml:space="preserve"> PAGE   \* MERGEFORMAT </w:instrText>
        </w:r>
        <w:r>
          <w:fldChar w:fldCharType="separate"/>
        </w:r>
        <w:r w:rsidR="0099474B">
          <w:rPr>
            <w:noProof/>
          </w:rPr>
          <w:t>1</w:t>
        </w:r>
        <w:r>
          <w:rPr>
            <w:noProof/>
          </w:rPr>
          <w:fldChar w:fldCharType="end"/>
        </w:r>
      </w:p>
    </w:sdtContent>
  </w:sdt>
  <w:p w14:paraId="00000374" w14:textId="77777777" w:rsidR="00073819" w:rsidRDefault="00073819">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5AEC22" w14:textId="77777777" w:rsidR="002259DF" w:rsidRDefault="002259DF">
      <w:pPr>
        <w:spacing w:after="0" w:line="240" w:lineRule="auto"/>
      </w:pPr>
      <w:r>
        <w:separator/>
      </w:r>
    </w:p>
  </w:footnote>
  <w:footnote w:type="continuationSeparator" w:id="0">
    <w:p w14:paraId="50BF15F5" w14:textId="77777777" w:rsidR="002259DF" w:rsidRDefault="002259DF">
      <w:pPr>
        <w:spacing w:after="0" w:line="240" w:lineRule="auto"/>
      </w:pPr>
      <w:r>
        <w:continuationSeparator/>
      </w:r>
    </w:p>
  </w:footnote>
  <w:footnote w:id="1">
    <w:p w14:paraId="00000370" w14:textId="77777777" w:rsidR="00073819" w:rsidRDefault="0099474B">
      <w:pPr>
        <w:pBdr>
          <w:top w:val="nil"/>
          <w:left w:val="nil"/>
          <w:bottom w:val="nil"/>
          <w:right w:val="nil"/>
          <w:between w:val="nil"/>
        </w:pBdr>
        <w:spacing w:line="240" w:lineRule="auto"/>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Listed as </w:t>
      </w:r>
      <w:r>
        <w:rPr>
          <w:rFonts w:ascii="Times New Roman" w:eastAsia="Times New Roman" w:hAnsi="Times New Roman" w:cs="Times New Roman"/>
          <w:i/>
          <w:color w:val="000000"/>
          <w:sz w:val="20"/>
          <w:szCs w:val="20"/>
        </w:rPr>
        <w:t>Elytrigia repens</w:t>
      </w:r>
      <w:r>
        <w:rPr>
          <w:rFonts w:ascii="Times New Roman" w:eastAsia="Times New Roman" w:hAnsi="Times New Roman" w:cs="Times New Roman"/>
          <w:color w:val="000000"/>
          <w:sz w:val="20"/>
          <w:szCs w:val="20"/>
        </w:rPr>
        <w:t xml:space="preserve"> (L.) Desv. ex Nevski (= </w:t>
      </w:r>
      <w:r>
        <w:rPr>
          <w:rFonts w:ascii="Times New Roman" w:eastAsia="Times New Roman" w:hAnsi="Times New Roman" w:cs="Times New Roman"/>
          <w:i/>
          <w:color w:val="000000"/>
          <w:sz w:val="20"/>
          <w:szCs w:val="20"/>
        </w:rPr>
        <w:t>Agropyron repens</w:t>
      </w:r>
      <w:r>
        <w:rPr>
          <w:rFonts w:ascii="Times New Roman" w:eastAsia="Times New Roman" w:hAnsi="Times New Roman" w:cs="Times New Roman"/>
          <w:color w:val="000000"/>
          <w:sz w:val="20"/>
          <w:szCs w:val="20"/>
        </w:rPr>
        <w:t xml:space="preserve"> (L.) P. Beauv., </w:t>
      </w:r>
      <w:r>
        <w:rPr>
          <w:rFonts w:ascii="Times New Roman" w:eastAsia="Times New Roman" w:hAnsi="Times New Roman" w:cs="Times New Roman"/>
          <w:i/>
          <w:color w:val="000000"/>
          <w:sz w:val="20"/>
          <w:szCs w:val="20"/>
        </w:rPr>
        <w:t>Elymus repens</w:t>
      </w:r>
      <w:r>
        <w:rPr>
          <w:rFonts w:ascii="Times New Roman" w:eastAsia="Times New Roman" w:hAnsi="Times New Roman" w:cs="Times New Roman"/>
          <w:color w:val="000000"/>
          <w:sz w:val="20"/>
          <w:szCs w:val="20"/>
        </w:rPr>
        <w:t xml:space="preserve"> (L.) Gould) under the NEM:BA A&amp;IS Lists of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71" w14:textId="77777777" w:rsidR="00073819" w:rsidRDefault="00073819">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72" w14:textId="77777777" w:rsidR="00073819" w:rsidRDefault="00073819">
    <w:pPr>
      <w:pBdr>
        <w:top w:val="nil"/>
        <w:left w:val="nil"/>
        <w:bottom w:val="nil"/>
        <w:right w:val="nil"/>
        <w:between w:val="nil"/>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73" w14:textId="77777777" w:rsidR="00073819" w:rsidRDefault="00073819">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95973D4"/>
    <w:multiLevelType w:val="multilevel"/>
    <w:tmpl w:val="990CE03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TrueTypeFont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819"/>
    <w:rsid w:val="000116D2"/>
    <w:rsid w:val="0001246E"/>
    <w:rsid w:val="000203F1"/>
    <w:rsid w:val="00024803"/>
    <w:rsid w:val="00045067"/>
    <w:rsid w:val="00045EF1"/>
    <w:rsid w:val="0004611D"/>
    <w:rsid w:val="00046B86"/>
    <w:rsid w:val="00050F9F"/>
    <w:rsid w:val="000510E7"/>
    <w:rsid w:val="000612B7"/>
    <w:rsid w:val="00061DAF"/>
    <w:rsid w:val="000636BD"/>
    <w:rsid w:val="00066C0A"/>
    <w:rsid w:val="0007153B"/>
    <w:rsid w:val="00072B1D"/>
    <w:rsid w:val="00073819"/>
    <w:rsid w:val="00075D62"/>
    <w:rsid w:val="000861B0"/>
    <w:rsid w:val="00094EE9"/>
    <w:rsid w:val="000A6469"/>
    <w:rsid w:val="000A7129"/>
    <w:rsid w:val="000B115E"/>
    <w:rsid w:val="000B7BDF"/>
    <w:rsid w:val="000C37A5"/>
    <w:rsid w:val="000C618E"/>
    <w:rsid w:val="000E667F"/>
    <w:rsid w:val="000F44FF"/>
    <w:rsid w:val="000F60DA"/>
    <w:rsid w:val="0010026B"/>
    <w:rsid w:val="001049DD"/>
    <w:rsid w:val="00106D44"/>
    <w:rsid w:val="001163D4"/>
    <w:rsid w:val="00125CBB"/>
    <w:rsid w:val="0012612A"/>
    <w:rsid w:val="001342A2"/>
    <w:rsid w:val="00141A9C"/>
    <w:rsid w:val="00145252"/>
    <w:rsid w:val="00146A1F"/>
    <w:rsid w:val="00155000"/>
    <w:rsid w:val="00160614"/>
    <w:rsid w:val="00163AB1"/>
    <w:rsid w:val="00174FE0"/>
    <w:rsid w:val="0017662C"/>
    <w:rsid w:val="001841E8"/>
    <w:rsid w:val="00186801"/>
    <w:rsid w:val="0019021A"/>
    <w:rsid w:val="001906FC"/>
    <w:rsid w:val="001A35E6"/>
    <w:rsid w:val="001A4295"/>
    <w:rsid w:val="001A4B14"/>
    <w:rsid w:val="001A5ABF"/>
    <w:rsid w:val="001B005C"/>
    <w:rsid w:val="001B3B9F"/>
    <w:rsid w:val="001B556D"/>
    <w:rsid w:val="001C2A5E"/>
    <w:rsid w:val="001C6FF2"/>
    <w:rsid w:val="001D1A5D"/>
    <w:rsid w:val="001E0853"/>
    <w:rsid w:val="001E24BB"/>
    <w:rsid w:val="001E4ECB"/>
    <w:rsid w:val="001F3DAF"/>
    <w:rsid w:val="001F666E"/>
    <w:rsid w:val="00202026"/>
    <w:rsid w:val="00202B14"/>
    <w:rsid w:val="00205255"/>
    <w:rsid w:val="00207853"/>
    <w:rsid w:val="002123D5"/>
    <w:rsid w:val="00214FAD"/>
    <w:rsid w:val="002152DA"/>
    <w:rsid w:val="00217303"/>
    <w:rsid w:val="002259DF"/>
    <w:rsid w:val="002367B8"/>
    <w:rsid w:val="00266204"/>
    <w:rsid w:val="00274C6D"/>
    <w:rsid w:val="002755DF"/>
    <w:rsid w:val="00277344"/>
    <w:rsid w:val="002840D8"/>
    <w:rsid w:val="0028482A"/>
    <w:rsid w:val="00285680"/>
    <w:rsid w:val="00290505"/>
    <w:rsid w:val="0029239C"/>
    <w:rsid w:val="002964B8"/>
    <w:rsid w:val="00296FBD"/>
    <w:rsid w:val="002A0F40"/>
    <w:rsid w:val="002A34A2"/>
    <w:rsid w:val="002A3545"/>
    <w:rsid w:val="002B47FE"/>
    <w:rsid w:val="002B7723"/>
    <w:rsid w:val="002C2BD2"/>
    <w:rsid w:val="002C4091"/>
    <w:rsid w:val="002C465F"/>
    <w:rsid w:val="002D3D9F"/>
    <w:rsid w:val="002E0409"/>
    <w:rsid w:val="002E2C82"/>
    <w:rsid w:val="002E42AF"/>
    <w:rsid w:val="002F0B7A"/>
    <w:rsid w:val="0031028A"/>
    <w:rsid w:val="00313343"/>
    <w:rsid w:val="00313DDE"/>
    <w:rsid w:val="00323704"/>
    <w:rsid w:val="00323C74"/>
    <w:rsid w:val="00326B2C"/>
    <w:rsid w:val="003302AF"/>
    <w:rsid w:val="003316DD"/>
    <w:rsid w:val="003372AC"/>
    <w:rsid w:val="00337BDC"/>
    <w:rsid w:val="0034744D"/>
    <w:rsid w:val="0034769B"/>
    <w:rsid w:val="00350E61"/>
    <w:rsid w:val="003515F5"/>
    <w:rsid w:val="00354635"/>
    <w:rsid w:val="003614EE"/>
    <w:rsid w:val="00364BB4"/>
    <w:rsid w:val="0037189B"/>
    <w:rsid w:val="003729B4"/>
    <w:rsid w:val="00380F56"/>
    <w:rsid w:val="0038740C"/>
    <w:rsid w:val="00397EF9"/>
    <w:rsid w:val="003A17E2"/>
    <w:rsid w:val="003A309B"/>
    <w:rsid w:val="003A71B2"/>
    <w:rsid w:val="003B4F52"/>
    <w:rsid w:val="003C2BB9"/>
    <w:rsid w:val="003D410B"/>
    <w:rsid w:val="003D4E85"/>
    <w:rsid w:val="003F30C7"/>
    <w:rsid w:val="003F3CDB"/>
    <w:rsid w:val="004122C9"/>
    <w:rsid w:val="004159CB"/>
    <w:rsid w:val="0043580D"/>
    <w:rsid w:val="00452141"/>
    <w:rsid w:val="00465B6A"/>
    <w:rsid w:val="004675A0"/>
    <w:rsid w:val="004716AE"/>
    <w:rsid w:val="0048465A"/>
    <w:rsid w:val="00497F07"/>
    <w:rsid w:val="004A019A"/>
    <w:rsid w:val="004A5163"/>
    <w:rsid w:val="004A5F69"/>
    <w:rsid w:val="004B7BB8"/>
    <w:rsid w:val="004C192A"/>
    <w:rsid w:val="004E6EB4"/>
    <w:rsid w:val="004E751C"/>
    <w:rsid w:val="004F32EE"/>
    <w:rsid w:val="004F42EB"/>
    <w:rsid w:val="00500630"/>
    <w:rsid w:val="0050559F"/>
    <w:rsid w:val="00511E7E"/>
    <w:rsid w:val="00512F50"/>
    <w:rsid w:val="005166B5"/>
    <w:rsid w:val="00516A6A"/>
    <w:rsid w:val="005204A7"/>
    <w:rsid w:val="00521851"/>
    <w:rsid w:val="00526DED"/>
    <w:rsid w:val="0054344C"/>
    <w:rsid w:val="00563807"/>
    <w:rsid w:val="00566F91"/>
    <w:rsid w:val="0057517A"/>
    <w:rsid w:val="00580D26"/>
    <w:rsid w:val="00582D1B"/>
    <w:rsid w:val="00585DA7"/>
    <w:rsid w:val="005911C3"/>
    <w:rsid w:val="005A706F"/>
    <w:rsid w:val="005B0347"/>
    <w:rsid w:val="005B50B8"/>
    <w:rsid w:val="005B75D5"/>
    <w:rsid w:val="005B763C"/>
    <w:rsid w:val="005D6ADD"/>
    <w:rsid w:val="005E1FAA"/>
    <w:rsid w:val="005F6ACC"/>
    <w:rsid w:val="006008FC"/>
    <w:rsid w:val="00600B26"/>
    <w:rsid w:val="0060197A"/>
    <w:rsid w:val="00602C02"/>
    <w:rsid w:val="006048CC"/>
    <w:rsid w:val="00607CF3"/>
    <w:rsid w:val="00611845"/>
    <w:rsid w:val="00613195"/>
    <w:rsid w:val="00616513"/>
    <w:rsid w:val="00622E0F"/>
    <w:rsid w:val="00626763"/>
    <w:rsid w:val="006301CA"/>
    <w:rsid w:val="00631CB3"/>
    <w:rsid w:val="00636631"/>
    <w:rsid w:val="00637C11"/>
    <w:rsid w:val="00640DCC"/>
    <w:rsid w:val="00656B58"/>
    <w:rsid w:val="006571F3"/>
    <w:rsid w:val="00657A45"/>
    <w:rsid w:val="0066046C"/>
    <w:rsid w:val="006660B4"/>
    <w:rsid w:val="006702D9"/>
    <w:rsid w:val="006725D9"/>
    <w:rsid w:val="00681ECD"/>
    <w:rsid w:val="00683A7F"/>
    <w:rsid w:val="00683E7D"/>
    <w:rsid w:val="006936BA"/>
    <w:rsid w:val="00694154"/>
    <w:rsid w:val="00696D2B"/>
    <w:rsid w:val="006A500F"/>
    <w:rsid w:val="006B1781"/>
    <w:rsid w:val="006B40E6"/>
    <w:rsid w:val="006D2F07"/>
    <w:rsid w:val="006E03FE"/>
    <w:rsid w:val="006F7CBB"/>
    <w:rsid w:val="0070212A"/>
    <w:rsid w:val="00702DF0"/>
    <w:rsid w:val="00702E77"/>
    <w:rsid w:val="00724F5D"/>
    <w:rsid w:val="00731139"/>
    <w:rsid w:val="00735FF5"/>
    <w:rsid w:val="00736DE3"/>
    <w:rsid w:val="007432D9"/>
    <w:rsid w:val="00755F54"/>
    <w:rsid w:val="0076634F"/>
    <w:rsid w:val="00766EB7"/>
    <w:rsid w:val="00771C8D"/>
    <w:rsid w:val="007738E4"/>
    <w:rsid w:val="0078459E"/>
    <w:rsid w:val="007962B4"/>
    <w:rsid w:val="007A18D5"/>
    <w:rsid w:val="007B241A"/>
    <w:rsid w:val="007B603F"/>
    <w:rsid w:val="007B7D2E"/>
    <w:rsid w:val="007C12F3"/>
    <w:rsid w:val="007C5757"/>
    <w:rsid w:val="007C732A"/>
    <w:rsid w:val="007D06DB"/>
    <w:rsid w:val="007E17FC"/>
    <w:rsid w:val="007F2916"/>
    <w:rsid w:val="007F4DBC"/>
    <w:rsid w:val="00804836"/>
    <w:rsid w:val="00820A23"/>
    <w:rsid w:val="008250B9"/>
    <w:rsid w:val="0083468C"/>
    <w:rsid w:val="00834AD0"/>
    <w:rsid w:val="00835BA9"/>
    <w:rsid w:val="008366F3"/>
    <w:rsid w:val="00840A79"/>
    <w:rsid w:val="00842F3B"/>
    <w:rsid w:val="00851C75"/>
    <w:rsid w:val="00853F58"/>
    <w:rsid w:val="0085799C"/>
    <w:rsid w:val="008616CE"/>
    <w:rsid w:val="008637CA"/>
    <w:rsid w:val="0086512A"/>
    <w:rsid w:val="008652D7"/>
    <w:rsid w:val="00865337"/>
    <w:rsid w:val="008737DE"/>
    <w:rsid w:val="00880247"/>
    <w:rsid w:val="00880BC7"/>
    <w:rsid w:val="00892978"/>
    <w:rsid w:val="0089303D"/>
    <w:rsid w:val="00894ED3"/>
    <w:rsid w:val="00897A8D"/>
    <w:rsid w:val="008A69F6"/>
    <w:rsid w:val="008B7695"/>
    <w:rsid w:val="008C3291"/>
    <w:rsid w:val="008D4215"/>
    <w:rsid w:val="008D50AD"/>
    <w:rsid w:val="008E17AE"/>
    <w:rsid w:val="008E351B"/>
    <w:rsid w:val="008E3C09"/>
    <w:rsid w:val="00905669"/>
    <w:rsid w:val="00922864"/>
    <w:rsid w:val="009355C5"/>
    <w:rsid w:val="00935CF5"/>
    <w:rsid w:val="00944B29"/>
    <w:rsid w:val="009456CD"/>
    <w:rsid w:val="009468DD"/>
    <w:rsid w:val="00956132"/>
    <w:rsid w:val="00976FD5"/>
    <w:rsid w:val="009800DE"/>
    <w:rsid w:val="00984B0D"/>
    <w:rsid w:val="0099474B"/>
    <w:rsid w:val="00996AA6"/>
    <w:rsid w:val="009A52BB"/>
    <w:rsid w:val="009B15C6"/>
    <w:rsid w:val="009C03B8"/>
    <w:rsid w:val="009C39A4"/>
    <w:rsid w:val="009D627E"/>
    <w:rsid w:val="009D7700"/>
    <w:rsid w:val="009E134C"/>
    <w:rsid w:val="009E5872"/>
    <w:rsid w:val="009E6B12"/>
    <w:rsid w:val="009E7330"/>
    <w:rsid w:val="009F39CA"/>
    <w:rsid w:val="00A07A4D"/>
    <w:rsid w:val="00A129B4"/>
    <w:rsid w:val="00A1565D"/>
    <w:rsid w:val="00A370AF"/>
    <w:rsid w:val="00A37187"/>
    <w:rsid w:val="00A427DA"/>
    <w:rsid w:val="00A42F3F"/>
    <w:rsid w:val="00A4773C"/>
    <w:rsid w:val="00A63143"/>
    <w:rsid w:val="00A72819"/>
    <w:rsid w:val="00A80670"/>
    <w:rsid w:val="00A816FF"/>
    <w:rsid w:val="00A82234"/>
    <w:rsid w:val="00A82FED"/>
    <w:rsid w:val="00A83D4D"/>
    <w:rsid w:val="00A92D5A"/>
    <w:rsid w:val="00AA44A9"/>
    <w:rsid w:val="00AB76FB"/>
    <w:rsid w:val="00AC08BE"/>
    <w:rsid w:val="00AC7F1A"/>
    <w:rsid w:val="00AD16E1"/>
    <w:rsid w:val="00AD20D0"/>
    <w:rsid w:val="00AD3BA3"/>
    <w:rsid w:val="00AD4E54"/>
    <w:rsid w:val="00AE4DCA"/>
    <w:rsid w:val="00AF3C4A"/>
    <w:rsid w:val="00AF4D21"/>
    <w:rsid w:val="00B01814"/>
    <w:rsid w:val="00B04A1B"/>
    <w:rsid w:val="00B05A9C"/>
    <w:rsid w:val="00B309CA"/>
    <w:rsid w:val="00B351E8"/>
    <w:rsid w:val="00B40547"/>
    <w:rsid w:val="00B5000F"/>
    <w:rsid w:val="00B54AF9"/>
    <w:rsid w:val="00B652E2"/>
    <w:rsid w:val="00B65BFB"/>
    <w:rsid w:val="00B66C80"/>
    <w:rsid w:val="00B76E44"/>
    <w:rsid w:val="00B80AAC"/>
    <w:rsid w:val="00B85C11"/>
    <w:rsid w:val="00B964B4"/>
    <w:rsid w:val="00BA78CD"/>
    <w:rsid w:val="00BC3B47"/>
    <w:rsid w:val="00BF5845"/>
    <w:rsid w:val="00C00974"/>
    <w:rsid w:val="00C02714"/>
    <w:rsid w:val="00C05B5B"/>
    <w:rsid w:val="00C15958"/>
    <w:rsid w:val="00C16C48"/>
    <w:rsid w:val="00C171B1"/>
    <w:rsid w:val="00C21695"/>
    <w:rsid w:val="00C24CD4"/>
    <w:rsid w:val="00C41EAE"/>
    <w:rsid w:val="00C42D36"/>
    <w:rsid w:val="00C465DA"/>
    <w:rsid w:val="00C47AE2"/>
    <w:rsid w:val="00C6392C"/>
    <w:rsid w:val="00C71929"/>
    <w:rsid w:val="00C72FF0"/>
    <w:rsid w:val="00CA731D"/>
    <w:rsid w:val="00CB21E1"/>
    <w:rsid w:val="00CB226F"/>
    <w:rsid w:val="00CB6F08"/>
    <w:rsid w:val="00CD20FF"/>
    <w:rsid w:val="00D06B77"/>
    <w:rsid w:val="00D21CDE"/>
    <w:rsid w:val="00D33844"/>
    <w:rsid w:val="00D3553D"/>
    <w:rsid w:val="00D442E7"/>
    <w:rsid w:val="00D46E5D"/>
    <w:rsid w:val="00D51D01"/>
    <w:rsid w:val="00D53151"/>
    <w:rsid w:val="00D61B59"/>
    <w:rsid w:val="00D62FE4"/>
    <w:rsid w:val="00D65AE1"/>
    <w:rsid w:val="00D67400"/>
    <w:rsid w:val="00D67BD7"/>
    <w:rsid w:val="00D83311"/>
    <w:rsid w:val="00D851B1"/>
    <w:rsid w:val="00D8577B"/>
    <w:rsid w:val="00D9044D"/>
    <w:rsid w:val="00DA1DB2"/>
    <w:rsid w:val="00DA5D70"/>
    <w:rsid w:val="00DC3F3A"/>
    <w:rsid w:val="00DD27D9"/>
    <w:rsid w:val="00DD31E8"/>
    <w:rsid w:val="00DD333A"/>
    <w:rsid w:val="00DD455D"/>
    <w:rsid w:val="00DD56A8"/>
    <w:rsid w:val="00DD67A7"/>
    <w:rsid w:val="00DD7FE4"/>
    <w:rsid w:val="00DE3073"/>
    <w:rsid w:val="00DF5C61"/>
    <w:rsid w:val="00E0184E"/>
    <w:rsid w:val="00E07829"/>
    <w:rsid w:val="00E07A9C"/>
    <w:rsid w:val="00E16602"/>
    <w:rsid w:val="00E24F17"/>
    <w:rsid w:val="00E30086"/>
    <w:rsid w:val="00E3223B"/>
    <w:rsid w:val="00E32D1F"/>
    <w:rsid w:val="00E34325"/>
    <w:rsid w:val="00E35EBE"/>
    <w:rsid w:val="00E36C9E"/>
    <w:rsid w:val="00E40ED6"/>
    <w:rsid w:val="00E42C3B"/>
    <w:rsid w:val="00E44247"/>
    <w:rsid w:val="00E560E6"/>
    <w:rsid w:val="00E76768"/>
    <w:rsid w:val="00E85387"/>
    <w:rsid w:val="00EA0CDE"/>
    <w:rsid w:val="00EA79A3"/>
    <w:rsid w:val="00EB2D92"/>
    <w:rsid w:val="00EC73E9"/>
    <w:rsid w:val="00ED281C"/>
    <w:rsid w:val="00ED6BE4"/>
    <w:rsid w:val="00EF2C09"/>
    <w:rsid w:val="00EF3AD7"/>
    <w:rsid w:val="00F031DD"/>
    <w:rsid w:val="00F047C8"/>
    <w:rsid w:val="00F10753"/>
    <w:rsid w:val="00F143B4"/>
    <w:rsid w:val="00F16325"/>
    <w:rsid w:val="00F245EC"/>
    <w:rsid w:val="00F3083B"/>
    <w:rsid w:val="00F4224E"/>
    <w:rsid w:val="00F50003"/>
    <w:rsid w:val="00F77C93"/>
    <w:rsid w:val="00F85449"/>
    <w:rsid w:val="00F907FD"/>
    <w:rsid w:val="00F94A55"/>
    <w:rsid w:val="00FA37D4"/>
    <w:rsid w:val="00FA39C3"/>
    <w:rsid w:val="00FA7EDF"/>
    <w:rsid w:val="00FB58F1"/>
    <w:rsid w:val="00FC6385"/>
    <w:rsid w:val="00FD031A"/>
    <w:rsid w:val="00FE07D8"/>
    <w:rsid w:val="00FF11A8"/>
    <w:rsid w:val="00FF79EA"/>
    <w:rsid w:val="00FF7E3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042EAD"/>
  <w15:docId w15:val="{72B720C1-6658-439A-8E1F-965C98F39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AU" w:eastAsia="en-Z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680B"/>
    <w:pPr>
      <w:keepNext/>
      <w:keepLines/>
      <w:spacing w:before="360" w:after="360" w:line="240" w:lineRule="auto"/>
      <w:outlineLvl w:val="0"/>
    </w:pPr>
    <w:rPr>
      <w:rFonts w:eastAsiaTheme="majorEastAsia" w:cstheme="majorBidi"/>
      <w:sz w:val="24"/>
      <w:szCs w:val="32"/>
      <w:lang w:val="en-ZA"/>
    </w:rPr>
  </w:style>
  <w:style w:type="paragraph" w:styleId="Heading2">
    <w:name w:val="heading 2"/>
    <w:basedOn w:val="Normal"/>
    <w:next w:val="Normal"/>
    <w:link w:val="Heading2Char"/>
    <w:uiPriority w:val="9"/>
    <w:unhideWhenUsed/>
    <w:qFormat/>
    <w:rsid w:val="0074680B"/>
    <w:pPr>
      <w:keepNext/>
      <w:keepLines/>
      <w:spacing w:after="240" w:line="240" w:lineRule="auto"/>
      <w:outlineLvl w:val="1"/>
    </w:pPr>
    <w:rPr>
      <w:rFonts w:eastAsiaTheme="majorEastAsia" w:cstheme="majorBidi"/>
      <w:b/>
      <w:szCs w:val="26"/>
      <w:lang w:val="en-ZA"/>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CommentText">
    <w:name w:val="annotation text"/>
    <w:basedOn w:val="Normal"/>
    <w:link w:val="CommentTextChar"/>
    <w:uiPriority w:val="99"/>
    <w:unhideWhenUsed/>
    <w:rsid w:val="003E726C"/>
    <w:pPr>
      <w:spacing w:after="0" w:line="240" w:lineRule="auto"/>
    </w:pPr>
    <w:rPr>
      <w:rFonts w:ascii="Arial" w:eastAsia="Arial" w:hAnsi="Arial" w:cs="Arial"/>
      <w:sz w:val="20"/>
      <w:szCs w:val="20"/>
    </w:rPr>
  </w:style>
  <w:style w:type="character" w:customStyle="1" w:styleId="CommentTextChar">
    <w:name w:val="Comment Text Char"/>
    <w:basedOn w:val="DefaultParagraphFont"/>
    <w:link w:val="CommentText"/>
    <w:uiPriority w:val="99"/>
    <w:rsid w:val="003E726C"/>
    <w:rPr>
      <w:rFonts w:ascii="Arial" w:eastAsia="Arial" w:hAnsi="Arial" w:cs="Arial"/>
      <w:sz w:val="20"/>
      <w:szCs w:val="20"/>
      <w:lang w:eastAsia="en-AU"/>
    </w:rPr>
  </w:style>
  <w:style w:type="character" w:styleId="CommentReference">
    <w:name w:val="annotation reference"/>
    <w:basedOn w:val="DefaultParagraphFont"/>
    <w:uiPriority w:val="99"/>
    <w:semiHidden/>
    <w:unhideWhenUsed/>
    <w:rsid w:val="003E726C"/>
    <w:rPr>
      <w:sz w:val="16"/>
      <w:szCs w:val="16"/>
    </w:rPr>
  </w:style>
  <w:style w:type="paragraph" w:styleId="BalloonText">
    <w:name w:val="Balloon Text"/>
    <w:basedOn w:val="Normal"/>
    <w:link w:val="BalloonTextChar"/>
    <w:uiPriority w:val="99"/>
    <w:semiHidden/>
    <w:unhideWhenUsed/>
    <w:rsid w:val="003E72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726C"/>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36616A"/>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36616A"/>
    <w:rPr>
      <w:rFonts w:ascii="Arial" w:eastAsia="Arial" w:hAnsi="Arial" w:cs="Arial"/>
      <w:b/>
      <w:bCs/>
      <w:sz w:val="20"/>
      <w:szCs w:val="20"/>
      <w:lang w:eastAsia="en-AU"/>
    </w:rPr>
  </w:style>
  <w:style w:type="character" w:customStyle="1" w:styleId="Heading1Char">
    <w:name w:val="Heading 1 Char"/>
    <w:basedOn w:val="DefaultParagraphFont"/>
    <w:link w:val="Heading1"/>
    <w:uiPriority w:val="9"/>
    <w:rsid w:val="0074680B"/>
    <w:rPr>
      <w:rFonts w:ascii="Calibri" w:eastAsiaTheme="majorEastAsia" w:hAnsi="Calibri" w:cstheme="majorBidi"/>
      <w:sz w:val="24"/>
      <w:szCs w:val="32"/>
      <w:lang w:val="en-ZA"/>
    </w:rPr>
  </w:style>
  <w:style w:type="character" w:customStyle="1" w:styleId="Heading2Char">
    <w:name w:val="Heading 2 Char"/>
    <w:basedOn w:val="DefaultParagraphFont"/>
    <w:link w:val="Heading2"/>
    <w:uiPriority w:val="9"/>
    <w:rsid w:val="0074680B"/>
    <w:rPr>
      <w:rFonts w:eastAsiaTheme="majorEastAsia" w:cstheme="majorBidi"/>
      <w:b/>
      <w:szCs w:val="26"/>
      <w:lang w:val="en-ZA"/>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CB3CC0"/>
    <w:pPr>
      <w:spacing w:after="0" w:line="276" w:lineRule="auto"/>
      <w:ind w:left="720"/>
      <w:contextualSpacing/>
    </w:pPr>
    <w:rPr>
      <w:rFonts w:ascii="Arial" w:eastAsia="Arial" w:hAnsi="Arial" w:cs="Arial"/>
    </w:rPr>
  </w:style>
  <w:style w:type="character" w:styleId="FootnoteReference">
    <w:name w:val="footnote reference"/>
    <w:basedOn w:val="DefaultParagraphFont"/>
    <w:uiPriority w:val="99"/>
    <w:semiHidden/>
    <w:unhideWhenUsed/>
    <w:rsid w:val="00B21A4D"/>
    <w:rPr>
      <w:vertAlign w:val="superscript"/>
    </w:rPr>
  </w:style>
  <w:style w:type="table" w:customStyle="1" w:styleId="1">
    <w:name w:val="1"/>
    <w:basedOn w:val="TableNormal"/>
    <w:rsid w:val="00B21A4D"/>
    <w:pPr>
      <w:spacing w:after="0" w:line="240" w:lineRule="auto"/>
    </w:pPr>
    <w:rPr>
      <w:rFonts w:ascii="Arial" w:eastAsia="Arial" w:hAnsi="Arial" w:cs="Arial"/>
    </w:rPr>
    <w:tblPr>
      <w:tblStyleRowBandSize w:val="1"/>
      <w:tblStyleColBandSize w:val="1"/>
      <w:tblCellMar>
        <w:left w:w="115" w:type="dxa"/>
        <w:right w:w="115" w:type="dxa"/>
      </w:tblCellMar>
    </w:tblPr>
  </w:style>
  <w:style w:type="character" w:styleId="Hyperlink">
    <w:name w:val="Hyperlink"/>
    <w:basedOn w:val="DefaultParagraphFont"/>
    <w:uiPriority w:val="99"/>
    <w:unhideWhenUsed/>
    <w:rsid w:val="00511C95"/>
    <w:rPr>
      <w:color w:val="0563C1" w:themeColor="hyperlink"/>
      <w:u w:val="single"/>
    </w:rPr>
  </w:style>
  <w:style w:type="paragraph" w:styleId="NormalWeb">
    <w:name w:val="Normal (Web)"/>
    <w:basedOn w:val="Normal"/>
    <w:uiPriority w:val="99"/>
    <w:unhideWhenUsed/>
    <w:rsid w:val="00511C95"/>
    <w:pPr>
      <w:spacing w:before="100" w:beforeAutospacing="1" w:after="100" w:afterAutospacing="1"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74F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4F71"/>
  </w:style>
  <w:style w:type="table" w:customStyle="1" w:styleId="a2">
    <w:basedOn w:val="TableNormal"/>
    <w:tblPr>
      <w:tblStyleRowBandSize w:val="1"/>
      <w:tblStyleColBandSize w:val="1"/>
      <w:tblCellMar>
        <w:left w:w="0" w:type="dxa"/>
        <w:right w:w="0" w:type="dxa"/>
      </w:tblCellMar>
    </w:tblPr>
  </w:style>
  <w:style w:type="table" w:customStyle="1" w:styleId="a3">
    <w:basedOn w:val="TableNormal"/>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4">
    <w:basedOn w:val="TableNormal"/>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5">
    <w:basedOn w:val="TableNormal"/>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6">
    <w:basedOn w:val="TableNormal"/>
    <w:pPr>
      <w:spacing w:after="0" w:line="240" w:lineRule="auto"/>
    </w:pPr>
    <w:rPr>
      <w:rFonts w:ascii="Arial" w:eastAsia="Arial" w:hAnsi="Arial" w:cs="Arial"/>
    </w:rPr>
    <w:tblPr>
      <w:tblStyleRowBandSize w:val="1"/>
      <w:tblStyleColBandSize w:val="1"/>
      <w:tblCellMar>
        <w:left w:w="115" w:type="dxa"/>
        <w:right w:w="115" w:type="dxa"/>
      </w:tblCellMar>
    </w:tblPr>
  </w:style>
  <w:style w:type="character" w:styleId="LineNumber">
    <w:name w:val="line number"/>
    <w:basedOn w:val="DefaultParagraphFont"/>
    <w:uiPriority w:val="99"/>
    <w:semiHidden/>
    <w:unhideWhenUsed/>
    <w:rsid w:val="004159CB"/>
  </w:style>
  <w:style w:type="paragraph" w:styleId="Revision">
    <w:name w:val="Revision"/>
    <w:hidden/>
    <w:uiPriority w:val="99"/>
    <w:semiHidden/>
    <w:rsid w:val="004159CB"/>
    <w:pPr>
      <w:spacing w:after="0" w:line="240" w:lineRule="auto"/>
    </w:pPr>
  </w:style>
  <w:style w:type="character" w:customStyle="1" w:styleId="UnresolvedMention1">
    <w:name w:val="Unresolved Mention1"/>
    <w:basedOn w:val="DefaultParagraphFont"/>
    <w:uiPriority w:val="99"/>
    <w:semiHidden/>
    <w:unhideWhenUsed/>
    <w:rsid w:val="00755F54"/>
    <w:rPr>
      <w:color w:val="605E5C"/>
      <w:shd w:val="clear" w:color="auto" w:fill="E1DFDD"/>
    </w:rPr>
  </w:style>
  <w:style w:type="table" w:styleId="TableGrid">
    <w:name w:val="Table Grid"/>
    <w:basedOn w:val="TableNormal"/>
    <w:uiPriority w:val="39"/>
    <w:rsid w:val="004F42EB"/>
    <w:pPr>
      <w:spacing w:after="0" w:line="240" w:lineRule="auto"/>
    </w:pPr>
    <w:rPr>
      <w:rFonts w:asciiTheme="minorHAnsi" w:eastAsiaTheme="minorHAnsi" w:hAnsiTheme="minorHAnsi" w:cstheme="minorBidi"/>
      <w:lang w:val="en-Z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4990978">
      <w:bodyDiv w:val="1"/>
      <w:marLeft w:val="0"/>
      <w:marRight w:val="0"/>
      <w:marTop w:val="0"/>
      <w:marBottom w:val="0"/>
      <w:divBdr>
        <w:top w:val="none" w:sz="0" w:space="0" w:color="auto"/>
        <w:left w:val="none" w:sz="0" w:space="0" w:color="auto"/>
        <w:bottom w:val="none" w:sz="0" w:space="0" w:color="auto"/>
        <w:right w:val="none" w:sz="0" w:space="0" w:color="auto"/>
      </w:divBdr>
    </w:div>
    <w:div w:id="1673223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laura.f.winzer@gmail.com" TargetMode="External"/><Relationship Id="rId13" Type="http://schemas.openxmlformats.org/officeDocument/2006/relationships/image" Target="media/image1.png"/><Relationship Id="rId18" Type="http://schemas.openxmlformats.org/officeDocument/2006/relationships/image" Target="media/image5.jp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image" Target="media/image10.jpg"/><Relationship Id="rId10" Type="http://schemas.openxmlformats.org/officeDocument/2006/relationships/header" Target="header2.xml"/><Relationship Id="rId19" Type="http://schemas.openxmlformats.org/officeDocument/2006/relationships/image" Target="media/image6.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image" Target="media/image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Laura%20Fernandez\OneDrive%20-%20Stellenbosch%20University\Desktop\Postdoc%20SANBI\PROJECTS\Leading\2%20Indicators\PEIs_paper_BiolInv_SpecialIssue\Figures%20&amp;%20Tables\Figur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'Figure 5.3, S5.1'!$I$23</c:f>
              <c:strCache>
                <c:ptCount val="1"/>
                <c:pt idx="0">
                  <c:v>NA</c:v>
                </c:pt>
              </c:strCache>
            </c:strRef>
          </c:tx>
          <c:spPr>
            <a:solidFill>
              <a:srgbClr val="EFEFEF"/>
            </a:solidFill>
            <a:ln cmpd="sng">
              <a:solidFill>
                <a:srgbClr val="000000"/>
              </a:solidFill>
            </a:ln>
          </c:spPr>
          <c:invertIfNegative val="1"/>
          <c:dPt>
            <c:idx val="0"/>
            <c:invertIfNegative val="1"/>
            <c:bubble3D val="0"/>
            <c:extLst>
              <c:ext xmlns:c16="http://schemas.microsoft.com/office/drawing/2014/chart" uri="{C3380CC4-5D6E-409C-BE32-E72D297353CC}">
                <c16:uniqueId val="{00000000-4360-46D0-9474-6AACCF077CB1}"/>
              </c:ext>
            </c:extLst>
          </c:dPt>
          <c:cat>
            <c:strRef>
              <c:f>'Figure 5.3, S5.1'!$H$24:$H$33</c:f>
              <c:strCache>
                <c:ptCount val="10"/>
                <c:pt idx="0">
                  <c:v>T invertebrates</c:v>
                </c:pt>
                <c:pt idx="1">
                  <c:v>FW &amp; T plants </c:v>
                </c:pt>
                <c:pt idx="2">
                  <c:v>Microbes</c:v>
                </c:pt>
                <c:pt idx="3">
                  <c:v>Mammals </c:v>
                </c:pt>
                <c:pt idx="4">
                  <c:v>M invertebrates</c:v>
                </c:pt>
                <c:pt idx="5">
                  <c:v>M plants</c:v>
                </c:pt>
                <c:pt idx="6">
                  <c:v>Amphibians</c:v>
                </c:pt>
                <c:pt idx="7">
                  <c:v>Birds </c:v>
                </c:pt>
                <c:pt idx="8">
                  <c:v>FW fish </c:v>
                </c:pt>
                <c:pt idx="9">
                  <c:v>M fish </c:v>
                </c:pt>
              </c:strCache>
            </c:strRef>
          </c:cat>
          <c:val>
            <c:numRef>
              <c:f>'Figure 5.3, S5.1'!$I$24:$I$33</c:f>
              <c:numCache>
                <c:formatCode>General</c:formatCode>
                <c:ptCount val="10"/>
                <c:pt idx="0">
                  <c:v>5</c:v>
                </c:pt>
                <c:pt idx="1">
                  <c:v>0</c:v>
                </c:pt>
                <c:pt idx="2">
                  <c:v>0</c:v>
                </c:pt>
                <c:pt idx="3">
                  <c:v>0</c:v>
                </c:pt>
                <c:pt idx="4">
                  <c:v>0</c:v>
                </c:pt>
                <c:pt idx="5">
                  <c:v>0</c:v>
                </c:pt>
                <c:pt idx="6">
                  <c:v>0</c:v>
                </c:pt>
                <c:pt idx="7">
                  <c:v>0</c:v>
                </c:pt>
                <c:pt idx="8">
                  <c:v>0</c:v>
                </c:pt>
                <c:pt idx="9">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1-4360-46D0-9474-6AACCF077CB1}"/>
            </c:ext>
          </c:extLst>
        </c:ser>
        <c:ser>
          <c:idx val="1"/>
          <c:order val="1"/>
          <c:tx>
            <c:strRef>
              <c:f>'Figure 5.3, S5.1'!$J$23</c:f>
              <c:strCache>
                <c:ptCount val="1"/>
                <c:pt idx="0">
                  <c:v>Present - not naturalised</c:v>
                </c:pt>
              </c:strCache>
            </c:strRef>
          </c:tx>
          <c:spPr>
            <a:solidFill>
              <a:srgbClr val="D9D9D9"/>
            </a:solidFill>
            <a:ln cmpd="sng">
              <a:solidFill>
                <a:srgbClr val="D9D9D9">
                  <a:alpha val="100000"/>
                </a:srgbClr>
              </a:solidFill>
            </a:ln>
          </c:spPr>
          <c:invertIfNegative val="1"/>
          <c:dPt>
            <c:idx val="0"/>
            <c:invertIfNegative val="1"/>
            <c:bubble3D val="0"/>
            <c:spPr>
              <a:solidFill>
                <a:srgbClr val="CCCCCC"/>
              </a:solidFill>
              <a:ln cmpd="sng">
                <a:solidFill>
                  <a:srgbClr val="000000"/>
                </a:solidFill>
              </a:ln>
            </c:spPr>
            <c:extLst>
              <c:ext xmlns:c16="http://schemas.microsoft.com/office/drawing/2014/chart" uri="{C3380CC4-5D6E-409C-BE32-E72D297353CC}">
                <c16:uniqueId val="{00000003-4360-46D0-9474-6AACCF077CB1}"/>
              </c:ext>
            </c:extLst>
          </c:dPt>
          <c:dPt>
            <c:idx val="1"/>
            <c:invertIfNegative val="1"/>
            <c:bubble3D val="0"/>
            <c:extLst>
              <c:ext xmlns:c16="http://schemas.microsoft.com/office/drawing/2014/chart" uri="{C3380CC4-5D6E-409C-BE32-E72D297353CC}">
                <c16:uniqueId val="{00000004-4360-46D0-9474-6AACCF077CB1}"/>
              </c:ext>
            </c:extLst>
          </c:dPt>
          <c:cat>
            <c:strRef>
              <c:f>'Figure 5.3, S5.1'!$H$24:$H$33</c:f>
              <c:strCache>
                <c:ptCount val="10"/>
                <c:pt idx="0">
                  <c:v>T invertebrates</c:v>
                </c:pt>
                <c:pt idx="1">
                  <c:v>FW &amp; T plants </c:v>
                </c:pt>
                <c:pt idx="2">
                  <c:v>Microbes</c:v>
                </c:pt>
                <c:pt idx="3">
                  <c:v>Mammals </c:v>
                </c:pt>
                <c:pt idx="4">
                  <c:v>M invertebrates</c:v>
                </c:pt>
                <c:pt idx="5">
                  <c:v>M plants</c:v>
                </c:pt>
                <c:pt idx="6">
                  <c:v>Amphibians</c:v>
                </c:pt>
                <c:pt idx="7">
                  <c:v>Birds </c:v>
                </c:pt>
                <c:pt idx="8">
                  <c:v>FW fish </c:v>
                </c:pt>
                <c:pt idx="9">
                  <c:v>M fish </c:v>
                </c:pt>
              </c:strCache>
            </c:strRef>
          </c:cat>
          <c:val>
            <c:numRef>
              <c:f>'Figure 5.3, S5.1'!$J$24:$J$33</c:f>
              <c:numCache>
                <c:formatCode>General</c:formatCode>
                <c:ptCount val="10"/>
                <c:pt idx="0">
                  <c:v>0</c:v>
                </c:pt>
                <c:pt idx="1">
                  <c:v>0</c:v>
                </c:pt>
                <c:pt idx="2">
                  <c:v>0</c:v>
                </c:pt>
                <c:pt idx="3">
                  <c:v>0</c:v>
                </c:pt>
                <c:pt idx="4">
                  <c:v>0</c:v>
                </c:pt>
                <c:pt idx="5">
                  <c:v>0</c:v>
                </c:pt>
                <c:pt idx="6">
                  <c:v>0</c:v>
                </c:pt>
                <c:pt idx="7">
                  <c:v>0</c:v>
                </c:pt>
                <c:pt idx="8">
                  <c:v>0</c:v>
                </c:pt>
                <c:pt idx="9">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D9D9D9">
                        <a:alpha val="100000"/>
                      </a:srgbClr>
                    </a:solidFill>
                  </a:ln>
                </c14:spPr>
              </c14:invertSolidFillFmt>
            </c:ext>
            <c:ext xmlns:c16="http://schemas.microsoft.com/office/drawing/2014/chart" uri="{C3380CC4-5D6E-409C-BE32-E72D297353CC}">
              <c16:uniqueId val="{00000005-4360-46D0-9474-6AACCF077CB1}"/>
            </c:ext>
          </c:extLst>
        </c:ser>
        <c:ser>
          <c:idx val="2"/>
          <c:order val="2"/>
          <c:tx>
            <c:strRef>
              <c:f>'Figure 5.3, S5.1'!$K$23</c:f>
              <c:strCache>
                <c:ptCount val="1"/>
                <c:pt idx="0">
                  <c:v>Naturalised </c:v>
                </c:pt>
              </c:strCache>
            </c:strRef>
          </c:tx>
          <c:spPr>
            <a:solidFill>
              <a:srgbClr val="A5A5A5"/>
            </a:solidFill>
            <a:ln cmpd="sng">
              <a:solidFill>
                <a:srgbClr val="000000"/>
              </a:solidFill>
            </a:ln>
          </c:spPr>
          <c:invertIfNegative val="1"/>
          <c:cat>
            <c:strRef>
              <c:f>'Figure 5.3, S5.1'!$H$24:$H$33</c:f>
              <c:strCache>
                <c:ptCount val="10"/>
                <c:pt idx="0">
                  <c:v>T invertebrates</c:v>
                </c:pt>
                <c:pt idx="1">
                  <c:v>FW &amp; T plants </c:v>
                </c:pt>
                <c:pt idx="2">
                  <c:v>Microbes</c:v>
                </c:pt>
                <c:pt idx="3">
                  <c:v>Mammals </c:v>
                </c:pt>
                <c:pt idx="4">
                  <c:v>M invertebrates</c:v>
                </c:pt>
                <c:pt idx="5">
                  <c:v>M plants</c:v>
                </c:pt>
                <c:pt idx="6">
                  <c:v>Amphibians</c:v>
                </c:pt>
                <c:pt idx="7">
                  <c:v>Birds </c:v>
                </c:pt>
                <c:pt idx="8">
                  <c:v>FW fish </c:v>
                </c:pt>
                <c:pt idx="9">
                  <c:v>M fish </c:v>
                </c:pt>
              </c:strCache>
            </c:strRef>
          </c:cat>
          <c:val>
            <c:numRef>
              <c:f>'Figure 5.3, S5.1'!$K$24:$K$33</c:f>
              <c:numCache>
                <c:formatCode>General</c:formatCode>
                <c:ptCount val="10"/>
                <c:pt idx="0">
                  <c:v>6</c:v>
                </c:pt>
                <c:pt idx="1">
                  <c:v>7</c:v>
                </c:pt>
                <c:pt idx="2">
                  <c:v>0</c:v>
                </c:pt>
                <c:pt idx="3">
                  <c:v>0</c:v>
                </c:pt>
                <c:pt idx="4">
                  <c:v>0</c:v>
                </c:pt>
                <c:pt idx="5">
                  <c:v>0</c:v>
                </c:pt>
                <c:pt idx="6">
                  <c:v>0</c:v>
                </c:pt>
                <c:pt idx="7">
                  <c:v>0</c:v>
                </c:pt>
                <c:pt idx="8">
                  <c:v>0</c:v>
                </c:pt>
                <c:pt idx="9">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6-4360-46D0-9474-6AACCF077CB1}"/>
            </c:ext>
          </c:extLst>
        </c:ser>
        <c:ser>
          <c:idx val="3"/>
          <c:order val="3"/>
          <c:tx>
            <c:strRef>
              <c:f>'Figure 5.3, S5.1'!$L$23</c:f>
              <c:strCache>
                <c:ptCount val="1"/>
                <c:pt idx="0">
                  <c:v>Invasive </c:v>
                </c:pt>
              </c:strCache>
            </c:strRef>
          </c:tx>
          <c:spPr>
            <a:solidFill>
              <a:srgbClr val="000000"/>
            </a:solidFill>
            <a:ln cmpd="sng">
              <a:solidFill>
                <a:srgbClr val="000000"/>
              </a:solidFill>
            </a:ln>
          </c:spPr>
          <c:invertIfNegative val="1"/>
          <c:cat>
            <c:strRef>
              <c:f>'Figure 5.3, S5.1'!$H$24:$H$33</c:f>
              <c:strCache>
                <c:ptCount val="10"/>
                <c:pt idx="0">
                  <c:v>T invertebrates</c:v>
                </c:pt>
                <c:pt idx="1">
                  <c:v>FW &amp; T plants </c:v>
                </c:pt>
                <c:pt idx="2">
                  <c:v>Microbes</c:v>
                </c:pt>
                <c:pt idx="3">
                  <c:v>Mammals </c:v>
                </c:pt>
                <c:pt idx="4">
                  <c:v>M invertebrates</c:v>
                </c:pt>
                <c:pt idx="5">
                  <c:v>M plants</c:v>
                </c:pt>
                <c:pt idx="6">
                  <c:v>Amphibians</c:v>
                </c:pt>
                <c:pt idx="7">
                  <c:v>Birds </c:v>
                </c:pt>
                <c:pt idx="8">
                  <c:v>FW fish </c:v>
                </c:pt>
                <c:pt idx="9">
                  <c:v>M fish </c:v>
                </c:pt>
              </c:strCache>
            </c:strRef>
          </c:cat>
          <c:val>
            <c:numRef>
              <c:f>'Figure 5.3, S5.1'!$L$24:$L$33</c:f>
              <c:numCache>
                <c:formatCode>General</c:formatCode>
                <c:ptCount val="10"/>
                <c:pt idx="0">
                  <c:v>17</c:v>
                </c:pt>
                <c:pt idx="1">
                  <c:v>6</c:v>
                </c:pt>
                <c:pt idx="2">
                  <c:v>1</c:v>
                </c:pt>
                <c:pt idx="3">
                  <c:v>1</c:v>
                </c:pt>
                <c:pt idx="4">
                  <c:v>0</c:v>
                </c:pt>
                <c:pt idx="5">
                  <c:v>0</c:v>
                </c:pt>
                <c:pt idx="6">
                  <c:v>0</c:v>
                </c:pt>
                <c:pt idx="7">
                  <c:v>0</c:v>
                </c:pt>
                <c:pt idx="8">
                  <c:v>0</c:v>
                </c:pt>
                <c:pt idx="9">
                  <c:v>0</c:v>
                </c:pt>
              </c:numCache>
            </c:numRef>
          </c:val>
          <c:extLst>
            <c:ext xmlns:c14="http://schemas.microsoft.com/office/drawing/2007/8/2/chart" uri="{6F2FDCE9-48DA-4B69-8628-5D25D57E5C99}">
              <c14:invertSolidFillFmt>
                <c14:spPr xmlns:c14="http://schemas.microsoft.com/office/drawing/2007/8/2/chart">
                  <a:solidFill>
                    <a:srgbClr val="FFFFFF"/>
                  </a:solidFill>
                  <a:ln cmpd="sng">
                    <a:solidFill>
                      <a:srgbClr val="000000"/>
                    </a:solidFill>
                  </a:ln>
                </c14:spPr>
              </c14:invertSolidFillFmt>
            </c:ext>
            <c:ext xmlns:c16="http://schemas.microsoft.com/office/drawing/2014/chart" uri="{C3380CC4-5D6E-409C-BE32-E72D297353CC}">
              <c16:uniqueId val="{00000007-4360-46D0-9474-6AACCF077CB1}"/>
            </c:ext>
          </c:extLst>
        </c:ser>
        <c:dLbls>
          <c:showLegendKey val="0"/>
          <c:showVal val="0"/>
          <c:showCatName val="0"/>
          <c:showSerName val="0"/>
          <c:showPercent val="0"/>
          <c:showBubbleSize val="0"/>
        </c:dLbls>
        <c:gapWidth val="150"/>
        <c:overlap val="100"/>
        <c:axId val="508854712"/>
        <c:axId val="508853928"/>
      </c:barChart>
      <c:catAx>
        <c:axId val="508854712"/>
        <c:scaling>
          <c:orientation val="minMax"/>
        </c:scaling>
        <c:delete val="0"/>
        <c:axPos val="b"/>
        <c:title>
          <c:tx>
            <c:rich>
              <a:bodyPr/>
              <a:lstStyle/>
              <a:p>
                <a:pPr>
                  <a:defRPr/>
                </a:pPr>
                <a:r>
                  <a:rPr lang="en-AU"/>
                  <a:t>Regulatory groupings</a:t>
                </a:r>
              </a:p>
            </c:rich>
          </c:tx>
          <c:overlay val="0"/>
        </c:title>
        <c:numFmt formatCode="General" sourceLinked="1"/>
        <c:majorTickMark val="none"/>
        <c:minorTickMark val="none"/>
        <c:tickLblPos val="nextTo"/>
        <c:txPr>
          <a:bodyPr/>
          <a:lstStyle/>
          <a:p>
            <a:pPr lvl="0">
              <a:defRPr b="0">
                <a:solidFill>
                  <a:srgbClr val="000000"/>
                </a:solidFill>
                <a:latin typeface="+mn-lt"/>
              </a:defRPr>
            </a:pPr>
            <a:endParaRPr lang="en-US"/>
          </a:p>
        </c:txPr>
        <c:crossAx val="508853928"/>
        <c:crosses val="autoZero"/>
        <c:auto val="0"/>
        <c:lblAlgn val="ctr"/>
        <c:lblOffset val="100"/>
        <c:noMultiLvlLbl val="1"/>
      </c:catAx>
      <c:valAx>
        <c:axId val="508853928"/>
        <c:scaling>
          <c:orientation val="minMax"/>
        </c:scaling>
        <c:delete val="0"/>
        <c:axPos val="l"/>
        <c:minorGridlines>
          <c:spPr>
            <a:ln>
              <a:solidFill>
                <a:srgbClr val="CCCCCC">
                  <a:alpha val="0"/>
                </a:srgbClr>
              </a:solidFill>
            </a:ln>
          </c:spPr>
        </c:minorGridlines>
        <c:title>
          <c:tx>
            <c:rich>
              <a:bodyPr/>
              <a:lstStyle/>
              <a:p>
                <a:pPr>
                  <a:defRPr/>
                </a:pPr>
                <a:r>
                  <a:rPr lang="en-AU"/>
                  <a:t>Number of alien taxa</a:t>
                </a:r>
              </a:p>
            </c:rich>
          </c:tx>
          <c:overlay val="0"/>
        </c:title>
        <c:numFmt formatCode="General" sourceLinked="1"/>
        <c:majorTickMark val="none"/>
        <c:minorTickMark val="none"/>
        <c:tickLblPos val="nextTo"/>
        <c:spPr>
          <a:ln/>
        </c:spPr>
        <c:txPr>
          <a:bodyPr/>
          <a:lstStyle/>
          <a:p>
            <a:pPr lvl="0">
              <a:defRPr b="0">
                <a:solidFill>
                  <a:srgbClr val="000000"/>
                </a:solidFill>
                <a:latin typeface="+mn-lt"/>
              </a:defRPr>
            </a:pPr>
            <a:endParaRPr lang="en-US"/>
          </a:p>
        </c:txPr>
        <c:crossAx val="508854712"/>
        <c:crosses val="autoZero"/>
        <c:crossBetween val="between"/>
      </c:valAx>
    </c:plotArea>
    <c:legend>
      <c:legendPos val="r"/>
      <c:layout>
        <c:manualLayout>
          <c:xMode val="edge"/>
          <c:yMode val="edge"/>
          <c:x val="0.70116657917760283"/>
          <c:y val="0.1723598701105758"/>
          <c:w val="0.26105564304461942"/>
          <c:h val="0.25995203429759961"/>
        </c:manualLayout>
      </c:layout>
      <c:overlay val="0"/>
      <c:txPr>
        <a:bodyPr/>
        <a:lstStyle/>
        <a:p>
          <a:pPr lvl="0">
            <a:defRPr b="0">
              <a:solidFill>
                <a:srgbClr val="1A1A1A"/>
              </a:solidFill>
              <a:latin typeface="+mn-lt"/>
            </a:defRPr>
          </a:pPr>
          <a:endParaRPr lang="en-US"/>
        </a:p>
      </c:txPr>
    </c:legend>
    <c:plotVisOnly val="1"/>
    <c:dispBlanksAs val="zero"/>
    <c:showDLblsOverMax val="1"/>
  </c:chart>
  <c:spPr>
    <a:solidFill>
      <a:schemeClr val="bg1"/>
    </a:solidFill>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x+7z6VsPBUEVyb3gm8b0Q714oA==">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8731</Words>
  <Characters>49769</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Fernandez</dc:creator>
  <cp:lastModifiedBy>Mrs. HJ Lotter</cp:lastModifiedBy>
  <cp:revision>2</cp:revision>
  <dcterms:created xsi:type="dcterms:W3CDTF">2025-04-16T13:14:00Z</dcterms:created>
  <dcterms:modified xsi:type="dcterms:W3CDTF">2025-04-16T13:14:00Z</dcterms:modified>
</cp:coreProperties>
</file>