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22AC7BE" w14:textId="77777777" w:rsidR="00467290" w:rsidRDefault="00467290" w:rsidP="00467290">
      <w:pPr>
        <w:pStyle w:val="Heading1"/>
        <w:rPr>
          <w:shd w:val="clear" w:color="auto" w:fill="FFFFFF"/>
        </w:rPr>
      </w:pPr>
      <w:bookmarkStart w:id="0" w:name="_GoBack"/>
      <w:r>
        <w:rPr>
          <w:shd w:val="clear" w:color="auto" w:fill="FFFFFF"/>
        </w:rPr>
        <w:t xml:space="preserve">Appendix 2 – Worked example of the RAND appropriateness method </w:t>
      </w:r>
    </w:p>
    <w:bookmarkEnd w:id="0"/>
    <w:p w14:paraId="5E3D9B17" w14:textId="77777777" w:rsidR="00467290" w:rsidRDefault="00467290" w:rsidP="00467290">
      <w:pPr>
        <w:rPr>
          <w:shd w:val="clear" w:color="auto" w:fill="FFFFFF"/>
        </w:rPr>
      </w:pPr>
    </w:p>
    <w:p w14:paraId="7C739DBD" w14:textId="24896C4F" w:rsidR="00467290" w:rsidRPr="000E3B71" w:rsidRDefault="00467290" w:rsidP="00467290">
      <w:pPr>
        <w:rPr>
          <w:shd w:val="clear" w:color="auto" w:fill="FFFFFF"/>
        </w:rPr>
      </w:pPr>
      <w:r w:rsidRPr="000E3B71">
        <w:rPr>
          <w:shd w:val="clear" w:color="auto" w:fill="FFFFFF"/>
        </w:rPr>
        <w:t xml:space="preserve">This example </w:t>
      </w:r>
      <w:r>
        <w:rPr>
          <w:shd w:val="clear" w:color="auto" w:fill="FFFFFF"/>
        </w:rPr>
        <w:t>is based on the one given on page 62 of the RAND</w:t>
      </w:r>
      <w:r w:rsidRPr="000E3B71">
        <w:rPr>
          <w:shd w:val="clear" w:color="auto" w:fill="FFFFFF"/>
        </w:rPr>
        <w:t xml:space="preserve"> manual </w:t>
      </w:r>
      <w:sdt>
        <w:sdtPr>
          <w:rPr>
            <w:color w:val="000000"/>
            <w:shd w:val="clear" w:color="auto" w:fill="FFFFFF"/>
          </w:rPr>
          <w:tag w:val="MENDELEY_CITATION_v3_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"/>
          <w:id w:val="-980150898"/>
          <w:placeholder>
            <w:docPart w:val="837480C87F234F4FA9B2C42225CD6867"/>
          </w:placeholder>
        </w:sdtPr>
        <w:sdtEndPr/>
        <w:sdtContent>
          <w:r w:rsidR="005B70D8" w:rsidRPr="005B70D8">
            <w:rPr>
              <w:color w:val="000000"/>
              <w:shd w:val="clear" w:color="auto" w:fill="FFFFFF"/>
            </w:rPr>
            <w:t>[1]</w:t>
          </w:r>
        </w:sdtContent>
      </w:sdt>
      <w:r w:rsidRPr="000E3B71">
        <w:rPr>
          <w:shd w:val="clear" w:color="auto" w:fill="FFFFFF"/>
        </w:rPr>
        <w:t xml:space="preserve"> but using the data from </w:t>
      </w:r>
      <w:r>
        <w:rPr>
          <w:shd w:val="clear" w:color="auto" w:fill="FFFFFF"/>
        </w:rPr>
        <w:t xml:space="preserve">statement B.6 </w:t>
      </w:r>
      <w:r w:rsidRPr="000E3B71">
        <w:rPr>
          <w:shd w:val="clear" w:color="auto" w:fill="FFFFFF"/>
        </w:rPr>
        <w:t xml:space="preserve">in round </w:t>
      </w:r>
      <w:r>
        <w:rPr>
          <w:shd w:val="clear" w:color="auto" w:fill="FFFFFF"/>
        </w:rPr>
        <w:t>1</w:t>
      </w:r>
      <w:r w:rsidRPr="000E3B71">
        <w:rPr>
          <w:shd w:val="clear" w:color="auto" w:fill="FFFFFF"/>
        </w:rPr>
        <w:t xml:space="preserve"> of the </w:t>
      </w:r>
      <w:r>
        <w:rPr>
          <w:shd w:val="clear" w:color="auto" w:fill="FFFFFF"/>
        </w:rPr>
        <w:t>SPARC study and adapting the scale to reflect ‘agreement’ rather than ‘appropriateness’</w:t>
      </w:r>
      <w:r w:rsidRPr="000E3B71">
        <w:rPr>
          <w:shd w:val="clear" w:color="auto" w:fill="FFFFFF"/>
        </w:rPr>
        <w:t>.</w:t>
      </w:r>
    </w:p>
    <w:tbl>
      <w:tblPr>
        <w:tblStyle w:val="TableGrid"/>
        <w:tblW w:w="0" w:type="auto"/>
        <w:tblLook w:val="04A0" w:firstRow="1" w:lastRow="0" w:firstColumn="1" w:lastColumn="0" w:noHBand="0" w:noVBand="1"/>
      </w:tblPr>
      <w:tblGrid>
        <w:gridCol w:w="1296"/>
        <w:gridCol w:w="330"/>
        <w:gridCol w:w="330"/>
        <w:gridCol w:w="330"/>
        <w:gridCol w:w="365"/>
        <w:gridCol w:w="365"/>
        <w:gridCol w:w="365"/>
        <w:gridCol w:w="328"/>
        <w:gridCol w:w="328"/>
        <w:gridCol w:w="328"/>
        <w:gridCol w:w="1618"/>
      </w:tblGrid>
      <w:tr w:rsidR="00467290" w14:paraId="45E2B4BD" w14:textId="77777777" w:rsidTr="00B670A9">
        <w:tc>
          <w:tcPr>
            <w:tcW w:w="0" w:type="auto"/>
          </w:tcPr>
          <w:p w14:paraId="7A775A70" w14:textId="77777777" w:rsidR="00467290" w:rsidRDefault="00467290" w:rsidP="00B670A9">
            <w:pPr>
              <w:rPr>
                <w:shd w:val="clear" w:color="auto" w:fill="FFFFFF"/>
              </w:rPr>
            </w:pPr>
            <w:r>
              <w:rPr>
                <w:shd w:val="clear" w:color="auto" w:fill="FFFFFF"/>
              </w:rPr>
              <w:t>Frequencies</w:t>
            </w:r>
          </w:p>
        </w:tc>
        <w:tc>
          <w:tcPr>
            <w:tcW w:w="0" w:type="auto"/>
          </w:tcPr>
          <w:p w14:paraId="4FD5616A" w14:textId="77777777" w:rsidR="00467290" w:rsidRDefault="00467290" w:rsidP="00B670A9">
            <w:pPr>
              <w:rPr>
                <w:shd w:val="clear" w:color="auto" w:fill="FFFFFF"/>
              </w:rPr>
            </w:pPr>
            <w:r>
              <w:rPr>
                <w:shd w:val="clear" w:color="auto" w:fill="FFFFFF"/>
              </w:rPr>
              <w:t>7</w:t>
            </w:r>
          </w:p>
        </w:tc>
        <w:tc>
          <w:tcPr>
            <w:tcW w:w="0" w:type="auto"/>
          </w:tcPr>
          <w:p w14:paraId="4806FA8C" w14:textId="77777777" w:rsidR="00467290" w:rsidRDefault="00467290" w:rsidP="00B670A9">
            <w:pPr>
              <w:rPr>
                <w:shd w:val="clear" w:color="auto" w:fill="FFFFFF"/>
              </w:rPr>
            </w:pPr>
            <w:r>
              <w:rPr>
                <w:shd w:val="clear" w:color="auto" w:fill="FFFFFF"/>
              </w:rPr>
              <w:t>6</w:t>
            </w:r>
          </w:p>
        </w:tc>
        <w:tc>
          <w:tcPr>
            <w:tcW w:w="0" w:type="auto"/>
          </w:tcPr>
          <w:p w14:paraId="4EC69AEF" w14:textId="77777777" w:rsidR="00467290" w:rsidRDefault="00467290" w:rsidP="00B670A9">
            <w:pPr>
              <w:rPr>
                <w:shd w:val="clear" w:color="auto" w:fill="FFFFFF"/>
              </w:rPr>
            </w:pPr>
            <w:r>
              <w:rPr>
                <w:shd w:val="clear" w:color="auto" w:fill="FFFFFF"/>
              </w:rPr>
              <w:t>4</w:t>
            </w:r>
          </w:p>
        </w:tc>
        <w:tc>
          <w:tcPr>
            <w:tcW w:w="0" w:type="auto"/>
          </w:tcPr>
          <w:p w14:paraId="3432A701" w14:textId="77777777" w:rsidR="00467290" w:rsidRDefault="00467290" w:rsidP="00B670A9">
            <w:pPr>
              <w:rPr>
                <w:shd w:val="clear" w:color="auto" w:fill="FFFFFF"/>
              </w:rPr>
            </w:pPr>
            <w:r>
              <w:rPr>
                <w:shd w:val="clear" w:color="auto" w:fill="FFFFFF"/>
              </w:rPr>
              <w:t>0</w:t>
            </w:r>
          </w:p>
        </w:tc>
        <w:tc>
          <w:tcPr>
            <w:tcW w:w="0" w:type="auto"/>
          </w:tcPr>
          <w:p w14:paraId="163DA596" w14:textId="77777777" w:rsidR="00467290" w:rsidRDefault="00467290" w:rsidP="00B670A9">
            <w:pPr>
              <w:rPr>
                <w:shd w:val="clear" w:color="auto" w:fill="FFFFFF"/>
              </w:rPr>
            </w:pPr>
            <w:r>
              <w:rPr>
                <w:shd w:val="clear" w:color="auto" w:fill="FFFFFF"/>
              </w:rPr>
              <w:t>1</w:t>
            </w:r>
          </w:p>
        </w:tc>
        <w:tc>
          <w:tcPr>
            <w:tcW w:w="0" w:type="auto"/>
          </w:tcPr>
          <w:p w14:paraId="56062543" w14:textId="77777777" w:rsidR="00467290" w:rsidRDefault="00467290" w:rsidP="00B670A9">
            <w:pPr>
              <w:rPr>
                <w:shd w:val="clear" w:color="auto" w:fill="FFFFFF"/>
              </w:rPr>
            </w:pPr>
            <w:r>
              <w:rPr>
                <w:shd w:val="clear" w:color="auto" w:fill="FFFFFF"/>
              </w:rPr>
              <w:t>3</w:t>
            </w:r>
          </w:p>
        </w:tc>
        <w:tc>
          <w:tcPr>
            <w:tcW w:w="0" w:type="auto"/>
          </w:tcPr>
          <w:p w14:paraId="44D056E7" w14:textId="77777777" w:rsidR="00467290" w:rsidRDefault="00467290" w:rsidP="00B670A9">
            <w:pPr>
              <w:rPr>
                <w:shd w:val="clear" w:color="auto" w:fill="FFFFFF"/>
              </w:rPr>
            </w:pPr>
            <w:r>
              <w:rPr>
                <w:shd w:val="clear" w:color="auto" w:fill="FFFFFF"/>
              </w:rPr>
              <w:t>2</w:t>
            </w:r>
          </w:p>
        </w:tc>
        <w:tc>
          <w:tcPr>
            <w:tcW w:w="0" w:type="auto"/>
          </w:tcPr>
          <w:p w14:paraId="07A2B469" w14:textId="77777777" w:rsidR="00467290" w:rsidRDefault="00467290" w:rsidP="00B670A9">
            <w:pPr>
              <w:rPr>
                <w:shd w:val="clear" w:color="auto" w:fill="FFFFFF"/>
              </w:rPr>
            </w:pPr>
            <w:r>
              <w:rPr>
                <w:shd w:val="clear" w:color="auto" w:fill="FFFFFF"/>
              </w:rPr>
              <w:t>4</w:t>
            </w:r>
          </w:p>
        </w:tc>
        <w:tc>
          <w:tcPr>
            <w:tcW w:w="0" w:type="auto"/>
          </w:tcPr>
          <w:p w14:paraId="07EFE77B" w14:textId="77777777" w:rsidR="00467290" w:rsidRDefault="00467290" w:rsidP="00B670A9">
            <w:pPr>
              <w:rPr>
                <w:shd w:val="clear" w:color="auto" w:fill="FFFFFF"/>
              </w:rPr>
            </w:pPr>
            <w:r>
              <w:rPr>
                <w:shd w:val="clear" w:color="auto" w:fill="FFFFFF"/>
              </w:rPr>
              <w:t>1</w:t>
            </w:r>
          </w:p>
        </w:tc>
        <w:tc>
          <w:tcPr>
            <w:tcW w:w="0" w:type="auto"/>
          </w:tcPr>
          <w:p w14:paraId="19900A2A" w14:textId="77777777" w:rsidR="00467290" w:rsidRDefault="00467290" w:rsidP="00B670A9">
            <w:pPr>
              <w:rPr>
                <w:shd w:val="clear" w:color="auto" w:fill="FFFFFF"/>
              </w:rPr>
            </w:pPr>
            <w:r>
              <w:rPr>
                <w:shd w:val="clear" w:color="auto" w:fill="FFFFFF"/>
              </w:rPr>
              <w:t>2</w:t>
            </w:r>
          </w:p>
        </w:tc>
      </w:tr>
      <w:tr w:rsidR="00467290" w14:paraId="064A162D" w14:textId="77777777" w:rsidTr="00B670A9">
        <w:tc>
          <w:tcPr>
            <w:tcW w:w="0" w:type="auto"/>
          </w:tcPr>
          <w:p w14:paraId="253C9B71" w14:textId="77777777" w:rsidR="00467290" w:rsidRDefault="00467290" w:rsidP="00B670A9">
            <w:pPr>
              <w:rPr>
                <w:shd w:val="clear" w:color="auto" w:fill="FFFFFF"/>
              </w:rPr>
            </w:pPr>
            <w:r>
              <w:rPr>
                <w:shd w:val="clear" w:color="auto" w:fill="FFFFFF"/>
              </w:rPr>
              <w:t xml:space="preserve">Scale </w:t>
            </w:r>
          </w:p>
        </w:tc>
        <w:tc>
          <w:tcPr>
            <w:tcW w:w="0" w:type="auto"/>
          </w:tcPr>
          <w:p w14:paraId="2123FD4B" w14:textId="77777777" w:rsidR="00467290" w:rsidRDefault="00467290" w:rsidP="00B670A9">
            <w:pPr>
              <w:rPr>
                <w:shd w:val="clear" w:color="auto" w:fill="FFFFFF"/>
              </w:rPr>
            </w:pPr>
            <w:r>
              <w:rPr>
                <w:shd w:val="clear" w:color="auto" w:fill="FFFFFF"/>
              </w:rPr>
              <w:t>1</w:t>
            </w:r>
          </w:p>
        </w:tc>
        <w:tc>
          <w:tcPr>
            <w:tcW w:w="0" w:type="auto"/>
          </w:tcPr>
          <w:p w14:paraId="7CB8E568" w14:textId="77777777" w:rsidR="00467290" w:rsidRDefault="00467290" w:rsidP="00B670A9">
            <w:pPr>
              <w:rPr>
                <w:shd w:val="clear" w:color="auto" w:fill="FFFFFF"/>
              </w:rPr>
            </w:pPr>
            <w:r>
              <w:rPr>
                <w:shd w:val="clear" w:color="auto" w:fill="FFFFFF"/>
              </w:rPr>
              <w:t>2</w:t>
            </w:r>
          </w:p>
        </w:tc>
        <w:tc>
          <w:tcPr>
            <w:tcW w:w="0" w:type="auto"/>
          </w:tcPr>
          <w:p w14:paraId="5C45CBB4" w14:textId="77777777" w:rsidR="00467290" w:rsidRDefault="00467290" w:rsidP="00B670A9">
            <w:pPr>
              <w:rPr>
                <w:shd w:val="clear" w:color="auto" w:fill="FFFFFF"/>
              </w:rPr>
            </w:pPr>
            <w:r>
              <w:rPr>
                <w:shd w:val="clear" w:color="auto" w:fill="FFFFFF"/>
              </w:rPr>
              <w:t>3</w:t>
            </w:r>
          </w:p>
        </w:tc>
        <w:tc>
          <w:tcPr>
            <w:tcW w:w="0" w:type="auto"/>
          </w:tcPr>
          <w:p w14:paraId="7CA49B11" w14:textId="77777777" w:rsidR="00467290" w:rsidRDefault="00467290" w:rsidP="00B670A9">
            <w:pPr>
              <w:rPr>
                <w:shd w:val="clear" w:color="auto" w:fill="FFFFFF"/>
              </w:rPr>
            </w:pPr>
            <w:r>
              <w:rPr>
                <w:shd w:val="clear" w:color="auto" w:fill="FFFFFF"/>
              </w:rPr>
              <w:t>4</w:t>
            </w:r>
          </w:p>
        </w:tc>
        <w:tc>
          <w:tcPr>
            <w:tcW w:w="0" w:type="auto"/>
          </w:tcPr>
          <w:p w14:paraId="51DDE3D8" w14:textId="77777777" w:rsidR="00467290" w:rsidRDefault="00467290" w:rsidP="00B670A9">
            <w:pPr>
              <w:rPr>
                <w:shd w:val="clear" w:color="auto" w:fill="FFFFFF"/>
              </w:rPr>
            </w:pPr>
            <w:r>
              <w:rPr>
                <w:shd w:val="clear" w:color="auto" w:fill="FFFFFF"/>
              </w:rPr>
              <w:t>5</w:t>
            </w:r>
          </w:p>
        </w:tc>
        <w:tc>
          <w:tcPr>
            <w:tcW w:w="0" w:type="auto"/>
          </w:tcPr>
          <w:p w14:paraId="487ABB4C" w14:textId="77777777" w:rsidR="00467290" w:rsidRDefault="00467290" w:rsidP="00B670A9">
            <w:pPr>
              <w:rPr>
                <w:shd w:val="clear" w:color="auto" w:fill="FFFFFF"/>
              </w:rPr>
            </w:pPr>
            <w:r>
              <w:rPr>
                <w:shd w:val="clear" w:color="auto" w:fill="FFFFFF"/>
              </w:rPr>
              <w:t>6</w:t>
            </w:r>
          </w:p>
        </w:tc>
        <w:tc>
          <w:tcPr>
            <w:tcW w:w="0" w:type="auto"/>
          </w:tcPr>
          <w:p w14:paraId="277026AE" w14:textId="77777777" w:rsidR="00467290" w:rsidRDefault="00467290" w:rsidP="00B670A9">
            <w:pPr>
              <w:rPr>
                <w:shd w:val="clear" w:color="auto" w:fill="FFFFFF"/>
              </w:rPr>
            </w:pPr>
            <w:r>
              <w:rPr>
                <w:shd w:val="clear" w:color="auto" w:fill="FFFFFF"/>
              </w:rPr>
              <w:t>7</w:t>
            </w:r>
          </w:p>
        </w:tc>
        <w:tc>
          <w:tcPr>
            <w:tcW w:w="0" w:type="auto"/>
          </w:tcPr>
          <w:p w14:paraId="1488B369" w14:textId="77777777" w:rsidR="00467290" w:rsidRDefault="00467290" w:rsidP="00B670A9">
            <w:pPr>
              <w:rPr>
                <w:shd w:val="clear" w:color="auto" w:fill="FFFFFF"/>
              </w:rPr>
            </w:pPr>
            <w:r>
              <w:rPr>
                <w:shd w:val="clear" w:color="auto" w:fill="FFFFFF"/>
              </w:rPr>
              <w:t>8</w:t>
            </w:r>
          </w:p>
        </w:tc>
        <w:tc>
          <w:tcPr>
            <w:tcW w:w="0" w:type="auto"/>
          </w:tcPr>
          <w:p w14:paraId="5B578096" w14:textId="77777777" w:rsidR="00467290" w:rsidRDefault="00467290" w:rsidP="00B670A9">
            <w:pPr>
              <w:rPr>
                <w:shd w:val="clear" w:color="auto" w:fill="FFFFFF"/>
              </w:rPr>
            </w:pPr>
            <w:r>
              <w:rPr>
                <w:shd w:val="clear" w:color="auto" w:fill="FFFFFF"/>
              </w:rPr>
              <w:t>9</w:t>
            </w:r>
          </w:p>
        </w:tc>
        <w:tc>
          <w:tcPr>
            <w:tcW w:w="0" w:type="auto"/>
          </w:tcPr>
          <w:p w14:paraId="46ECD23C" w14:textId="77777777" w:rsidR="00467290" w:rsidRDefault="00467290" w:rsidP="00B670A9">
            <w:pPr>
              <w:rPr>
                <w:shd w:val="clear" w:color="auto" w:fill="FFFFFF"/>
              </w:rPr>
            </w:pPr>
            <w:r>
              <w:rPr>
                <w:shd w:val="clear" w:color="auto" w:fill="FFFFFF"/>
              </w:rPr>
              <w:t xml:space="preserve">Unable to score </w:t>
            </w:r>
          </w:p>
        </w:tc>
      </w:tr>
      <w:tr w:rsidR="00467290" w14:paraId="52ACE99B" w14:textId="77777777" w:rsidTr="00B670A9">
        <w:tc>
          <w:tcPr>
            <w:tcW w:w="0" w:type="auto"/>
          </w:tcPr>
          <w:p w14:paraId="63416FAC" w14:textId="77777777" w:rsidR="00467290" w:rsidRDefault="00467290" w:rsidP="00B670A9">
            <w:pPr>
              <w:rPr>
                <w:shd w:val="clear" w:color="auto" w:fill="FFFFFF"/>
              </w:rPr>
            </w:pPr>
            <w:r>
              <w:rPr>
                <w:shd w:val="clear" w:color="auto" w:fill="FFFFFF"/>
              </w:rPr>
              <w:t>Category</w:t>
            </w:r>
          </w:p>
        </w:tc>
        <w:tc>
          <w:tcPr>
            <w:tcW w:w="0" w:type="auto"/>
            <w:gridSpan w:val="3"/>
          </w:tcPr>
          <w:p w14:paraId="60660395" w14:textId="77777777" w:rsidR="00467290" w:rsidRDefault="00467290" w:rsidP="00B670A9">
            <w:pPr>
              <w:jc w:val="center"/>
              <w:rPr>
                <w:shd w:val="clear" w:color="auto" w:fill="FFFFFF"/>
              </w:rPr>
            </w:pPr>
            <w:r>
              <w:rPr>
                <w:shd w:val="clear" w:color="auto" w:fill="FFFFFF"/>
              </w:rPr>
              <w:t>Disagree</w:t>
            </w:r>
          </w:p>
        </w:tc>
        <w:tc>
          <w:tcPr>
            <w:tcW w:w="0" w:type="auto"/>
            <w:gridSpan w:val="3"/>
          </w:tcPr>
          <w:p w14:paraId="44A44CC3" w14:textId="77777777" w:rsidR="00467290" w:rsidRDefault="00467290" w:rsidP="00B670A9">
            <w:pPr>
              <w:jc w:val="center"/>
              <w:rPr>
                <w:shd w:val="clear" w:color="auto" w:fill="FFFFFF"/>
              </w:rPr>
            </w:pPr>
            <w:r>
              <w:rPr>
                <w:shd w:val="clear" w:color="auto" w:fill="FFFFFF"/>
              </w:rPr>
              <w:t>Uncertain</w:t>
            </w:r>
          </w:p>
        </w:tc>
        <w:tc>
          <w:tcPr>
            <w:tcW w:w="0" w:type="auto"/>
            <w:gridSpan w:val="3"/>
          </w:tcPr>
          <w:p w14:paraId="6E21A250" w14:textId="77777777" w:rsidR="00467290" w:rsidRDefault="00467290" w:rsidP="00B670A9">
            <w:pPr>
              <w:jc w:val="center"/>
              <w:rPr>
                <w:shd w:val="clear" w:color="auto" w:fill="FFFFFF"/>
              </w:rPr>
            </w:pPr>
            <w:r>
              <w:rPr>
                <w:shd w:val="clear" w:color="auto" w:fill="FFFFFF"/>
              </w:rPr>
              <w:t>Agree</w:t>
            </w:r>
          </w:p>
        </w:tc>
        <w:tc>
          <w:tcPr>
            <w:tcW w:w="0" w:type="auto"/>
          </w:tcPr>
          <w:p w14:paraId="1B5CD039" w14:textId="77777777" w:rsidR="00467290" w:rsidRDefault="00467290" w:rsidP="00B670A9">
            <w:pPr>
              <w:rPr>
                <w:shd w:val="clear" w:color="auto" w:fill="FFFFFF"/>
              </w:rPr>
            </w:pPr>
          </w:p>
        </w:tc>
      </w:tr>
    </w:tbl>
    <w:p w14:paraId="4E8AC36A" w14:textId="77777777" w:rsidR="00467290" w:rsidRDefault="00467290" w:rsidP="00467290">
      <w:pPr>
        <w:rPr>
          <w:shd w:val="clear" w:color="auto" w:fill="FFFFFF"/>
        </w:rPr>
      </w:pPr>
    </w:p>
    <w:p w14:paraId="3C7786C2" w14:textId="77777777" w:rsidR="00467290" w:rsidRDefault="00467290" w:rsidP="00467290">
      <w:pPr>
        <w:rPr>
          <w:shd w:val="clear" w:color="auto" w:fill="FFFFFF"/>
        </w:rPr>
      </w:pPr>
      <w:r>
        <w:rPr>
          <w:shd w:val="clear" w:color="auto" w:fill="FFFFFF"/>
        </w:rPr>
        <w:t xml:space="preserve">In this example there are 17 scores in the 1-3 category, 4 in the 4-6 category, and 7 in the 7-9 category. Two participants chose ‘unable to score’, so the denominator for the calculation is 28, not 30. The ‘unable to score’ results are deleted from the calculation because it is a qualitatively different answer than the 1-9 scale. However, ‘unable to score’ is still noted in interpreting results because if the N choosing that option is high it may demonstrate a problem with the sampling or the question. Post-round meetings offer an opportunity to explore these scenarios. </w:t>
      </w:r>
    </w:p>
    <w:p w14:paraId="5079A4BB" w14:textId="77777777" w:rsidR="00467290" w:rsidRDefault="00467290" w:rsidP="00467290">
      <w:pPr>
        <w:rPr>
          <w:shd w:val="clear" w:color="auto" w:fill="FFFFFF"/>
        </w:rPr>
      </w:pPr>
      <w:r>
        <w:rPr>
          <w:shd w:val="clear" w:color="auto" w:fill="FFFFFF"/>
        </w:rPr>
        <w:t xml:space="preserve">Based on the 28 remaining scores: </w:t>
      </w:r>
    </w:p>
    <w:p w14:paraId="65B1751F" w14:textId="77777777" w:rsidR="00467290" w:rsidRPr="00300C81" w:rsidRDefault="00467290" w:rsidP="00467290">
      <w:pPr>
        <w:pStyle w:val="ListParagraph"/>
        <w:numPr>
          <w:ilvl w:val="0"/>
          <w:numId w:val="1"/>
        </w:numPr>
        <w:spacing w:after="0" w:line="240" w:lineRule="auto"/>
        <w:rPr>
          <w:shd w:val="clear" w:color="auto" w:fill="FFFFFF"/>
        </w:rPr>
      </w:pPr>
      <w:r w:rsidRPr="00300C81">
        <w:rPr>
          <w:shd w:val="clear" w:color="auto" w:fill="FFFFFF"/>
        </w:rPr>
        <w:t xml:space="preserve">Median = </w:t>
      </w:r>
      <w:r>
        <w:rPr>
          <w:shd w:val="clear" w:color="auto" w:fill="FFFFFF"/>
        </w:rPr>
        <w:t>2</w:t>
      </w:r>
      <w:r w:rsidRPr="00300C81">
        <w:rPr>
          <w:shd w:val="clear" w:color="auto" w:fill="FFFFFF"/>
        </w:rPr>
        <w:t xml:space="preserve"> (i.e., in the </w:t>
      </w:r>
      <w:r>
        <w:rPr>
          <w:shd w:val="clear" w:color="auto" w:fill="FFFFFF"/>
        </w:rPr>
        <w:t xml:space="preserve">1-3 </w:t>
      </w:r>
      <w:r w:rsidRPr="00300C81">
        <w:rPr>
          <w:shd w:val="clear" w:color="auto" w:fill="FFFFFF"/>
        </w:rPr>
        <w:t>‘</w:t>
      </w:r>
      <w:r>
        <w:rPr>
          <w:shd w:val="clear" w:color="auto" w:fill="FFFFFF"/>
        </w:rPr>
        <w:t>dis</w:t>
      </w:r>
      <w:r w:rsidRPr="00300C81">
        <w:rPr>
          <w:shd w:val="clear" w:color="auto" w:fill="FFFFFF"/>
        </w:rPr>
        <w:t>agree’ category)</w:t>
      </w:r>
    </w:p>
    <w:p w14:paraId="63E70246" w14:textId="77777777" w:rsidR="00467290" w:rsidRPr="00300C81" w:rsidRDefault="00467290" w:rsidP="00467290">
      <w:pPr>
        <w:pStyle w:val="ListParagraph"/>
        <w:numPr>
          <w:ilvl w:val="0"/>
          <w:numId w:val="1"/>
        </w:numPr>
        <w:spacing w:after="0" w:line="240" w:lineRule="auto"/>
        <w:rPr>
          <w:shd w:val="clear" w:color="auto" w:fill="FFFFFF"/>
        </w:rPr>
      </w:pPr>
      <w:r w:rsidRPr="00300C81">
        <w:rPr>
          <w:shd w:val="clear" w:color="auto" w:fill="FFFFFF"/>
        </w:rPr>
        <w:t>30</w:t>
      </w:r>
      <w:r w:rsidRPr="00300C81">
        <w:rPr>
          <w:shd w:val="clear" w:color="auto" w:fill="FFFFFF"/>
          <w:vertAlign w:val="superscript"/>
        </w:rPr>
        <w:t>th</w:t>
      </w:r>
      <w:r w:rsidRPr="00300C81">
        <w:rPr>
          <w:shd w:val="clear" w:color="auto" w:fill="FFFFFF"/>
        </w:rPr>
        <w:t xml:space="preserve"> percentile = </w:t>
      </w:r>
      <w:r>
        <w:rPr>
          <w:shd w:val="clear" w:color="auto" w:fill="FFFFFF"/>
        </w:rPr>
        <w:t>2</w:t>
      </w:r>
    </w:p>
    <w:p w14:paraId="304F135E" w14:textId="77777777" w:rsidR="00467290" w:rsidRPr="00300C81" w:rsidRDefault="00467290" w:rsidP="00467290">
      <w:pPr>
        <w:pStyle w:val="ListParagraph"/>
        <w:numPr>
          <w:ilvl w:val="0"/>
          <w:numId w:val="1"/>
        </w:numPr>
        <w:spacing w:after="0" w:line="240" w:lineRule="auto"/>
        <w:rPr>
          <w:shd w:val="clear" w:color="auto" w:fill="FFFFFF"/>
        </w:rPr>
      </w:pPr>
      <w:r w:rsidRPr="00300C81">
        <w:rPr>
          <w:shd w:val="clear" w:color="auto" w:fill="FFFFFF"/>
        </w:rPr>
        <w:t>70</w:t>
      </w:r>
      <w:r w:rsidRPr="00300C81">
        <w:rPr>
          <w:shd w:val="clear" w:color="auto" w:fill="FFFFFF"/>
          <w:vertAlign w:val="superscript"/>
        </w:rPr>
        <w:t>th</w:t>
      </w:r>
      <w:r w:rsidRPr="00300C81">
        <w:rPr>
          <w:shd w:val="clear" w:color="auto" w:fill="FFFFFF"/>
        </w:rPr>
        <w:t xml:space="preserve"> percentile = </w:t>
      </w:r>
      <w:r>
        <w:rPr>
          <w:shd w:val="clear" w:color="auto" w:fill="FFFFFF"/>
        </w:rPr>
        <w:t>6</w:t>
      </w:r>
    </w:p>
    <w:p w14:paraId="64A6D21D" w14:textId="77777777" w:rsidR="00467290" w:rsidRPr="00300C81" w:rsidRDefault="00467290" w:rsidP="00467290">
      <w:pPr>
        <w:pStyle w:val="ListParagraph"/>
        <w:numPr>
          <w:ilvl w:val="0"/>
          <w:numId w:val="1"/>
        </w:numPr>
        <w:spacing w:after="0" w:line="240" w:lineRule="auto"/>
        <w:rPr>
          <w:shd w:val="clear" w:color="auto" w:fill="FFFFFF"/>
        </w:rPr>
      </w:pPr>
      <w:r w:rsidRPr="00300C81">
        <w:rPr>
          <w:shd w:val="clear" w:color="auto" w:fill="FFFFFF"/>
        </w:rPr>
        <w:t>Inter</w:t>
      </w:r>
      <w:r>
        <w:rPr>
          <w:shd w:val="clear" w:color="auto" w:fill="FFFFFF"/>
        </w:rPr>
        <w:t>-</w:t>
      </w:r>
      <w:r w:rsidRPr="00300C81">
        <w:rPr>
          <w:shd w:val="clear" w:color="auto" w:fill="FFFFFF"/>
        </w:rPr>
        <w:t xml:space="preserve">percentile range = </w:t>
      </w:r>
      <w:r>
        <w:rPr>
          <w:shd w:val="clear" w:color="auto" w:fill="FFFFFF"/>
        </w:rPr>
        <w:t>4</w:t>
      </w:r>
    </w:p>
    <w:p w14:paraId="6ED7A1FC" w14:textId="77777777" w:rsidR="00467290" w:rsidRPr="00300C81" w:rsidRDefault="00467290" w:rsidP="00467290">
      <w:pPr>
        <w:pStyle w:val="ListParagraph"/>
        <w:numPr>
          <w:ilvl w:val="0"/>
          <w:numId w:val="1"/>
        </w:numPr>
        <w:spacing w:after="0" w:line="240" w:lineRule="auto"/>
        <w:rPr>
          <w:shd w:val="clear" w:color="auto" w:fill="FFFFFF"/>
        </w:rPr>
      </w:pPr>
      <w:r w:rsidRPr="00300C81">
        <w:rPr>
          <w:shd w:val="clear" w:color="auto" w:fill="FFFFFF"/>
        </w:rPr>
        <w:t>Inter</w:t>
      </w:r>
      <w:r>
        <w:rPr>
          <w:shd w:val="clear" w:color="auto" w:fill="FFFFFF"/>
        </w:rPr>
        <w:t>-</w:t>
      </w:r>
      <w:r w:rsidRPr="00300C81">
        <w:rPr>
          <w:shd w:val="clear" w:color="auto" w:fill="FFFFFF"/>
        </w:rPr>
        <w:t xml:space="preserve">percentile range centre point = </w:t>
      </w:r>
      <w:r>
        <w:rPr>
          <w:shd w:val="clear" w:color="auto" w:fill="FFFFFF"/>
        </w:rPr>
        <w:t>4</w:t>
      </w:r>
      <w:r w:rsidRPr="00300C81">
        <w:rPr>
          <w:shd w:val="clear" w:color="auto" w:fill="FFFFFF"/>
        </w:rPr>
        <w:t xml:space="preserve"> (</w:t>
      </w:r>
      <w:proofErr w:type="spellStart"/>
      <w:r>
        <w:rPr>
          <w:shd w:val="clear" w:color="auto" w:fill="FFFFFF"/>
        </w:rPr>
        <w:t>i.e</w:t>
      </w:r>
      <w:proofErr w:type="spellEnd"/>
      <w:r>
        <w:rPr>
          <w:shd w:val="clear" w:color="auto" w:fill="FFFFFF"/>
        </w:rPr>
        <w:t xml:space="preserve">: </w:t>
      </w:r>
      <w:r w:rsidRPr="00300C81">
        <w:rPr>
          <w:shd w:val="clear" w:color="auto" w:fill="FFFFFF"/>
        </w:rPr>
        <w:t>(30</w:t>
      </w:r>
      <w:r w:rsidRPr="00300C81">
        <w:rPr>
          <w:shd w:val="clear" w:color="auto" w:fill="FFFFFF"/>
          <w:vertAlign w:val="superscript"/>
        </w:rPr>
        <w:t>th</w:t>
      </w:r>
      <w:r w:rsidRPr="00300C81">
        <w:rPr>
          <w:shd w:val="clear" w:color="auto" w:fill="FFFFFF"/>
        </w:rPr>
        <w:t xml:space="preserve"> percentile + 70</w:t>
      </w:r>
      <w:r w:rsidRPr="00300C81">
        <w:rPr>
          <w:shd w:val="clear" w:color="auto" w:fill="FFFFFF"/>
          <w:vertAlign w:val="superscript"/>
        </w:rPr>
        <w:t>th</w:t>
      </w:r>
      <w:r w:rsidRPr="00300C81">
        <w:rPr>
          <w:shd w:val="clear" w:color="auto" w:fill="FFFFFF"/>
        </w:rPr>
        <w:t xml:space="preserve"> percentile)/2)</w:t>
      </w:r>
    </w:p>
    <w:p w14:paraId="616E3FA0" w14:textId="77777777" w:rsidR="00467290" w:rsidRPr="00300C81" w:rsidRDefault="00467290" w:rsidP="00467290">
      <w:pPr>
        <w:pStyle w:val="ListParagraph"/>
        <w:numPr>
          <w:ilvl w:val="0"/>
          <w:numId w:val="1"/>
        </w:numPr>
        <w:spacing w:after="0" w:line="240" w:lineRule="auto"/>
        <w:rPr>
          <w:shd w:val="clear" w:color="auto" w:fill="FFFFFF"/>
        </w:rPr>
      </w:pPr>
      <w:r w:rsidRPr="00300C81">
        <w:rPr>
          <w:shd w:val="clear" w:color="auto" w:fill="FFFFFF"/>
        </w:rPr>
        <w:t xml:space="preserve">Asymmetry Index = </w:t>
      </w:r>
      <w:r>
        <w:rPr>
          <w:shd w:val="clear" w:color="auto" w:fill="FFFFFF"/>
        </w:rPr>
        <w:t>1</w:t>
      </w:r>
      <w:r w:rsidRPr="00300C81">
        <w:rPr>
          <w:shd w:val="clear" w:color="auto" w:fill="FFFFFF"/>
        </w:rPr>
        <w:t xml:space="preserve"> (</w:t>
      </w:r>
      <w:proofErr w:type="spellStart"/>
      <w:r>
        <w:rPr>
          <w:shd w:val="clear" w:color="auto" w:fill="FFFFFF"/>
        </w:rPr>
        <w:t>i.e</w:t>
      </w:r>
      <w:proofErr w:type="spellEnd"/>
      <w:r>
        <w:rPr>
          <w:shd w:val="clear" w:color="auto" w:fill="FFFFFF"/>
        </w:rPr>
        <w:t xml:space="preserve">: </w:t>
      </w:r>
      <w:r w:rsidRPr="00300C81">
        <w:rPr>
          <w:shd w:val="clear" w:color="auto" w:fill="FFFFFF"/>
        </w:rPr>
        <w:t>5-(30</w:t>
      </w:r>
      <w:r w:rsidRPr="00300C81">
        <w:rPr>
          <w:shd w:val="clear" w:color="auto" w:fill="FFFFFF"/>
          <w:vertAlign w:val="superscript"/>
        </w:rPr>
        <w:t>th</w:t>
      </w:r>
      <w:r w:rsidRPr="00300C81">
        <w:rPr>
          <w:shd w:val="clear" w:color="auto" w:fill="FFFFFF"/>
        </w:rPr>
        <w:t xml:space="preserve"> percentile + 70</w:t>
      </w:r>
      <w:r w:rsidRPr="00300C81">
        <w:rPr>
          <w:shd w:val="clear" w:color="auto" w:fill="FFFFFF"/>
          <w:vertAlign w:val="superscript"/>
        </w:rPr>
        <w:t>th</w:t>
      </w:r>
      <w:r w:rsidRPr="00300C81">
        <w:rPr>
          <w:shd w:val="clear" w:color="auto" w:fill="FFFFFF"/>
        </w:rPr>
        <w:t xml:space="preserve"> percentile)/2) </w:t>
      </w:r>
    </w:p>
    <w:p w14:paraId="5D8BB95C" w14:textId="77777777" w:rsidR="00467290" w:rsidRDefault="00467290" w:rsidP="00467290">
      <w:pPr>
        <w:pStyle w:val="ListParagraph"/>
        <w:numPr>
          <w:ilvl w:val="0"/>
          <w:numId w:val="1"/>
        </w:numPr>
        <w:spacing w:after="0" w:line="240" w:lineRule="auto"/>
        <w:rPr>
          <w:shd w:val="clear" w:color="auto" w:fill="FFFFFF"/>
        </w:rPr>
      </w:pPr>
      <w:r w:rsidRPr="00300C81">
        <w:rPr>
          <w:shd w:val="clear" w:color="auto" w:fill="FFFFFF"/>
        </w:rPr>
        <w:t>Inter</w:t>
      </w:r>
      <w:r>
        <w:rPr>
          <w:shd w:val="clear" w:color="auto" w:fill="FFFFFF"/>
        </w:rPr>
        <w:t>-</w:t>
      </w:r>
      <w:r w:rsidRPr="00300C81">
        <w:rPr>
          <w:shd w:val="clear" w:color="auto" w:fill="FFFFFF"/>
        </w:rPr>
        <w:t xml:space="preserve">percentile range adjusted for symmetry = </w:t>
      </w:r>
      <w:r>
        <w:rPr>
          <w:shd w:val="clear" w:color="auto" w:fill="FFFFFF"/>
        </w:rPr>
        <w:t>3.85 (</w:t>
      </w:r>
      <w:proofErr w:type="spellStart"/>
      <w:r>
        <w:rPr>
          <w:shd w:val="clear" w:color="auto" w:fill="FFFFFF"/>
        </w:rPr>
        <w:t>i.e</w:t>
      </w:r>
      <w:proofErr w:type="spellEnd"/>
      <w:r>
        <w:rPr>
          <w:shd w:val="clear" w:color="auto" w:fill="FFFFFF"/>
        </w:rPr>
        <w:t>: 2.35 + (1.5*asymmetry index)</w:t>
      </w:r>
    </w:p>
    <w:p w14:paraId="5452EF43" w14:textId="77777777" w:rsidR="00467290" w:rsidRDefault="00467290" w:rsidP="00467290">
      <w:pPr>
        <w:pStyle w:val="ListParagraph"/>
        <w:numPr>
          <w:ilvl w:val="0"/>
          <w:numId w:val="1"/>
        </w:numPr>
        <w:spacing w:after="0" w:line="240" w:lineRule="auto"/>
        <w:rPr>
          <w:shd w:val="clear" w:color="auto" w:fill="FFFFFF"/>
        </w:rPr>
      </w:pPr>
      <w:r>
        <w:rPr>
          <w:shd w:val="clear" w:color="auto" w:fill="FFFFFF"/>
        </w:rPr>
        <w:t xml:space="preserve">The inter-percentile range (4) is &gt; the inter-percentile range adjusted for symmetry (3.85) and for this statement the interpretation is that there is ‘no consensus’. </w:t>
      </w:r>
    </w:p>
    <w:p w14:paraId="0CB1CC50" w14:textId="77777777" w:rsidR="00467290" w:rsidRDefault="00467290" w:rsidP="00467290">
      <w:pPr>
        <w:rPr>
          <w:shd w:val="clear" w:color="auto" w:fill="FFFFFF"/>
        </w:rPr>
      </w:pPr>
      <w:r w:rsidRPr="00300C81">
        <w:rPr>
          <w:shd w:val="clear" w:color="auto" w:fill="FFFFFF"/>
        </w:rPr>
        <w:t xml:space="preserve"> </w:t>
      </w:r>
    </w:p>
    <w:p w14:paraId="1BF7CCEA" w14:textId="77777777" w:rsidR="00467290" w:rsidRPr="00836147" w:rsidRDefault="00467290" w:rsidP="00467290"/>
    <w:sdt>
      <w:sdtPr>
        <w:rPr>
          <w:color w:val="000000"/>
        </w:rPr>
        <w:tag w:val="MENDELEY_BIBLIOGRAPHY"/>
        <w:id w:val="-972833030"/>
        <w:placeholder>
          <w:docPart w:val="DefaultPlaceholder_-1854013440"/>
        </w:placeholder>
      </w:sdtPr>
      <w:sdtEndPr/>
      <w:sdtContent>
        <w:p w14:paraId="373214C0" w14:textId="77777777" w:rsidR="005B70D8" w:rsidRDefault="005B70D8">
          <w:pPr>
            <w:autoSpaceDE w:val="0"/>
            <w:autoSpaceDN w:val="0"/>
            <w:ind w:hanging="640"/>
            <w:divId w:val="1325476322"/>
            <w:rPr>
              <w:rFonts w:eastAsia="Times New Roman"/>
              <w:kern w:val="0"/>
              <w:sz w:val="24"/>
              <w:szCs w:val="24"/>
              <w14:ligatures w14:val="none"/>
            </w:rPr>
          </w:pPr>
          <w:r>
            <w:rPr>
              <w:rFonts w:eastAsia="Times New Roman"/>
            </w:rPr>
            <w:t>[1]</w:t>
          </w:r>
          <w:r>
            <w:rPr>
              <w:rFonts w:eastAsia="Times New Roman"/>
            </w:rPr>
            <w:tab/>
            <w:t xml:space="preserve">Fitch Kathryn, Bernstein Steven, Aguilar </w:t>
          </w:r>
          <w:proofErr w:type="spellStart"/>
          <w:r>
            <w:rPr>
              <w:rFonts w:eastAsia="Times New Roman"/>
            </w:rPr>
            <w:t>MDolores</w:t>
          </w:r>
          <w:proofErr w:type="spellEnd"/>
          <w:r>
            <w:rPr>
              <w:rFonts w:eastAsia="Times New Roman"/>
            </w:rPr>
            <w:t xml:space="preserve">, </w:t>
          </w:r>
          <w:proofErr w:type="spellStart"/>
          <w:r>
            <w:rPr>
              <w:rFonts w:eastAsia="Times New Roman"/>
            </w:rPr>
            <w:t>Burnand</w:t>
          </w:r>
          <w:proofErr w:type="spellEnd"/>
          <w:r>
            <w:rPr>
              <w:rFonts w:eastAsia="Times New Roman"/>
            </w:rPr>
            <w:t xml:space="preserve"> Bernard, </w:t>
          </w:r>
          <w:proofErr w:type="spellStart"/>
          <w:r>
            <w:rPr>
              <w:rFonts w:eastAsia="Times New Roman"/>
            </w:rPr>
            <w:t>LaCalle</w:t>
          </w:r>
          <w:proofErr w:type="spellEnd"/>
          <w:r>
            <w:rPr>
              <w:rFonts w:eastAsia="Times New Roman"/>
            </w:rPr>
            <w:t xml:space="preserve"> </w:t>
          </w:r>
          <w:proofErr w:type="spellStart"/>
          <w:r>
            <w:rPr>
              <w:rFonts w:eastAsia="Times New Roman"/>
            </w:rPr>
            <w:t>JRamon</w:t>
          </w:r>
          <w:proofErr w:type="spellEnd"/>
          <w:r>
            <w:rPr>
              <w:rFonts w:eastAsia="Times New Roman"/>
            </w:rPr>
            <w:t>, Lazaro Pablo, et al. The Rand/UCLA appropriateness method user’s manual. Rand; 2001.</w:t>
          </w:r>
        </w:p>
        <w:p w14:paraId="047EAE15" w14:textId="1752E5B1" w:rsidR="00ED0503" w:rsidRDefault="005B70D8">
          <w:r>
            <w:rPr>
              <w:rFonts w:eastAsia="Times New Roman"/>
            </w:rPr>
            <w:t> </w:t>
          </w:r>
        </w:p>
      </w:sdtContent>
    </w:sdt>
    <w:sectPr w:rsidR="00ED050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F0756D0"/>
    <w:multiLevelType w:val="hybridMultilevel"/>
    <w:tmpl w:val="889C61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7290"/>
    <w:rsid w:val="00013323"/>
    <w:rsid w:val="001A35AC"/>
    <w:rsid w:val="0026306D"/>
    <w:rsid w:val="00383519"/>
    <w:rsid w:val="00467290"/>
    <w:rsid w:val="0057617B"/>
    <w:rsid w:val="005B70D8"/>
    <w:rsid w:val="00996C14"/>
    <w:rsid w:val="009D0973"/>
    <w:rsid w:val="00ED05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1B2991"/>
  <w15:chartTrackingRefBased/>
  <w15:docId w15:val="{7A5D4795-0BEB-BB4E-BFE0-42C497DFAA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67290"/>
    <w:pPr>
      <w:spacing w:after="160" w:line="259" w:lineRule="auto"/>
    </w:pPr>
    <w:rPr>
      <w:sz w:val="22"/>
      <w:szCs w:val="22"/>
    </w:rPr>
  </w:style>
  <w:style w:type="paragraph" w:styleId="Heading1">
    <w:name w:val="heading 1"/>
    <w:basedOn w:val="Normal"/>
    <w:next w:val="Normal"/>
    <w:link w:val="Heading1Char"/>
    <w:uiPriority w:val="9"/>
    <w:qFormat/>
    <w:rsid w:val="0046729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6729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6729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6729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6729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67290"/>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67290"/>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67290"/>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67290"/>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6729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6729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6729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6729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6729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6729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6729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6729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67290"/>
    <w:rPr>
      <w:rFonts w:eastAsiaTheme="majorEastAsia" w:cstheme="majorBidi"/>
      <w:color w:val="272727" w:themeColor="text1" w:themeTint="D8"/>
    </w:rPr>
  </w:style>
  <w:style w:type="paragraph" w:styleId="Title">
    <w:name w:val="Title"/>
    <w:basedOn w:val="Normal"/>
    <w:next w:val="Normal"/>
    <w:link w:val="TitleChar"/>
    <w:uiPriority w:val="10"/>
    <w:qFormat/>
    <w:rsid w:val="00467290"/>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6729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6729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6729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67290"/>
    <w:pPr>
      <w:spacing w:before="160"/>
      <w:jc w:val="center"/>
    </w:pPr>
    <w:rPr>
      <w:i/>
      <w:iCs/>
      <w:color w:val="404040" w:themeColor="text1" w:themeTint="BF"/>
    </w:rPr>
  </w:style>
  <w:style w:type="character" w:customStyle="1" w:styleId="QuoteChar">
    <w:name w:val="Quote Char"/>
    <w:basedOn w:val="DefaultParagraphFont"/>
    <w:link w:val="Quote"/>
    <w:uiPriority w:val="29"/>
    <w:rsid w:val="00467290"/>
    <w:rPr>
      <w:i/>
      <w:iCs/>
      <w:color w:val="404040" w:themeColor="text1" w:themeTint="BF"/>
    </w:rPr>
  </w:style>
  <w:style w:type="paragraph" w:styleId="ListParagraph">
    <w:name w:val="List Paragraph"/>
    <w:basedOn w:val="Normal"/>
    <w:uiPriority w:val="34"/>
    <w:qFormat/>
    <w:rsid w:val="00467290"/>
    <w:pPr>
      <w:ind w:left="720"/>
      <w:contextualSpacing/>
    </w:pPr>
  </w:style>
  <w:style w:type="character" w:styleId="IntenseEmphasis">
    <w:name w:val="Intense Emphasis"/>
    <w:basedOn w:val="DefaultParagraphFont"/>
    <w:uiPriority w:val="21"/>
    <w:qFormat/>
    <w:rsid w:val="00467290"/>
    <w:rPr>
      <w:i/>
      <w:iCs/>
      <w:color w:val="0F4761" w:themeColor="accent1" w:themeShade="BF"/>
    </w:rPr>
  </w:style>
  <w:style w:type="paragraph" w:styleId="IntenseQuote">
    <w:name w:val="Intense Quote"/>
    <w:basedOn w:val="Normal"/>
    <w:next w:val="Normal"/>
    <w:link w:val="IntenseQuoteChar"/>
    <w:uiPriority w:val="30"/>
    <w:qFormat/>
    <w:rsid w:val="0046729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67290"/>
    <w:rPr>
      <w:i/>
      <w:iCs/>
      <w:color w:val="0F4761" w:themeColor="accent1" w:themeShade="BF"/>
    </w:rPr>
  </w:style>
  <w:style w:type="character" w:styleId="IntenseReference">
    <w:name w:val="Intense Reference"/>
    <w:basedOn w:val="DefaultParagraphFont"/>
    <w:uiPriority w:val="32"/>
    <w:qFormat/>
    <w:rsid w:val="00467290"/>
    <w:rPr>
      <w:b/>
      <w:bCs/>
      <w:smallCaps/>
      <w:color w:val="0F4761" w:themeColor="accent1" w:themeShade="BF"/>
      <w:spacing w:val="5"/>
    </w:rPr>
  </w:style>
  <w:style w:type="table" w:styleId="TableGrid">
    <w:name w:val="Table Grid"/>
    <w:basedOn w:val="TableNormal"/>
    <w:uiPriority w:val="39"/>
    <w:rsid w:val="0046729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5B70D8"/>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745170">
      <w:bodyDiv w:val="1"/>
      <w:marLeft w:val="0"/>
      <w:marRight w:val="0"/>
      <w:marTop w:val="0"/>
      <w:marBottom w:val="0"/>
      <w:divBdr>
        <w:top w:val="none" w:sz="0" w:space="0" w:color="auto"/>
        <w:left w:val="none" w:sz="0" w:space="0" w:color="auto"/>
        <w:bottom w:val="none" w:sz="0" w:space="0" w:color="auto"/>
        <w:right w:val="none" w:sz="0" w:space="0" w:color="auto"/>
      </w:divBdr>
      <w:divsChild>
        <w:div w:id="1222791809">
          <w:marLeft w:val="480"/>
          <w:marRight w:val="0"/>
          <w:marTop w:val="0"/>
          <w:marBottom w:val="0"/>
          <w:divBdr>
            <w:top w:val="none" w:sz="0" w:space="0" w:color="auto"/>
            <w:left w:val="none" w:sz="0" w:space="0" w:color="auto"/>
            <w:bottom w:val="none" w:sz="0" w:space="0" w:color="auto"/>
            <w:right w:val="none" w:sz="0" w:space="0" w:color="auto"/>
          </w:divBdr>
        </w:div>
      </w:divsChild>
    </w:div>
    <w:div w:id="2144033071">
      <w:bodyDiv w:val="1"/>
      <w:marLeft w:val="0"/>
      <w:marRight w:val="0"/>
      <w:marTop w:val="0"/>
      <w:marBottom w:val="0"/>
      <w:divBdr>
        <w:top w:val="none" w:sz="0" w:space="0" w:color="auto"/>
        <w:left w:val="none" w:sz="0" w:space="0" w:color="auto"/>
        <w:bottom w:val="none" w:sz="0" w:space="0" w:color="auto"/>
        <w:right w:val="none" w:sz="0" w:space="0" w:color="auto"/>
      </w:divBdr>
      <w:divsChild>
        <w:div w:id="1325476322">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37480C87F234F4FA9B2C42225CD6867"/>
        <w:category>
          <w:name w:val="General"/>
          <w:gallery w:val="placeholder"/>
        </w:category>
        <w:types>
          <w:type w:val="bbPlcHdr"/>
        </w:types>
        <w:behaviors>
          <w:behavior w:val="content"/>
        </w:behaviors>
        <w:guid w:val="{7B91081B-0A70-4E40-9F42-420223259FC3}"/>
      </w:docPartPr>
      <w:docPartBody>
        <w:p w:rsidR="00170345" w:rsidRDefault="00B06540" w:rsidP="00B06540">
          <w:pPr>
            <w:pStyle w:val="837480C87F234F4FA9B2C42225CD6867"/>
          </w:pPr>
          <w:r w:rsidRPr="00380ABD">
            <w:rPr>
              <w:rStyle w:val="PlaceholderText"/>
            </w:rPr>
            <w:t>Click or tap here to enter text.</w:t>
          </w:r>
        </w:p>
      </w:docPartBody>
    </w:docPart>
    <w:docPart>
      <w:docPartPr>
        <w:name w:val="DefaultPlaceholder_-1854013440"/>
        <w:category>
          <w:name w:val="General"/>
          <w:gallery w:val="placeholder"/>
        </w:category>
        <w:types>
          <w:type w:val="bbPlcHdr"/>
        </w:types>
        <w:behaviors>
          <w:behavior w:val="content"/>
        </w:behaviors>
        <w:guid w:val="{5A3F7DB7-3A99-4480-A7EB-37AB11DB94A4}"/>
      </w:docPartPr>
      <w:docPartBody>
        <w:p w:rsidR="00E81AE5" w:rsidRDefault="00170345">
          <w:r w:rsidRPr="004641BC">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6540"/>
    <w:rsid w:val="00170345"/>
    <w:rsid w:val="0026306D"/>
    <w:rsid w:val="00383519"/>
    <w:rsid w:val="003A7273"/>
    <w:rsid w:val="00B06540"/>
    <w:rsid w:val="00E81AE5"/>
    <w:rsid w:val="00EF6859"/>
    <w:rsid w:val="00F6797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70345"/>
    <w:rPr>
      <w:color w:val="666666"/>
    </w:rPr>
  </w:style>
  <w:style w:type="paragraph" w:customStyle="1" w:styleId="837480C87F234F4FA9B2C42225CD6867">
    <w:name w:val="837480C87F234F4FA9B2C42225CD6867"/>
    <w:rsid w:val="00B0654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FBA9363-03A7-40AE-9959-75A26B48D553}">
  <we:reference id="f78a3046-9e99-4300-aa2b-5814002b01a2" version="1.55.1.0" store="EXCatalog" storeType="EXCatalog"/>
  <we:alternateReferences>
    <we:reference id="WA104382081" version="1.55.1.0" store="en-GB" storeType="OMEX"/>
  </we:alternateReferences>
  <we:properties>
    <we:property name="MENDELEY_CITATIONS" value="[{&quot;citationID&quot;:&quot;MENDELEY_CITATION_56b9baed-2239-4846-8697-6034ced6d64c&quot;,&quot;properties&quot;:{&quot;noteIndex&quot;:0},&quot;isEdited&quot;:false,&quot;manualOverride&quot;:{&quot;isManuallyOverridden&quot;:false,&quot;citeprocText&quot;:&quot;[1]&quot;,&quot;manualOverrideText&quot;:&quot;&quot;},&quot;citationTag&quot;:&quot;MENDELEY_CITATION_v3_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&quot;,&quot;citationItems&quot;:[{&quot;id&quot;:&quot;56a05471-18ba-3a9d-8a09-5b8f07dd79a9&quot;,&quot;itemData&quot;:{&quot;type&quot;:&quot;book&quot;,&quot;id&quot;:&quot;56a05471-18ba-3a9d-8a09-5b8f07dd79a9&quot;,&quot;title&quot;:&quot;The Rand/UCLA appropriateness method user's manual&quot;,&quot;author&quot;:[{&quot;family&quot;:&quot;Fitch&quot;,&quot;given&quot;:&quot;Kathryn.&quot;,&quot;parse-names&quot;:false,&quot;dropping-particle&quot;:&quot;&quot;,&quot;non-dropping-particle&quot;:&quot;&quot;},{&quot;family&quot;:&quot;Bernstein&quot;,&quot;given&quot;:&quot;Steven.&quot;,&quot;parse-names&quot;:false,&quot;dropping-particle&quot;:&quot;&quot;,&quot;non-dropping-particle&quot;:&quot;&quot;},{&quot;family&quot;:&quot;Aguilar&quot;,&quot;given&quot;:&quot;Maria Dolores.&quot;,&quot;parse-names&quot;:false,&quot;dropping-particle&quot;:&quot;&quot;,&quot;non-dropping-particle&quot;:&quot;&quot;},{&quot;family&quot;:&quot;Burnand&quot;,&quot;given&quot;:&quot;Bernard.&quot;,&quot;parse-names&quot;:false,&quot;dropping-particle&quot;:&quot;&quot;,&quot;non-dropping-particle&quot;:&quot;&quot;},{&quot;family&quot;:&quot;LaCalle&quot;,&quot;given&quot;:&quot;Juan Ramon.&quot;,&quot;parse-names&quot;:false,&quot;dropping-particle&quot;:&quot;&quot;,&quot;non-dropping-particle&quot;:&quot;&quot;},{&quot;family&quot;:&quot;Lazaro&quot;,&quot;given&quot;:&quot;Pablo.&quot;,&quot;parse-names&quot;:false,&quot;dropping-particle&quot;:&quot;&quot;,&quot;non-dropping-particle&quot;:&quot;&quot;},{&quot;family&quot;:&quot;Loo&quot;,&quot;given&quot;:&quot;Mirjam.&quot;,&quot;parse-names&quot;:false,&quot;dropping-particle&quot;:&quot;&quot;,&quot;non-dropping-particle&quot;:&quot;van het&quot;},{&quot;family&quot;:&quot;McDonnell&quot;,&quot;given&quot;:&quot;Joseph.&quot;,&quot;parse-names&quot;:false,&quot;dropping-particle&quot;:&quot;&quot;,&quot;non-dropping-particle&quot;:&quot;&quot;},{&quot;family&quot;:&quot;Vader&quot;,&quot;given&quot;:&quot;Janneke.&quot;,&quot;parse-names&quot;:false,&quot;dropping-particle&quot;:&quot;&quot;,&quot;non-dropping-particle&quot;:&quot;&quot;},{&quot;family&quot;:&quot;Kahan&quot;,&quot;given&quot;:&quot;James P.&quot;,&quot;parse-names&quot;:false,&quot;dropping-particle&quot;:&quot;&quot;,&quot;non-dropping-particle&quot;:&quot;&quot;}],&quot;accessed&quot;:{&quot;date-parts&quot;:[[2023,2,4]]},&quot;ISBN&quot;:&quot;9780833029188&quot;,&quot;issued&quot;:{&quot;date-parts&quot;:[[2001]]},&quot;number-of-pages&quot;:&quot;109&quot;,&quot;abstract&quot;:&quot;Health systems should function in such a way that the amount of inappropriate care is minimized, while at the same time stinting as little as possible on appropriate and necessary care. The ability to determine and identify which care is overused and which is underused is essential to this functioning. To this end, the \&quot;RAND/UCLA Appropriateness Method\&quot; was developed in the 1980s. It has been further developed and refined in North America and, increasingly, in Europe. The rationale behind the method is that randomized clinical trials--the \&quot;gold standard\&quot; for evidence-based medicine--are generally either not available or cannot provide evidence at a level of detail sufficient to apply to the wide range of patients seen in everyday clinical practice. Although robust scientific evidence about the benefits of many procedures is lacking, physicians must nonetheless make decisions every day about when to use them. Consequently, a method was developed that combined the best available scientific evidence with the collective judgment of experts to yield a statement regarding the appropriateness of performing a procedure at the level of patient-specific symptoms, medical history, and test results. This manual presents step-by-step guidelines for conceptualising, designing, and carrying out a study of the appropriateness of medical or surgical procedures (for either diagnosis or treatment) using the RAND/UCLA Appropriateness Method. The manual distills the experience of many researchers in North America and Europe and presents current (as of the year 2000) thinking on the subject. Although the manual is self-contained and complete, the authors do not recommend that those unfamiliar with the RAND/UCLA Appropriateness Method independently conduct an appropriateness study; instead, they suggest \&quot;seeing one\&quot; before \&quot;doing one.\&quot; To this end, contact information is provided to assist potential users of the method. Ch. 1. Introduction -- Ch. 2. Selecting a Topic -- Ch. 3. Review and Synthesis of the Literature -- Ch. 4. Developing the List of Indications and Definitions -- Ch. 5. The Expert Panel -- Ch. 6. The Rating Process: Appropriateness and Necessity -- Ch. 7. Chairing an Expert Panel -- Ch. 8. Classifying Appropriateness -- Ch. 9. Software Tools for Data Processing and Analysis -- Ch. 10. Applying Appropriateness Criteria Retrospectively to Measure Overuse -- Ch. 11. Applying Necessity Criteria to Measure Underuse -- Ch. 12. Applying Appropriateness Criteria Prospectively to Assist in Decision-Making -- Ch. 13. Methodological Issues -- Annex I. Members of the European Union BIOMED Concerted Action on \&quot;A Method to Integrate Scientific and Clinical Knowledge to Achieve the Appropriate Utilisation of Major Medical and Surgical Procedures.\&quot;&quot;,&quot;publisher&quot;:&quot;Rand&quot;,&quot;container-title-short&quot;:&quot;&quot;},&quot;isTemporary&quot;:false}]}]"/>
    <we:property name="MENDELEY_CITATIONS_LOCALE_CODE" value="&quot;en-US&quot;"/>
    <we:property name="MENDELEY_CITATIONS_STYLE" value="{&quot;id&quot;:&quot;https://www.zotero.org/styles/european-urology&quot;,&quot;title&quot;:&quot;European Urology&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BDA427-9035-4B4B-9535-FB11A3D7D6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256</Words>
  <Characters>1461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Maclennan, Steven</dc:creator>
  <cp:keywords/>
  <dc:description/>
  <cp:lastModifiedBy>Mrs. HJ Lotter</cp:lastModifiedBy>
  <cp:revision>2</cp:revision>
  <dcterms:created xsi:type="dcterms:W3CDTF">2026-04-14T06:38:00Z</dcterms:created>
  <dcterms:modified xsi:type="dcterms:W3CDTF">2026-04-14T06:38:00Z</dcterms:modified>
</cp:coreProperties>
</file>