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A63ED1" w14:textId="6D423541" w:rsidR="007B010A" w:rsidRPr="001F02C5" w:rsidRDefault="00EA3405" w:rsidP="00D17BEA">
      <w:pPr>
        <w:jc w:val="both"/>
        <w:rPr>
          <w:rFonts w:ascii="Arial" w:hAnsi="Arial" w:cs="Arial"/>
          <w:b/>
          <w:bCs/>
        </w:rPr>
      </w:pPr>
      <w:r w:rsidRPr="001F02C5">
        <w:rPr>
          <w:rFonts w:ascii="Arial" w:hAnsi="Arial" w:cs="Arial"/>
          <w:b/>
          <w:bCs/>
        </w:rPr>
        <w:t>Supplementary Materials and Methods.</w:t>
      </w:r>
    </w:p>
    <w:p w14:paraId="6AE63724" w14:textId="2E745511" w:rsidR="001F02C5" w:rsidRPr="0079569F" w:rsidRDefault="001F02C5" w:rsidP="00D17BEA">
      <w:pPr>
        <w:pStyle w:val="MDPI21heading1"/>
        <w:spacing w:line="276" w:lineRule="auto"/>
        <w:ind w:left="0"/>
        <w:jc w:val="both"/>
        <w:rPr>
          <w:rFonts w:ascii="Arial" w:hAnsi="Arial" w:cs="Arial"/>
          <w:sz w:val="22"/>
          <w:lang w:val="en-ZA"/>
        </w:rPr>
      </w:pPr>
      <w:bookmarkStart w:id="0" w:name="_Hlk155687720"/>
      <w:r w:rsidRPr="0079569F">
        <w:rPr>
          <w:rFonts w:ascii="Arial" w:hAnsi="Arial" w:cs="Arial"/>
          <w:sz w:val="22"/>
          <w:lang w:val="en-ZA"/>
        </w:rPr>
        <w:t>Isolation and propagation of SARS-CoV-2 Beta variant</w:t>
      </w:r>
    </w:p>
    <w:bookmarkEnd w:id="0"/>
    <w:p w14:paraId="1CDE4D1A" w14:textId="669E43DA" w:rsidR="001F02C5" w:rsidRPr="0079569F" w:rsidRDefault="001F02C5" w:rsidP="00D17BEA">
      <w:pPr>
        <w:pStyle w:val="MDPI21heading1"/>
        <w:spacing w:line="276" w:lineRule="auto"/>
        <w:ind w:left="0"/>
        <w:jc w:val="both"/>
        <w:rPr>
          <w:rFonts w:ascii="Arial" w:hAnsi="Arial" w:cs="Arial"/>
          <w:b w:val="0"/>
          <w:bCs/>
          <w:sz w:val="22"/>
          <w:lang w:val="en-ZA"/>
        </w:rPr>
      </w:pPr>
      <w:r w:rsidRPr="0079569F">
        <w:rPr>
          <w:rFonts w:ascii="Arial" w:hAnsi="Arial" w:cs="Arial"/>
          <w:b w:val="0"/>
          <w:bCs/>
          <w:sz w:val="22"/>
          <w:lang w:val="en-ZA"/>
        </w:rPr>
        <w:t>All work involving live SARS-CoV-2 was performed inside an accredited Biosafety Level 3 facility in accordance with the safety regulations regarding risk level 3 pathogens [</w:t>
      </w:r>
      <w:r w:rsidR="00BA21E3">
        <w:rPr>
          <w:rFonts w:ascii="Arial" w:hAnsi="Arial" w:cs="Arial"/>
          <w:b w:val="0"/>
          <w:bCs/>
          <w:sz w:val="22"/>
          <w:lang w:val="en-ZA"/>
        </w:rPr>
        <w:t>1</w:t>
      </w:r>
      <w:r w:rsidRPr="0079569F">
        <w:rPr>
          <w:rFonts w:ascii="Arial" w:hAnsi="Arial" w:cs="Arial"/>
          <w:b w:val="0"/>
          <w:bCs/>
          <w:sz w:val="22"/>
          <w:lang w:val="en-ZA"/>
        </w:rPr>
        <w:t xml:space="preserve">]. SARS-CoV-2-positive patient samples were </w:t>
      </w:r>
      <w:r>
        <w:rPr>
          <w:rFonts w:ascii="Arial" w:hAnsi="Arial" w:cs="Arial"/>
          <w:b w:val="0"/>
          <w:bCs/>
          <w:sz w:val="22"/>
          <w:lang w:val="en-ZA"/>
        </w:rPr>
        <w:t>obtained</w:t>
      </w:r>
      <w:r w:rsidRPr="0079569F">
        <w:rPr>
          <w:rFonts w:ascii="Arial" w:hAnsi="Arial" w:cs="Arial"/>
          <w:b w:val="0"/>
          <w:bCs/>
          <w:sz w:val="22"/>
          <w:lang w:val="en-ZA"/>
        </w:rPr>
        <w:t xml:space="preserve"> from the National Health Laboratory Service (NHLS), Tygerberg, Cape Town, South Africa, with lineage confirmation as SARS-CoV-2 Beta at Stellenbosch University (SU) as part of the Network for Genomic Surveillance in South Africa (NGS-SA) initiative [</w:t>
      </w:r>
      <w:r w:rsidR="00BA21E3">
        <w:rPr>
          <w:rFonts w:ascii="Arial" w:hAnsi="Arial" w:cs="Arial"/>
          <w:b w:val="0"/>
          <w:bCs/>
          <w:sz w:val="22"/>
          <w:lang w:val="en-ZA"/>
        </w:rPr>
        <w:t>2</w:t>
      </w:r>
      <w:r w:rsidRPr="0079569F">
        <w:rPr>
          <w:rFonts w:ascii="Arial" w:hAnsi="Arial" w:cs="Arial"/>
          <w:b w:val="0"/>
          <w:bCs/>
          <w:sz w:val="22"/>
          <w:lang w:val="en-ZA"/>
        </w:rPr>
        <w:t xml:space="preserve">]. </w:t>
      </w:r>
      <w:r>
        <w:rPr>
          <w:rFonts w:ascii="Arial" w:hAnsi="Arial" w:cs="Arial"/>
          <w:b w:val="0"/>
          <w:bCs/>
          <w:sz w:val="22"/>
          <w:lang w:val="en-ZA"/>
        </w:rPr>
        <w:t>The samples taken were nasopharyngeal swabs.</w:t>
      </w:r>
    </w:p>
    <w:p w14:paraId="17409D03" w14:textId="13884A36" w:rsidR="001F02C5" w:rsidRDefault="001F02C5" w:rsidP="00D17BEA">
      <w:pPr>
        <w:pStyle w:val="MDPI21heading1"/>
        <w:spacing w:line="276" w:lineRule="auto"/>
        <w:ind w:left="0"/>
        <w:jc w:val="both"/>
        <w:rPr>
          <w:rFonts w:ascii="Arial" w:hAnsi="Arial" w:cs="Arial"/>
          <w:b w:val="0"/>
          <w:bCs/>
          <w:sz w:val="22"/>
          <w:lang w:val="en-ZA"/>
        </w:rPr>
      </w:pPr>
      <w:r w:rsidRPr="0079569F">
        <w:rPr>
          <w:rFonts w:ascii="Arial" w:hAnsi="Arial" w:cs="Arial"/>
          <w:b w:val="0"/>
          <w:bCs/>
          <w:sz w:val="22"/>
          <w:lang w:val="en-ZA"/>
        </w:rPr>
        <w:t xml:space="preserve">Vero E6 cells were utilized for the propagation of the virus and maintained under standard conditions of complete DMEM (PAN Biotech, </w:t>
      </w:r>
      <w:proofErr w:type="spellStart"/>
      <w:r w:rsidRPr="0079569F">
        <w:rPr>
          <w:rFonts w:ascii="Arial" w:hAnsi="Arial" w:cs="Arial"/>
          <w:b w:val="0"/>
          <w:bCs/>
          <w:sz w:val="22"/>
          <w:lang w:val="en-ZA"/>
        </w:rPr>
        <w:t>Aidenbach</w:t>
      </w:r>
      <w:proofErr w:type="spellEnd"/>
      <w:r w:rsidRPr="0079569F">
        <w:rPr>
          <w:rFonts w:ascii="Arial" w:hAnsi="Arial" w:cs="Arial"/>
          <w:b w:val="0"/>
          <w:bCs/>
          <w:sz w:val="22"/>
          <w:lang w:val="en-ZA"/>
        </w:rPr>
        <w:t>, Germany</w:t>
      </w:r>
      <w:r>
        <w:rPr>
          <w:rFonts w:ascii="Arial" w:hAnsi="Arial" w:cs="Arial"/>
          <w:b w:val="0"/>
          <w:bCs/>
          <w:sz w:val="22"/>
          <w:lang w:val="en-ZA"/>
        </w:rPr>
        <w:t>)</w:t>
      </w:r>
      <w:r w:rsidRPr="0079569F">
        <w:rPr>
          <w:rFonts w:ascii="Arial" w:hAnsi="Arial" w:cs="Arial"/>
          <w:b w:val="0"/>
          <w:bCs/>
          <w:sz w:val="22"/>
          <w:lang w:val="en-ZA"/>
        </w:rPr>
        <w:t xml:space="preserve">, 10% </w:t>
      </w:r>
      <w:proofErr w:type="spellStart"/>
      <w:r w:rsidRPr="0079569F">
        <w:rPr>
          <w:rFonts w:ascii="Arial" w:hAnsi="Arial" w:cs="Arial"/>
          <w:b w:val="0"/>
          <w:bCs/>
          <w:sz w:val="22"/>
          <w:lang w:val="en-ZA"/>
        </w:rPr>
        <w:t>fetal</w:t>
      </w:r>
      <w:proofErr w:type="spellEnd"/>
      <w:r w:rsidRPr="0079569F">
        <w:rPr>
          <w:rFonts w:ascii="Arial" w:hAnsi="Arial" w:cs="Arial"/>
          <w:b w:val="0"/>
          <w:bCs/>
          <w:sz w:val="22"/>
          <w:lang w:val="en-ZA"/>
        </w:rPr>
        <w:t xml:space="preserve"> bovine serum (Gibco, USA), 1% non-essential amino acids (Lonza, Switzerland), amphotericin B (Gibco, USA), and</w:t>
      </w:r>
      <w:r>
        <w:rPr>
          <w:rFonts w:ascii="Arial" w:hAnsi="Arial" w:cs="Arial"/>
          <w:b w:val="0"/>
          <w:bCs/>
          <w:sz w:val="22"/>
          <w:lang w:val="en-ZA"/>
        </w:rPr>
        <w:t xml:space="preserve"> 1% </w:t>
      </w:r>
      <w:r w:rsidRPr="0079569F">
        <w:rPr>
          <w:rFonts w:ascii="Arial" w:hAnsi="Arial" w:cs="Arial"/>
          <w:b w:val="0"/>
          <w:bCs/>
          <w:sz w:val="22"/>
          <w:lang w:val="en-ZA"/>
        </w:rPr>
        <w:t xml:space="preserve">penicillin/streptomycin (PAN Biotech, </w:t>
      </w:r>
      <w:proofErr w:type="spellStart"/>
      <w:r w:rsidRPr="0079569F">
        <w:rPr>
          <w:rFonts w:ascii="Arial" w:hAnsi="Arial" w:cs="Arial"/>
          <w:b w:val="0"/>
          <w:bCs/>
          <w:sz w:val="22"/>
          <w:lang w:val="en-ZA"/>
        </w:rPr>
        <w:t>Aidenbach</w:t>
      </w:r>
      <w:proofErr w:type="spellEnd"/>
      <w:r w:rsidRPr="0079569F">
        <w:rPr>
          <w:rFonts w:ascii="Arial" w:hAnsi="Arial" w:cs="Arial"/>
          <w:b w:val="0"/>
          <w:bCs/>
          <w:sz w:val="22"/>
          <w:lang w:val="en-ZA"/>
        </w:rPr>
        <w:t>, Germany)). Patient samples (1:5 dilution in DMEM) were used to infect the cells for 1 hour at RT, washed with DPBS and incubated for 3-7 days or until &gt;90% cytopathic effect (CPE) appeared in post-infection media containing reduced 2% FBS. Newly seeded cells were re-infected with cell supernatant during multiple passages. Sequence confirmation of the third passage stock at SU via Oxford Nanopore Technology was done to ensure no mutations were introduced [3]. Viral RNA load was quantified through specific quantitative real-time PCR for the E gene [</w:t>
      </w:r>
      <w:r w:rsidR="00BA21E3">
        <w:rPr>
          <w:rFonts w:ascii="Arial" w:hAnsi="Arial" w:cs="Arial"/>
          <w:b w:val="0"/>
          <w:bCs/>
          <w:sz w:val="22"/>
          <w:lang w:val="en-ZA"/>
        </w:rPr>
        <w:t>4</w:t>
      </w:r>
      <w:r w:rsidRPr="0079569F">
        <w:rPr>
          <w:rFonts w:ascii="Arial" w:hAnsi="Arial" w:cs="Arial"/>
          <w:b w:val="0"/>
          <w:bCs/>
          <w:sz w:val="22"/>
          <w:lang w:val="en-ZA"/>
        </w:rPr>
        <w:t>]. Infectious virus titres were confirmed with the standard plaque assay on Vero E6 cells</w:t>
      </w:r>
      <w:r>
        <w:rPr>
          <w:rFonts w:ascii="Arial" w:hAnsi="Arial" w:cs="Arial"/>
          <w:b w:val="0"/>
          <w:bCs/>
          <w:sz w:val="22"/>
          <w:lang w:val="en-ZA"/>
        </w:rPr>
        <w:t xml:space="preserve"> as follows</w:t>
      </w:r>
      <w:r w:rsidRPr="0079569F">
        <w:rPr>
          <w:rFonts w:ascii="Arial" w:hAnsi="Arial" w:cs="Arial"/>
          <w:b w:val="0"/>
          <w:bCs/>
          <w:sz w:val="22"/>
          <w:lang w:val="en-ZA"/>
        </w:rPr>
        <w:t>.</w:t>
      </w:r>
      <w:r w:rsidRPr="00140E01">
        <w:t xml:space="preserve"> </w:t>
      </w:r>
      <w:r w:rsidRPr="00140E01">
        <w:rPr>
          <w:rFonts w:ascii="Arial" w:hAnsi="Arial" w:cs="Arial"/>
          <w:b w:val="0"/>
          <w:bCs/>
          <w:sz w:val="22"/>
          <w:lang w:val="en-ZA"/>
        </w:rPr>
        <w:t>Vero E6 cells were seeded overnight in 6-well plates. The next day, the cells were washed once with DPBS and then infected with 10-fold serial dilutions (10</w:t>
      </w:r>
      <w:r w:rsidRPr="000F7342">
        <w:rPr>
          <w:rFonts w:ascii="Arial" w:hAnsi="Arial" w:cs="Arial"/>
          <w:b w:val="0"/>
          <w:bCs/>
          <w:sz w:val="22"/>
          <w:vertAlign w:val="superscript"/>
          <w:lang w:val="en-ZA"/>
        </w:rPr>
        <w:t>-2</w:t>
      </w:r>
      <w:r w:rsidRPr="00140E01">
        <w:rPr>
          <w:rFonts w:ascii="Arial" w:hAnsi="Arial" w:cs="Arial"/>
          <w:b w:val="0"/>
          <w:bCs/>
          <w:sz w:val="22"/>
          <w:lang w:val="en-ZA"/>
        </w:rPr>
        <w:t xml:space="preserve"> – 10</w:t>
      </w:r>
      <w:r w:rsidRPr="000F7342">
        <w:rPr>
          <w:rFonts w:ascii="Arial" w:hAnsi="Arial" w:cs="Arial"/>
          <w:b w:val="0"/>
          <w:bCs/>
          <w:sz w:val="22"/>
          <w:vertAlign w:val="superscript"/>
          <w:lang w:val="en-ZA"/>
        </w:rPr>
        <w:t>-7</w:t>
      </w:r>
      <w:r w:rsidRPr="00140E01">
        <w:rPr>
          <w:rFonts w:ascii="Arial" w:hAnsi="Arial" w:cs="Arial"/>
          <w:b w:val="0"/>
          <w:bCs/>
          <w:sz w:val="22"/>
          <w:lang w:val="en-ZA"/>
        </w:rPr>
        <w:t>) of the virus stock (in triplicate) for 1 hour. Virus was removed and cells were washed once with DPBS before adding 2 mL of overlay containing a 1:1 mixture 2.4% methylcellulose (</w:t>
      </w:r>
      <w:proofErr w:type="spellStart"/>
      <w:r w:rsidRPr="00140E01">
        <w:rPr>
          <w:rFonts w:ascii="Arial" w:hAnsi="Arial" w:cs="Arial"/>
          <w:b w:val="0"/>
          <w:bCs/>
          <w:sz w:val="22"/>
          <w:lang w:val="en-ZA"/>
        </w:rPr>
        <w:t>Vivapur</w:t>
      </w:r>
      <w:proofErr w:type="spellEnd"/>
      <w:r w:rsidRPr="00140E01">
        <w:rPr>
          <w:rFonts w:ascii="Arial" w:hAnsi="Arial" w:cs="Arial"/>
          <w:b w:val="0"/>
          <w:bCs/>
          <w:sz w:val="22"/>
          <w:lang w:val="en-ZA"/>
        </w:rPr>
        <w:t xml:space="preserve"> 591, JRS Pharma, Germany) and 2x complete DMEM with 4% FBS. Plates were incubated for 48 hours before fixing with 6% formaldehyde and staining with 0.05% (w/v) crystal violet. Plates were washed twice with deionized H</w:t>
      </w:r>
      <w:r w:rsidRPr="000F7342">
        <w:rPr>
          <w:rFonts w:ascii="Arial" w:hAnsi="Arial" w:cs="Arial"/>
          <w:b w:val="0"/>
          <w:bCs/>
          <w:sz w:val="22"/>
          <w:vertAlign w:val="subscript"/>
          <w:lang w:val="en-ZA"/>
        </w:rPr>
        <w:t>2</w:t>
      </w:r>
      <w:r w:rsidRPr="00140E01">
        <w:rPr>
          <w:rFonts w:ascii="Arial" w:hAnsi="Arial" w:cs="Arial"/>
          <w:b w:val="0"/>
          <w:bCs/>
          <w:sz w:val="22"/>
          <w:lang w:val="en-ZA"/>
        </w:rPr>
        <w:t>O before counting plaques.</w:t>
      </w:r>
    </w:p>
    <w:p w14:paraId="6F4EFF05" w14:textId="77777777" w:rsidR="001F02C5" w:rsidRPr="0079569F" w:rsidRDefault="001F02C5" w:rsidP="00D17BEA">
      <w:pPr>
        <w:pStyle w:val="MDPI21heading1"/>
        <w:spacing w:line="276" w:lineRule="auto"/>
        <w:ind w:left="0"/>
        <w:jc w:val="both"/>
        <w:rPr>
          <w:rFonts w:ascii="Arial" w:hAnsi="Arial" w:cs="Arial"/>
          <w:bCs/>
          <w:sz w:val="22"/>
          <w:lang w:val="en-ZA"/>
        </w:rPr>
      </w:pPr>
      <w:r w:rsidRPr="0079569F">
        <w:rPr>
          <w:rFonts w:ascii="Arial" w:hAnsi="Arial" w:cs="Arial"/>
          <w:bCs/>
          <w:sz w:val="22"/>
          <w:lang w:val="en-ZA"/>
        </w:rPr>
        <w:t>Evaluation of immune responses and neutralizing antibody titres</w:t>
      </w:r>
    </w:p>
    <w:p w14:paraId="449A5C46" w14:textId="48D89A03" w:rsidR="001F02C5" w:rsidRPr="0079569F" w:rsidRDefault="001F02C5" w:rsidP="00D17BEA">
      <w:pPr>
        <w:jc w:val="both"/>
        <w:rPr>
          <w:rFonts w:ascii="Arial" w:hAnsi="Arial" w:cs="Arial"/>
          <w:bCs/>
          <w:lang w:val="en-ZA"/>
        </w:rPr>
      </w:pPr>
      <w:r w:rsidRPr="0079569F">
        <w:rPr>
          <w:rFonts w:ascii="Arial" w:hAnsi="Arial" w:cs="Arial"/>
          <w:bCs/>
          <w:lang w:val="en-ZA"/>
        </w:rPr>
        <w:t>A competitive SARS-CoV-2 ELISA containing an antigen coating of the SARS-CoV-2 Receptor Binding Domain (RBD) (Invitrogen, BMS2326) was used to measure antigen specific antibody titres of serum samples as per the manufacturer’s guidelines [</w:t>
      </w:r>
      <w:r w:rsidR="00BA21E3">
        <w:rPr>
          <w:rFonts w:ascii="Arial" w:hAnsi="Arial" w:cs="Arial"/>
          <w:bCs/>
          <w:lang w:val="en-ZA"/>
        </w:rPr>
        <w:t>5</w:t>
      </w:r>
      <w:r w:rsidRPr="0079569F">
        <w:rPr>
          <w:rFonts w:ascii="Arial" w:hAnsi="Arial" w:cs="Arial"/>
          <w:bCs/>
          <w:lang w:val="en-ZA"/>
        </w:rPr>
        <w:t>].</w:t>
      </w:r>
      <w:r w:rsidRPr="00067D00">
        <w:rPr>
          <w:rFonts w:ascii="Arial" w:hAnsi="Arial" w:cs="Arial"/>
          <w:bCs/>
          <w:lang w:val="en-ZA"/>
        </w:rPr>
        <w:t xml:space="preserve"> </w:t>
      </w:r>
      <w:r w:rsidRPr="000F7342">
        <w:rPr>
          <w:rFonts w:ascii="Arial" w:hAnsi="Arial" w:cs="Arial"/>
          <w:bCs/>
          <w:lang w:val="en-ZA"/>
        </w:rPr>
        <w:t xml:space="preserve">Briefly, the commercial 96-well plate was pre-coated with a SARS-CoV-2 Receptor Binding Domain (RBD) antigen. The coated plates were washed 2 times with the supplied wash buffer and either 100 µl of the supplied control sample or the test samples, pre-diluted 1:50 with 1X assay buffer, were added to each well in triplicate. The plate was covered and incubated at RT for 30 min. with shaking. Thereafter the plate was washed 3 times with wash buffer, and 100 </w:t>
      </w:r>
      <w:proofErr w:type="spellStart"/>
      <w:r w:rsidRPr="000F7342">
        <w:rPr>
          <w:rFonts w:ascii="Arial" w:hAnsi="Arial" w:cs="Arial"/>
          <w:bCs/>
          <w:lang w:val="en-ZA"/>
        </w:rPr>
        <w:t>μl</w:t>
      </w:r>
      <w:proofErr w:type="spellEnd"/>
      <w:r w:rsidRPr="000F7342">
        <w:rPr>
          <w:rFonts w:ascii="Arial" w:hAnsi="Arial" w:cs="Arial"/>
          <w:bCs/>
          <w:lang w:val="en-ZA"/>
        </w:rPr>
        <w:t xml:space="preserve"> of 1X Streptavidin-HRP Conjugate solution was added into each well and incubated for 30 min. at RT with shaking. Again, the plate was washed 3 times with wash buffer. </w:t>
      </w:r>
      <w:proofErr w:type="gramStart"/>
      <w:r w:rsidRPr="000F7342">
        <w:rPr>
          <w:rFonts w:ascii="Arial" w:hAnsi="Arial" w:cs="Arial"/>
          <w:bCs/>
          <w:lang w:val="en-ZA"/>
        </w:rPr>
        <w:t>In order to</w:t>
      </w:r>
      <w:proofErr w:type="gramEnd"/>
      <w:r w:rsidRPr="000F7342">
        <w:rPr>
          <w:rFonts w:ascii="Arial" w:hAnsi="Arial" w:cs="Arial"/>
          <w:bCs/>
          <w:lang w:val="en-ZA"/>
        </w:rPr>
        <w:t xml:space="preserve"> develop a visible signal, 100 </w:t>
      </w:r>
      <w:proofErr w:type="spellStart"/>
      <w:r w:rsidRPr="000F7342">
        <w:rPr>
          <w:rFonts w:ascii="Arial" w:hAnsi="Arial" w:cs="Arial"/>
          <w:bCs/>
          <w:lang w:val="en-ZA"/>
        </w:rPr>
        <w:t>μl</w:t>
      </w:r>
      <w:proofErr w:type="spellEnd"/>
      <w:r w:rsidRPr="000F7342">
        <w:rPr>
          <w:rFonts w:ascii="Arial" w:hAnsi="Arial" w:cs="Arial"/>
          <w:bCs/>
          <w:lang w:val="en-ZA"/>
        </w:rPr>
        <w:t xml:space="preserve"> of the substrate solution was added and incubated for 15 min. at RT. To stop the reaction, 100 µl of the stop solution was added to each well. Plates were read at 450 nm (</w:t>
      </w:r>
      <w:proofErr w:type="spellStart"/>
      <w:r w:rsidRPr="000F7342">
        <w:rPr>
          <w:rFonts w:ascii="Arial" w:hAnsi="Arial" w:cs="Arial"/>
          <w:bCs/>
          <w:lang w:val="en-ZA"/>
        </w:rPr>
        <w:t>Hidex</w:t>
      </w:r>
      <w:proofErr w:type="spellEnd"/>
      <w:r w:rsidRPr="000F7342">
        <w:rPr>
          <w:rFonts w:ascii="Arial" w:hAnsi="Arial" w:cs="Arial"/>
          <w:bCs/>
          <w:lang w:val="en-ZA"/>
        </w:rPr>
        <w:t xml:space="preserve"> Sense microplate reader). </w:t>
      </w:r>
      <w:r w:rsidRPr="0079569F">
        <w:rPr>
          <w:rFonts w:ascii="Arial" w:hAnsi="Arial" w:cs="Arial"/>
          <w:bCs/>
          <w:lang w:val="en-ZA"/>
        </w:rPr>
        <w:t xml:space="preserve">ELISA-signals generated with serum samples were used to determine the level of inhibitory antibodies obtained. This was presented as percentage inhibition (≥ 30% being positive) as described by the manufacturer (Invitrogen, </w:t>
      </w:r>
      <w:proofErr w:type="spellStart"/>
      <w:r w:rsidRPr="0079569F">
        <w:rPr>
          <w:rFonts w:ascii="Arial" w:hAnsi="Arial" w:cs="Arial"/>
          <w:bCs/>
          <w:lang w:val="en-ZA"/>
        </w:rPr>
        <w:t>Catalog</w:t>
      </w:r>
      <w:proofErr w:type="spellEnd"/>
      <w:r w:rsidRPr="0079569F">
        <w:rPr>
          <w:rFonts w:ascii="Arial" w:hAnsi="Arial" w:cs="Arial"/>
          <w:bCs/>
          <w:lang w:val="en-ZA"/>
        </w:rPr>
        <w:t xml:space="preserve"> Number BMS2326).</w:t>
      </w:r>
    </w:p>
    <w:p w14:paraId="70D2D433" w14:textId="58C4A4F3" w:rsidR="001F02C5" w:rsidRPr="0079569F" w:rsidRDefault="001F02C5" w:rsidP="00D17BEA">
      <w:pPr>
        <w:pStyle w:val="MDPI21heading1"/>
        <w:spacing w:line="276" w:lineRule="auto"/>
        <w:ind w:left="0"/>
        <w:jc w:val="both"/>
        <w:rPr>
          <w:rFonts w:ascii="Arial" w:hAnsi="Arial" w:cs="Arial"/>
          <w:b w:val="0"/>
          <w:bCs/>
          <w:sz w:val="22"/>
          <w:lang w:val="en-ZA"/>
        </w:rPr>
      </w:pPr>
      <w:r w:rsidRPr="0079569F">
        <w:rPr>
          <w:rFonts w:ascii="Arial" w:hAnsi="Arial" w:cs="Arial"/>
          <w:b w:val="0"/>
          <w:bCs/>
          <w:sz w:val="22"/>
          <w:lang w:val="en-ZA"/>
        </w:rPr>
        <w:lastRenderedPageBreak/>
        <w:t xml:space="preserve">Lentiviral </w:t>
      </w:r>
      <w:proofErr w:type="spellStart"/>
      <w:r w:rsidRPr="0079569F">
        <w:rPr>
          <w:rFonts w:ascii="Arial" w:hAnsi="Arial" w:cs="Arial"/>
          <w:b w:val="0"/>
          <w:bCs/>
          <w:sz w:val="22"/>
          <w:lang w:val="en-ZA"/>
        </w:rPr>
        <w:t>pseudovirus</w:t>
      </w:r>
      <w:proofErr w:type="spellEnd"/>
      <w:r w:rsidRPr="0079569F">
        <w:rPr>
          <w:rFonts w:ascii="Arial" w:hAnsi="Arial" w:cs="Arial"/>
          <w:b w:val="0"/>
          <w:bCs/>
          <w:sz w:val="22"/>
          <w:lang w:val="en-ZA"/>
        </w:rPr>
        <w:t xml:space="preserve"> production and neutralisation assays were performed as previously described [</w:t>
      </w:r>
      <w:r w:rsidR="00BA21E3">
        <w:rPr>
          <w:rFonts w:ascii="Arial" w:hAnsi="Arial" w:cs="Arial"/>
          <w:b w:val="0"/>
          <w:bCs/>
          <w:sz w:val="22"/>
          <w:lang w:val="en-ZA"/>
        </w:rPr>
        <w:t>5</w:t>
      </w:r>
      <w:r w:rsidRPr="0079569F">
        <w:rPr>
          <w:rFonts w:ascii="Arial" w:hAnsi="Arial" w:cs="Arial"/>
          <w:b w:val="0"/>
          <w:bCs/>
          <w:sz w:val="22"/>
          <w:lang w:val="en-ZA"/>
        </w:rPr>
        <w:t xml:space="preserve">]. In summary, 293T/ACE2.MF cells, overexpressing human ACE2 (kindly provided by M. Farzan from Scripps Research) were used as platform for the </w:t>
      </w:r>
      <w:proofErr w:type="spellStart"/>
      <w:r w:rsidRPr="0079569F">
        <w:rPr>
          <w:rFonts w:ascii="Arial" w:hAnsi="Arial" w:cs="Arial"/>
          <w:b w:val="0"/>
          <w:bCs/>
          <w:sz w:val="22"/>
          <w:lang w:val="en-ZA"/>
        </w:rPr>
        <w:t>pseudovirus</w:t>
      </w:r>
      <w:proofErr w:type="spellEnd"/>
      <w:r w:rsidRPr="0079569F">
        <w:rPr>
          <w:rFonts w:ascii="Arial" w:hAnsi="Arial" w:cs="Arial"/>
          <w:b w:val="0"/>
          <w:bCs/>
          <w:sz w:val="22"/>
          <w:lang w:val="en-ZA"/>
        </w:rPr>
        <w:t xml:space="preserve"> production. </w:t>
      </w:r>
      <w:proofErr w:type="spellStart"/>
      <w:r w:rsidRPr="0079569F">
        <w:rPr>
          <w:rFonts w:ascii="Arial" w:hAnsi="Arial" w:cs="Arial"/>
          <w:b w:val="0"/>
          <w:bCs/>
          <w:sz w:val="22"/>
          <w:lang w:val="en-ZA"/>
        </w:rPr>
        <w:t>Pseudoviruses</w:t>
      </w:r>
      <w:proofErr w:type="spellEnd"/>
      <w:r w:rsidRPr="0079569F">
        <w:rPr>
          <w:rFonts w:ascii="Arial" w:hAnsi="Arial" w:cs="Arial"/>
          <w:b w:val="0"/>
          <w:bCs/>
          <w:sz w:val="22"/>
          <w:lang w:val="en-ZA"/>
        </w:rPr>
        <w:t xml:space="preserve"> were produced by co-transfection of a lentiviral backbone (HIV-1 pNL4.luc encoding the firefly luciferase gene) and either of the SARS-CoV-2 spike plasmids containing mutations of D614G (original) or K417N, E484K, N501Y, D614G (RBD only) or L18F, D80A, D215G, Δ242-244, K417N, E484K, N501Y, D614G, A701V (Beta) using PEIMAX (</w:t>
      </w:r>
      <w:proofErr w:type="spellStart"/>
      <w:r w:rsidRPr="0079569F">
        <w:rPr>
          <w:rFonts w:ascii="Arial" w:hAnsi="Arial" w:cs="Arial"/>
          <w:b w:val="0"/>
          <w:bCs/>
          <w:sz w:val="22"/>
          <w:lang w:val="en-ZA"/>
        </w:rPr>
        <w:t>Polysciences</w:t>
      </w:r>
      <w:proofErr w:type="spellEnd"/>
      <w:r w:rsidRPr="0079569F">
        <w:rPr>
          <w:rFonts w:ascii="Arial" w:hAnsi="Arial" w:cs="Arial"/>
          <w:b w:val="0"/>
          <w:bCs/>
          <w:sz w:val="22"/>
          <w:lang w:val="en-ZA"/>
        </w:rPr>
        <w:t xml:space="preserve">). The serum samples were heat-inactivated, clarified, and incubated with </w:t>
      </w:r>
      <w:proofErr w:type="spellStart"/>
      <w:r w:rsidRPr="0079569F">
        <w:rPr>
          <w:rFonts w:ascii="Arial" w:hAnsi="Arial" w:cs="Arial"/>
          <w:b w:val="0"/>
          <w:bCs/>
          <w:sz w:val="22"/>
          <w:lang w:val="en-ZA"/>
        </w:rPr>
        <w:t>pseudovirus</w:t>
      </w:r>
      <w:proofErr w:type="spellEnd"/>
      <w:proofErr w:type="gramStart"/>
      <w:r w:rsidRPr="0079569F">
        <w:rPr>
          <w:rFonts w:ascii="Arial" w:hAnsi="Arial" w:cs="Arial"/>
          <w:b w:val="0"/>
          <w:bCs/>
          <w:sz w:val="22"/>
          <w:lang w:val="en-ZA"/>
        </w:rPr>
        <w:t>. .</w:t>
      </w:r>
      <w:proofErr w:type="gramEnd"/>
      <w:r w:rsidRPr="0079569F">
        <w:rPr>
          <w:rFonts w:ascii="Arial" w:hAnsi="Arial" w:cs="Arial"/>
          <w:b w:val="0"/>
          <w:bCs/>
          <w:sz w:val="22"/>
          <w:lang w:val="en-ZA"/>
        </w:rPr>
        <w:t xml:space="preserve"> Neutralization was measured by reduced luciferase expression after</w:t>
      </w:r>
      <w:r>
        <w:rPr>
          <w:rFonts w:ascii="Arial" w:hAnsi="Arial" w:cs="Arial"/>
          <w:b w:val="0"/>
          <w:bCs/>
          <w:sz w:val="22"/>
          <w:lang w:val="en-ZA"/>
        </w:rPr>
        <w:t xml:space="preserve"> a</w:t>
      </w:r>
      <w:r w:rsidRPr="0079569F">
        <w:rPr>
          <w:rFonts w:ascii="Arial" w:hAnsi="Arial" w:cs="Arial"/>
          <w:b w:val="0"/>
          <w:bCs/>
          <w:sz w:val="22"/>
          <w:lang w:val="en-ZA"/>
        </w:rPr>
        <w:t xml:space="preserve"> single-round infection of 293T/ACE2 MF cells with spike-</w:t>
      </w:r>
      <w:proofErr w:type="spellStart"/>
      <w:r w:rsidRPr="0079569F">
        <w:rPr>
          <w:rFonts w:ascii="Arial" w:hAnsi="Arial" w:cs="Arial"/>
          <w:b w:val="0"/>
          <w:bCs/>
          <w:sz w:val="22"/>
          <w:lang w:val="en-ZA"/>
        </w:rPr>
        <w:t>pseudotyped</w:t>
      </w:r>
      <w:proofErr w:type="spellEnd"/>
      <w:r w:rsidRPr="0079569F">
        <w:rPr>
          <w:rFonts w:ascii="Arial" w:hAnsi="Arial" w:cs="Arial"/>
          <w:b w:val="0"/>
          <w:bCs/>
          <w:sz w:val="22"/>
          <w:lang w:val="en-ZA"/>
        </w:rPr>
        <w:t xml:space="preserve"> viruses</w:t>
      </w:r>
      <w:r>
        <w:rPr>
          <w:rFonts w:ascii="Arial" w:hAnsi="Arial" w:cs="Arial"/>
          <w:b w:val="0"/>
          <w:bCs/>
          <w:sz w:val="22"/>
          <w:lang w:val="en-ZA"/>
        </w:rPr>
        <w:t xml:space="preserve"> (</w:t>
      </w:r>
      <w:r w:rsidRPr="0079569F">
        <w:rPr>
          <w:rFonts w:ascii="Arial" w:hAnsi="Arial" w:cs="Arial"/>
          <w:b w:val="0"/>
          <w:bCs/>
          <w:sz w:val="22"/>
          <w:lang w:val="en-ZA"/>
        </w:rPr>
        <w:t>PerkinElmer Life Sciences Model Victor X luminometer</w:t>
      </w:r>
      <w:r>
        <w:rPr>
          <w:rFonts w:ascii="Arial" w:hAnsi="Arial" w:cs="Arial"/>
          <w:b w:val="0"/>
          <w:bCs/>
          <w:sz w:val="22"/>
          <w:lang w:val="en-ZA"/>
        </w:rPr>
        <w:t>)</w:t>
      </w:r>
      <w:r w:rsidRPr="0079569F">
        <w:rPr>
          <w:rFonts w:ascii="Arial" w:hAnsi="Arial" w:cs="Arial"/>
          <w:b w:val="0"/>
          <w:bCs/>
          <w:sz w:val="22"/>
          <w:lang w:val="en-ZA"/>
        </w:rPr>
        <w:t xml:space="preserve">. </w:t>
      </w:r>
      <w:proofErr w:type="spellStart"/>
      <w:r w:rsidRPr="0079569F">
        <w:rPr>
          <w:rFonts w:ascii="Arial" w:hAnsi="Arial" w:cs="Arial"/>
          <w:b w:val="0"/>
          <w:bCs/>
          <w:sz w:val="22"/>
          <w:lang w:val="en-ZA"/>
        </w:rPr>
        <w:t>Titers</w:t>
      </w:r>
      <w:proofErr w:type="spellEnd"/>
      <w:r w:rsidRPr="0079569F">
        <w:rPr>
          <w:rFonts w:ascii="Arial" w:hAnsi="Arial" w:cs="Arial"/>
          <w:b w:val="0"/>
          <w:bCs/>
          <w:sz w:val="22"/>
          <w:lang w:val="en-ZA"/>
        </w:rPr>
        <w:t xml:space="preserve"> were calculated as the reciprocal plasma dilution (ID50) causing 50% reduction of light units. Equivalency was established through participation in the SARS-CoV-2 Neutralising Assay Concordance Survey 1 by EQAPOL and VQU, Duke Human Vaccine Institute. High concordance and correlation (Pearson r = 0.81–0.89) between cell-based live virus and </w:t>
      </w:r>
      <w:proofErr w:type="spellStart"/>
      <w:r w:rsidRPr="0079569F">
        <w:rPr>
          <w:rFonts w:ascii="Arial" w:hAnsi="Arial" w:cs="Arial"/>
          <w:b w:val="0"/>
          <w:bCs/>
          <w:sz w:val="22"/>
          <w:lang w:val="en-ZA"/>
        </w:rPr>
        <w:t>pseudovirus</w:t>
      </w:r>
      <w:proofErr w:type="spellEnd"/>
      <w:r w:rsidRPr="0079569F">
        <w:rPr>
          <w:rFonts w:ascii="Arial" w:hAnsi="Arial" w:cs="Arial"/>
          <w:b w:val="0"/>
          <w:bCs/>
          <w:sz w:val="22"/>
          <w:lang w:val="en-ZA"/>
        </w:rPr>
        <w:t xml:space="preserve"> neutralization assays as demonstrated [</w:t>
      </w:r>
      <w:r w:rsidR="00BA21E3">
        <w:rPr>
          <w:rFonts w:ascii="Arial" w:hAnsi="Arial" w:cs="Arial"/>
          <w:b w:val="0"/>
          <w:bCs/>
          <w:sz w:val="22"/>
          <w:lang w:val="en-ZA"/>
        </w:rPr>
        <w:t>6</w:t>
      </w:r>
      <w:r w:rsidRPr="0079569F">
        <w:rPr>
          <w:rFonts w:ascii="Arial" w:hAnsi="Arial" w:cs="Arial"/>
          <w:b w:val="0"/>
          <w:bCs/>
          <w:sz w:val="22"/>
          <w:lang w:val="en-ZA"/>
        </w:rPr>
        <w:t>].</w:t>
      </w:r>
    </w:p>
    <w:p w14:paraId="6323A282" w14:textId="77777777" w:rsidR="001F02C5" w:rsidRPr="0079569F" w:rsidRDefault="001F02C5" w:rsidP="00D17BEA">
      <w:pPr>
        <w:pStyle w:val="MDPI21heading1"/>
        <w:spacing w:line="276" w:lineRule="auto"/>
        <w:ind w:left="0"/>
        <w:jc w:val="both"/>
        <w:rPr>
          <w:rFonts w:ascii="Arial" w:hAnsi="Arial" w:cs="Arial"/>
          <w:bCs/>
          <w:sz w:val="22"/>
        </w:rPr>
      </w:pPr>
      <w:r w:rsidRPr="0079569F">
        <w:rPr>
          <w:rFonts w:ascii="Arial" w:hAnsi="Arial" w:cs="Arial"/>
          <w:bCs/>
          <w:sz w:val="22"/>
        </w:rPr>
        <w:t>Determination of SARS-CoV-2 viral RNA copies</w:t>
      </w:r>
    </w:p>
    <w:p w14:paraId="691E4A56" w14:textId="77777777" w:rsidR="001F02C5" w:rsidRPr="0079569F" w:rsidRDefault="001F02C5" w:rsidP="00D17BEA">
      <w:pPr>
        <w:pStyle w:val="MDPI21heading1"/>
        <w:spacing w:line="276" w:lineRule="auto"/>
        <w:ind w:left="0"/>
        <w:jc w:val="both"/>
        <w:rPr>
          <w:rFonts w:ascii="Arial" w:hAnsi="Arial" w:cs="Arial"/>
          <w:b w:val="0"/>
          <w:bCs/>
          <w:sz w:val="22"/>
          <w:lang w:val="en-ZA"/>
        </w:rPr>
      </w:pPr>
      <w:r w:rsidRPr="0079569F">
        <w:rPr>
          <w:rFonts w:ascii="Arial" w:hAnsi="Arial" w:cs="Arial"/>
          <w:b w:val="0"/>
          <w:bCs/>
          <w:sz w:val="22"/>
          <w:lang w:val="en-ZA"/>
        </w:rPr>
        <w:t xml:space="preserve">SARS-CoV-2 viral RNA copies were quantified from nasal swabs using 500µl QVL Lysis Buffer along with 10µg/ml carrier RNA (Poly A) from Omega Bio-Tek. An internal positive control, MS2 Phage Control (TaqMan™ 2019-nCoV Control Kit v2 by Applied Biosystems), was introduced before RNA extraction. RNA isolation was conducted with the E.Z.N.A.® Viral RNA Kit (Omega Bio-Tek), followed by multiplex </w:t>
      </w:r>
      <w:proofErr w:type="spellStart"/>
      <w:r w:rsidRPr="0079569F">
        <w:rPr>
          <w:rFonts w:ascii="Arial" w:hAnsi="Arial" w:cs="Arial"/>
          <w:b w:val="0"/>
          <w:bCs/>
          <w:sz w:val="22"/>
          <w:lang w:val="en-ZA"/>
        </w:rPr>
        <w:t>qRT</w:t>
      </w:r>
      <w:proofErr w:type="spellEnd"/>
      <w:r w:rsidRPr="0079569F">
        <w:rPr>
          <w:rFonts w:ascii="Arial" w:hAnsi="Arial" w:cs="Arial"/>
          <w:b w:val="0"/>
          <w:bCs/>
          <w:sz w:val="22"/>
          <w:lang w:val="en-ZA"/>
        </w:rPr>
        <w:t xml:space="preserve">-PCR of the isolated RNA on a </w:t>
      </w:r>
      <w:proofErr w:type="spellStart"/>
      <w:r w:rsidRPr="0079569F">
        <w:rPr>
          <w:rFonts w:ascii="Arial" w:hAnsi="Arial" w:cs="Arial"/>
          <w:b w:val="0"/>
          <w:bCs/>
          <w:sz w:val="22"/>
          <w:lang w:val="en-ZA"/>
        </w:rPr>
        <w:t>QuantStudio</w:t>
      </w:r>
      <w:proofErr w:type="spellEnd"/>
      <w:r w:rsidRPr="0079569F">
        <w:rPr>
          <w:rFonts w:ascii="Arial" w:hAnsi="Arial" w:cs="Arial"/>
          <w:b w:val="0"/>
          <w:bCs/>
          <w:sz w:val="22"/>
          <w:lang w:val="en-ZA"/>
        </w:rPr>
        <w:t xml:space="preserve">™ 7 Flex Real-Time PCR System from </w:t>
      </w:r>
      <w:proofErr w:type="spellStart"/>
      <w:r w:rsidRPr="0079569F">
        <w:rPr>
          <w:rFonts w:ascii="Arial" w:hAnsi="Arial" w:cs="Arial"/>
          <w:b w:val="0"/>
          <w:bCs/>
          <w:sz w:val="22"/>
          <w:lang w:val="en-ZA"/>
        </w:rPr>
        <w:t>Thermo</w:t>
      </w:r>
      <w:proofErr w:type="spellEnd"/>
      <w:r w:rsidRPr="0079569F">
        <w:rPr>
          <w:rFonts w:ascii="Arial" w:hAnsi="Arial" w:cs="Arial"/>
          <w:b w:val="0"/>
          <w:bCs/>
          <w:sz w:val="22"/>
          <w:lang w:val="en-ZA"/>
        </w:rPr>
        <w:t xml:space="preserve"> Fisher. The TaqMan™ 2019-nCoV Control Kit v2 by Applied Biosystems was used, including serial dilutions of known SARS-CoV-2 viral RNA ranging from 1x10</w:t>
      </w:r>
      <w:r w:rsidRPr="0079569F">
        <w:rPr>
          <w:rFonts w:ascii="Arial" w:hAnsi="Arial" w:cs="Arial"/>
          <w:bCs/>
          <w:sz w:val="22"/>
          <w:vertAlign w:val="superscript"/>
          <w:lang w:val="en-ZA"/>
        </w:rPr>
        <w:t>4</w:t>
      </w:r>
      <w:r w:rsidRPr="0079569F">
        <w:rPr>
          <w:rFonts w:ascii="Arial" w:hAnsi="Arial" w:cs="Arial"/>
          <w:b w:val="0"/>
          <w:bCs/>
          <w:sz w:val="22"/>
          <w:lang w:val="en-ZA"/>
        </w:rPr>
        <w:t xml:space="preserve"> copies/µl to 1x10</w:t>
      </w:r>
      <w:r w:rsidRPr="0079569F">
        <w:rPr>
          <w:rFonts w:ascii="Arial" w:hAnsi="Arial" w:cs="Arial"/>
          <w:bCs/>
          <w:sz w:val="22"/>
          <w:vertAlign w:val="superscript"/>
          <w:lang w:val="en-ZA"/>
        </w:rPr>
        <w:t>2</w:t>
      </w:r>
      <w:r w:rsidRPr="0079569F">
        <w:rPr>
          <w:rFonts w:ascii="Arial" w:hAnsi="Arial" w:cs="Arial"/>
          <w:b w:val="0"/>
          <w:bCs/>
          <w:sz w:val="22"/>
          <w:lang w:val="en-ZA"/>
        </w:rPr>
        <w:t xml:space="preserve"> copies/µl. Viral loads were calculated using the standard curve and presented as copies per µl.</w:t>
      </w:r>
    </w:p>
    <w:p w14:paraId="4A16C1C6" w14:textId="77777777" w:rsidR="001F02C5" w:rsidRPr="0079569F" w:rsidRDefault="001F02C5" w:rsidP="00D17BEA">
      <w:pPr>
        <w:pStyle w:val="MDPI21heading1"/>
        <w:spacing w:line="276" w:lineRule="auto"/>
        <w:ind w:left="0"/>
        <w:jc w:val="both"/>
        <w:rPr>
          <w:rFonts w:ascii="Arial" w:hAnsi="Arial" w:cs="Arial"/>
          <w:bCs/>
          <w:sz w:val="22"/>
        </w:rPr>
      </w:pPr>
      <w:r w:rsidRPr="0079569F">
        <w:rPr>
          <w:rFonts w:ascii="Arial" w:hAnsi="Arial" w:cs="Arial"/>
          <w:bCs/>
          <w:sz w:val="22"/>
        </w:rPr>
        <w:t>Histopathology</w:t>
      </w:r>
    </w:p>
    <w:p w14:paraId="66149E6C" w14:textId="77777777" w:rsidR="001F02C5" w:rsidRDefault="001F02C5" w:rsidP="00D17BEA">
      <w:pPr>
        <w:pStyle w:val="MDPI21heading1"/>
        <w:spacing w:line="276" w:lineRule="auto"/>
        <w:ind w:left="0"/>
        <w:jc w:val="both"/>
        <w:rPr>
          <w:rFonts w:ascii="Arial" w:hAnsi="Arial" w:cs="Arial"/>
          <w:b w:val="0"/>
          <w:bCs/>
          <w:sz w:val="22"/>
          <w:lang w:val="en-ZA"/>
        </w:rPr>
      </w:pPr>
      <w:r w:rsidRPr="0079569F">
        <w:rPr>
          <w:rFonts w:ascii="Arial" w:hAnsi="Arial" w:cs="Arial"/>
          <w:b w:val="0"/>
          <w:bCs/>
          <w:sz w:val="22"/>
          <w:lang w:val="en-ZA"/>
        </w:rPr>
        <w:t xml:space="preserve">Lung samples were cut into sections and subjected to </w:t>
      </w:r>
      <w:proofErr w:type="spellStart"/>
      <w:r w:rsidRPr="0079569F">
        <w:rPr>
          <w:rFonts w:ascii="Arial" w:hAnsi="Arial" w:cs="Arial"/>
          <w:b w:val="0"/>
          <w:bCs/>
          <w:sz w:val="22"/>
          <w:lang w:val="en-ZA"/>
        </w:rPr>
        <w:t>hematoxylin</w:t>
      </w:r>
      <w:proofErr w:type="spellEnd"/>
      <w:r w:rsidRPr="0079569F">
        <w:rPr>
          <w:rFonts w:ascii="Arial" w:hAnsi="Arial" w:cs="Arial"/>
          <w:b w:val="0"/>
          <w:bCs/>
          <w:sz w:val="22"/>
          <w:lang w:val="en-ZA"/>
        </w:rPr>
        <w:t xml:space="preserve"> and eosin (H&amp;E) staining for histopathological analysis. The tissue was examined under light microscopy to identify signs of necrosis, inflammation, repair, or fibrosis. Lung lesions were </w:t>
      </w:r>
      <w:proofErr w:type="spellStart"/>
      <w:r w:rsidRPr="0079569F">
        <w:rPr>
          <w:rFonts w:ascii="Arial" w:hAnsi="Arial" w:cs="Arial"/>
          <w:b w:val="0"/>
          <w:bCs/>
          <w:sz w:val="22"/>
          <w:lang w:val="en-ZA"/>
        </w:rPr>
        <w:t>cateorized</w:t>
      </w:r>
      <w:proofErr w:type="spellEnd"/>
      <w:r w:rsidRPr="0079569F">
        <w:rPr>
          <w:rFonts w:ascii="Arial" w:hAnsi="Arial" w:cs="Arial"/>
          <w:b w:val="0"/>
          <w:bCs/>
          <w:sz w:val="22"/>
          <w:lang w:val="en-ZA"/>
        </w:rPr>
        <w:t xml:space="preserve"> as follows: NAD (No Abnormalities Detected), MIN (Minimal), MILD (Mild), MOD (Moderate), MAR (Marked), and SEV (Severe). The severity of histopathological findings was determined based on observations of lymphoplasmacytic infiltration, bronchiolitis/</w:t>
      </w:r>
      <w:proofErr w:type="spellStart"/>
      <w:r w:rsidRPr="0079569F">
        <w:rPr>
          <w:rFonts w:ascii="Arial" w:hAnsi="Arial" w:cs="Arial"/>
          <w:b w:val="0"/>
          <w:bCs/>
          <w:sz w:val="22"/>
          <w:lang w:val="en-ZA"/>
        </w:rPr>
        <w:t>peribronchiolitis</w:t>
      </w:r>
      <w:proofErr w:type="spellEnd"/>
      <w:r w:rsidRPr="0079569F">
        <w:rPr>
          <w:rFonts w:ascii="Arial" w:hAnsi="Arial" w:cs="Arial"/>
          <w:b w:val="0"/>
          <w:bCs/>
          <w:sz w:val="22"/>
          <w:lang w:val="en-ZA"/>
        </w:rPr>
        <w:t xml:space="preserve">, alveolitis, bullous emphysema, vasculitis/perivasculitis, atelectasis, mixed inflammatory cell infiltrates (primarily lymphocytes and plasma cells), as well as fibrinous </w:t>
      </w:r>
      <w:proofErr w:type="spellStart"/>
      <w:r w:rsidRPr="0079569F">
        <w:rPr>
          <w:rFonts w:ascii="Arial" w:hAnsi="Arial" w:cs="Arial"/>
          <w:b w:val="0"/>
          <w:bCs/>
          <w:sz w:val="22"/>
          <w:lang w:val="en-ZA"/>
        </w:rPr>
        <w:t>edema</w:t>
      </w:r>
      <w:proofErr w:type="spellEnd"/>
      <w:r w:rsidRPr="0079569F">
        <w:rPr>
          <w:rFonts w:ascii="Arial" w:hAnsi="Arial" w:cs="Arial"/>
          <w:b w:val="0"/>
          <w:bCs/>
          <w:sz w:val="22"/>
          <w:lang w:val="en-ZA"/>
        </w:rPr>
        <w:t xml:space="preserve"> and </w:t>
      </w:r>
      <w:proofErr w:type="spellStart"/>
      <w:r w:rsidRPr="0079569F">
        <w:rPr>
          <w:rFonts w:ascii="Arial" w:hAnsi="Arial" w:cs="Arial"/>
          <w:b w:val="0"/>
          <w:bCs/>
          <w:sz w:val="22"/>
          <w:lang w:val="en-ZA"/>
        </w:rPr>
        <w:t>hemorrhage</w:t>
      </w:r>
      <w:proofErr w:type="spellEnd"/>
      <w:r w:rsidRPr="0079569F">
        <w:rPr>
          <w:rFonts w:ascii="Arial" w:hAnsi="Arial" w:cs="Arial"/>
          <w:b w:val="0"/>
          <w:bCs/>
          <w:sz w:val="22"/>
          <w:lang w:val="en-ZA"/>
        </w:rPr>
        <w:t xml:space="preserve">. In addition, hypertrophy of type II pneumocytes and early interstitial fibrosis (i.e., early signs of regeneration and repair) were noted in animals showing moderate, </w:t>
      </w:r>
      <w:proofErr w:type="gramStart"/>
      <w:r w:rsidRPr="0079569F">
        <w:rPr>
          <w:rFonts w:ascii="Arial" w:hAnsi="Arial" w:cs="Arial"/>
          <w:b w:val="0"/>
          <w:bCs/>
          <w:sz w:val="22"/>
          <w:lang w:val="en-ZA"/>
        </w:rPr>
        <w:t>marked</w:t>
      </w:r>
      <w:proofErr w:type="gramEnd"/>
      <w:r w:rsidRPr="0079569F">
        <w:rPr>
          <w:rFonts w:ascii="Arial" w:hAnsi="Arial" w:cs="Arial"/>
          <w:b w:val="0"/>
          <w:bCs/>
          <w:sz w:val="22"/>
          <w:lang w:val="en-ZA"/>
        </w:rPr>
        <w:t xml:space="preserve"> or severe grades.</w:t>
      </w:r>
    </w:p>
    <w:p w14:paraId="275B044C" w14:textId="77777777" w:rsidR="00BA21E3" w:rsidRDefault="00BA21E3" w:rsidP="00D17BEA">
      <w:pPr>
        <w:pStyle w:val="MDPI21heading1"/>
        <w:spacing w:line="276" w:lineRule="auto"/>
        <w:ind w:left="0"/>
        <w:jc w:val="both"/>
        <w:rPr>
          <w:rFonts w:ascii="Arial" w:hAnsi="Arial" w:cs="Arial"/>
          <w:b w:val="0"/>
          <w:bCs/>
          <w:sz w:val="22"/>
          <w:lang w:val="en-ZA"/>
        </w:rPr>
      </w:pPr>
    </w:p>
    <w:p w14:paraId="1004AEEB" w14:textId="31B60F9A" w:rsidR="00BA21E3" w:rsidRDefault="00BA21E3" w:rsidP="00D17BEA">
      <w:pPr>
        <w:pStyle w:val="MDPI21heading1"/>
        <w:spacing w:line="276" w:lineRule="auto"/>
        <w:ind w:left="0"/>
        <w:jc w:val="both"/>
        <w:rPr>
          <w:rFonts w:ascii="Arial" w:hAnsi="Arial" w:cs="Arial"/>
          <w:b w:val="0"/>
          <w:bCs/>
          <w:sz w:val="22"/>
          <w:lang w:val="en-ZA"/>
        </w:rPr>
      </w:pPr>
      <w:r>
        <w:rPr>
          <w:rFonts w:ascii="Arial" w:hAnsi="Arial" w:cs="Arial"/>
          <w:b w:val="0"/>
          <w:bCs/>
          <w:sz w:val="22"/>
          <w:lang w:val="en-ZA"/>
        </w:rPr>
        <w:t>References:</w:t>
      </w:r>
    </w:p>
    <w:p w14:paraId="286E830B" w14:textId="77777777" w:rsidR="00BA21E3" w:rsidRPr="0079569F" w:rsidRDefault="00BA21E3" w:rsidP="00BA21E3">
      <w:pPr>
        <w:pStyle w:val="ListParagraph"/>
        <w:numPr>
          <w:ilvl w:val="0"/>
          <w:numId w:val="1"/>
        </w:numPr>
        <w:spacing w:after="0" w:line="276" w:lineRule="auto"/>
        <w:jc w:val="both"/>
        <w:rPr>
          <w:rFonts w:ascii="Arial" w:eastAsia="Times New Roman" w:hAnsi="Arial" w:cs="Arial"/>
          <w:snapToGrid w:val="0"/>
          <w:lang w:bidi="en-US"/>
        </w:rPr>
      </w:pPr>
      <w:r w:rsidRPr="0079569F">
        <w:rPr>
          <w:rFonts w:ascii="Arial" w:eastAsia="Times New Roman" w:hAnsi="Arial" w:cs="Arial"/>
          <w:snapToGrid w:val="0"/>
          <w:lang w:bidi="en-US"/>
        </w:rPr>
        <w:lastRenderedPageBreak/>
        <w:t xml:space="preserve">WHO (2021) Laboratory biosafety guidance related to coronavirus disease (COVID-19): Interim guidance, 28 January 2021, Available </w:t>
      </w:r>
      <w:proofErr w:type="spellStart"/>
      <w:proofErr w:type="gramStart"/>
      <w:r w:rsidRPr="0079569F">
        <w:rPr>
          <w:rFonts w:ascii="Arial" w:eastAsia="Times New Roman" w:hAnsi="Arial" w:cs="Arial"/>
          <w:snapToGrid w:val="0"/>
          <w:lang w:bidi="en-US"/>
        </w:rPr>
        <w:t>at:https</w:t>
      </w:r>
      <w:proofErr w:type="spellEnd"/>
      <w:r w:rsidRPr="0079569F">
        <w:rPr>
          <w:rFonts w:ascii="Arial" w:eastAsia="Times New Roman" w:hAnsi="Arial" w:cs="Arial"/>
          <w:snapToGrid w:val="0"/>
          <w:lang w:bidi="en-US"/>
        </w:rPr>
        <w:t>://www.who.int/publications/i/item/WHO-WPE-GIH-2021.1</w:t>
      </w:r>
      <w:proofErr w:type="gramEnd"/>
    </w:p>
    <w:p w14:paraId="32A6024E" w14:textId="77777777" w:rsidR="00BA21E3" w:rsidRPr="0079569F" w:rsidRDefault="00BA21E3" w:rsidP="00BA21E3">
      <w:pPr>
        <w:pStyle w:val="ListParagraph"/>
        <w:numPr>
          <w:ilvl w:val="0"/>
          <w:numId w:val="1"/>
        </w:numPr>
        <w:spacing w:after="0" w:line="276" w:lineRule="auto"/>
        <w:jc w:val="both"/>
        <w:rPr>
          <w:rFonts w:ascii="Arial" w:eastAsia="Times New Roman" w:hAnsi="Arial" w:cs="Arial"/>
          <w:snapToGrid w:val="0"/>
          <w:lang w:bidi="en-US"/>
        </w:rPr>
      </w:pPr>
      <w:r w:rsidRPr="0079569F">
        <w:rPr>
          <w:rFonts w:ascii="Arial" w:eastAsia="Times New Roman" w:hAnsi="Arial" w:cs="Arial"/>
          <w:snapToGrid w:val="0"/>
          <w:lang w:bidi="en-US"/>
        </w:rPr>
        <w:t xml:space="preserve">Msomi, N., </w:t>
      </w:r>
      <w:proofErr w:type="spellStart"/>
      <w:r w:rsidRPr="0079569F">
        <w:rPr>
          <w:rFonts w:ascii="Arial" w:eastAsia="Times New Roman" w:hAnsi="Arial" w:cs="Arial"/>
          <w:snapToGrid w:val="0"/>
          <w:lang w:bidi="en-US"/>
        </w:rPr>
        <w:t>Mlisana</w:t>
      </w:r>
      <w:proofErr w:type="spellEnd"/>
      <w:r w:rsidRPr="0079569F">
        <w:rPr>
          <w:rFonts w:ascii="Arial" w:eastAsia="Times New Roman" w:hAnsi="Arial" w:cs="Arial"/>
          <w:snapToGrid w:val="0"/>
          <w:lang w:bidi="en-US"/>
        </w:rPr>
        <w:t xml:space="preserve">, K., de Oliveira, T., Willianson, C., Bhiman, J.N., </w:t>
      </w:r>
      <w:proofErr w:type="spellStart"/>
      <w:r w:rsidRPr="0079569F">
        <w:rPr>
          <w:rFonts w:ascii="Arial" w:eastAsia="Times New Roman" w:hAnsi="Arial" w:cs="Arial"/>
          <w:snapToGrid w:val="0"/>
          <w:lang w:bidi="en-US"/>
        </w:rPr>
        <w:t>Goedhals</w:t>
      </w:r>
      <w:proofErr w:type="spellEnd"/>
      <w:r w:rsidRPr="0079569F">
        <w:rPr>
          <w:rFonts w:ascii="Arial" w:eastAsia="Times New Roman" w:hAnsi="Arial" w:cs="Arial"/>
          <w:snapToGrid w:val="0"/>
          <w:lang w:bidi="en-US"/>
        </w:rPr>
        <w:t xml:space="preserve">, D., Engelbrecht, S., Van Zyl, G., Preiser, W., Hardie, D. and Hsiao, M., 2020. A genomics network established to respond rapidly to public health threats in South Africa. The Lancet Microbe, 1(6), </w:t>
      </w:r>
      <w:proofErr w:type="gramStart"/>
      <w:r w:rsidRPr="0079569F">
        <w:rPr>
          <w:rFonts w:ascii="Arial" w:eastAsia="Times New Roman" w:hAnsi="Arial" w:cs="Arial"/>
          <w:snapToGrid w:val="0"/>
          <w:lang w:bidi="en-US"/>
        </w:rPr>
        <w:t>pp.e</w:t>
      </w:r>
      <w:proofErr w:type="gramEnd"/>
      <w:r w:rsidRPr="0079569F">
        <w:rPr>
          <w:rFonts w:ascii="Arial" w:eastAsia="Times New Roman" w:hAnsi="Arial" w:cs="Arial"/>
          <w:snapToGrid w:val="0"/>
          <w:lang w:bidi="en-US"/>
        </w:rPr>
        <w:t>229-e230.</w:t>
      </w:r>
    </w:p>
    <w:p w14:paraId="25B344DA" w14:textId="77777777" w:rsidR="00BA21E3" w:rsidRPr="0079569F" w:rsidRDefault="00BA21E3" w:rsidP="00BA21E3">
      <w:pPr>
        <w:pStyle w:val="ListParagraph"/>
        <w:numPr>
          <w:ilvl w:val="0"/>
          <w:numId w:val="1"/>
        </w:numPr>
        <w:spacing w:after="0" w:line="276" w:lineRule="auto"/>
        <w:jc w:val="both"/>
        <w:rPr>
          <w:rFonts w:ascii="Arial" w:eastAsia="Times New Roman" w:hAnsi="Arial" w:cs="Arial"/>
          <w:snapToGrid w:val="0"/>
          <w:lang w:bidi="en-US"/>
        </w:rPr>
      </w:pPr>
      <w:r w:rsidRPr="0079569F">
        <w:rPr>
          <w:rFonts w:ascii="Arial" w:eastAsia="Times New Roman" w:hAnsi="Arial" w:cs="Arial"/>
          <w:snapToGrid w:val="0"/>
          <w:lang w:bidi="en-US"/>
        </w:rPr>
        <w:t xml:space="preserve">Maponga, T.G., Jeffries, M., Tegally, H., Sutherland, A.D., Wilkinson, E., </w:t>
      </w:r>
      <w:proofErr w:type="spellStart"/>
      <w:r w:rsidRPr="0079569F">
        <w:rPr>
          <w:rFonts w:ascii="Arial" w:eastAsia="Times New Roman" w:hAnsi="Arial" w:cs="Arial"/>
          <w:snapToGrid w:val="0"/>
          <w:lang w:bidi="en-US"/>
        </w:rPr>
        <w:t>Lessells</w:t>
      </w:r>
      <w:proofErr w:type="spellEnd"/>
      <w:r w:rsidRPr="0079569F">
        <w:rPr>
          <w:rFonts w:ascii="Arial" w:eastAsia="Times New Roman" w:hAnsi="Arial" w:cs="Arial"/>
          <w:snapToGrid w:val="0"/>
          <w:lang w:bidi="en-US"/>
        </w:rPr>
        <w:t>, R., Msomi, N., van Zyl, G., de Oliveira, T. and Preiser, W., 2022. Persistent SARS-CoV-2 infection with accumulation of mutations in a patient with poorly controlled HIV infection. Available at SSRN 4014499.</w:t>
      </w:r>
    </w:p>
    <w:p w14:paraId="696522DA" w14:textId="77777777" w:rsidR="00BA21E3" w:rsidRDefault="00BA21E3" w:rsidP="00BA21E3">
      <w:pPr>
        <w:pStyle w:val="ListParagraph"/>
        <w:numPr>
          <w:ilvl w:val="0"/>
          <w:numId w:val="1"/>
        </w:numPr>
        <w:spacing w:after="0" w:line="276" w:lineRule="auto"/>
        <w:jc w:val="both"/>
        <w:rPr>
          <w:rFonts w:ascii="Arial" w:eastAsia="Times New Roman" w:hAnsi="Arial" w:cs="Arial"/>
          <w:snapToGrid w:val="0"/>
          <w:lang w:bidi="en-US"/>
        </w:rPr>
      </w:pPr>
      <w:r w:rsidRPr="0079569F">
        <w:rPr>
          <w:rFonts w:ascii="Arial" w:eastAsia="Times New Roman" w:hAnsi="Arial" w:cs="Arial"/>
          <w:snapToGrid w:val="0"/>
          <w:lang w:bidi="en-US"/>
        </w:rPr>
        <w:t xml:space="preserve">Corman, V.M., Landt, O., Kaiser, M., Molenkamp, R., Meijer, A., Chu, D.K., </w:t>
      </w:r>
      <w:proofErr w:type="spellStart"/>
      <w:r w:rsidRPr="0079569F">
        <w:rPr>
          <w:rFonts w:ascii="Arial" w:eastAsia="Times New Roman" w:hAnsi="Arial" w:cs="Arial"/>
          <w:snapToGrid w:val="0"/>
          <w:lang w:bidi="en-US"/>
        </w:rPr>
        <w:t>Bleicker</w:t>
      </w:r>
      <w:proofErr w:type="spellEnd"/>
      <w:r w:rsidRPr="0079569F">
        <w:rPr>
          <w:rFonts w:ascii="Arial" w:eastAsia="Times New Roman" w:hAnsi="Arial" w:cs="Arial"/>
          <w:snapToGrid w:val="0"/>
          <w:lang w:bidi="en-US"/>
        </w:rPr>
        <w:t xml:space="preserve">, T., </w:t>
      </w:r>
      <w:proofErr w:type="spellStart"/>
      <w:r w:rsidRPr="0079569F">
        <w:rPr>
          <w:rFonts w:ascii="Arial" w:eastAsia="Times New Roman" w:hAnsi="Arial" w:cs="Arial"/>
          <w:snapToGrid w:val="0"/>
          <w:lang w:bidi="en-US"/>
        </w:rPr>
        <w:t>Brünink</w:t>
      </w:r>
      <w:proofErr w:type="spellEnd"/>
      <w:r w:rsidRPr="0079569F">
        <w:rPr>
          <w:rFonts w:ascii="Arial" w:eastAsia="Times New Roman" w:hAnsi="Arial" w:cs="Arial"/>
          <w:snapToGrid w:val="0"/>
          <w:lang w:bidi="en-US"/>
        </w:rPr>
        <w:t>, S., Schneider, J., Schmidt, M.L. and Mulders, D.G., 2020. Detection of 2019 novel coronavirus (2019-nCoV) by real-time RT-PCR. Eurosurveillance, 25(3), p.2000045.</w:t>
      </w:r>
    </w:p>
    <w:p w14:paraId="5BA2E5CD" w14:textId="77777777" w:rsidR="00BA21E3" w:rsidRPr="0079569F" w:rsidRDefault="00BA21E3" w:rsidP="00BA21E3">
      <w:pPr>
        <w:pStyle w:val="ListParagraph"/>
        <w:numPr>
          <w:ilvl w:val="0"/>
          <w:numId w:val="1"/>
        </w:numPr>
        <w:spacing w:after="0" w:line="276" w:lineRule="auto"/>
        <w:jc w:val="both"/>
        <w:rPr>
          <w:rFonts w:ascii="Arial" w:eastAsia="Times New Roman" w:hAnsi="Arial" w:cs="Arial"/>
          <w:snapToGrid w:val="0"/>
          <w:lang w:bidi="en-US"/>
        </w:rPr>
      </w:pPr>
      <w:r w:rsidRPr="0079569F">
        <w:rPr>
          <w:rFonts w:ascii="Arial" w:eastAsia="Times New Roman" w:hAnsi="Arial" w:cs="Arial"/>
          <w:snapToGrid w:val="0"/>
          <w:lang w:bidi="en-US"/>
        </w:rPr>
        <w:t xml:space="preserve">O'Kennedy, M.M., Abolnik, C., Smith, T., Motlou, T., Goosen, K., Sepotokele, K.M., Roth, R., du Preez, I., Truyts, A., Stark, H.C. and Magwaza, M., Mahanjana, O., Verschoor, J.A., Moore, P.L., Lemmer, Y.  2023. Immunogenicity of adjuvanted plant-produced SARS-CoV-2 Beta Spike VLP vaccine in New Zealand white rabbits. </w:t>
      </w:r>
      <w:r w:rsidRPr="00B82B6B">
        <w:rPr>
          <w:rFonts w:ascii="Arial" w:eastAsia="Times New Roman" w:hAnsi="Arial" w:cs="Arial"/>
          <w:snapToGrid w:val="0"/>
          <w:lang w:bidi="en-US"/>
        </w:rPr>
        <w:t>Vaccine, 41(13), pp.2261-2269.</w:t>
      </w:r>
    </w:p>
    <w:p w14:paraId="64520670" w14:textId="77777777" w:rsidR="00BA21E3" w:rsidRPr="0079569F" w:rsidRDefault="00BA21E3" w:rsidP="00BA21E3">
      <w:pPr>
        <w:pStyle w:val="ListParagraph"/>
        <w:numPr>
          <w:ilvl w:val="0"/>
          <w:numId w:val="1"/>
        </w:numPr>
        <w:spacing w:after="0" w:line="276" w:lineRule="auto"/>
        <w:jc w:val="both"/>
        <w:rPr>
          <w:rFonts w:ascii="Arial" w:eastAsia="Times New Roman" w:hAnsi="Arial" w:cs="Arial"/>
          <w:snapToGrid w:val="0"/>
          <w:lang w:bidi="en-US"/>
        </w:rPr>
      </w:pPr>
      <w:proofErr w:type="spellStart"/>
      <w:r w:rsidRPr="0079569F">
        <w:rPr>
          <w:rFonts w:ascii="Arial" w:eastAsia="Times New Roman" w:hAnsi="Arial" w:cs="Arial"/>
          <w:snapToGrid w:val="0"/>
          <w:lang w:bidi="en-US"/>
        </w:rPr>
        <w:t>Sholukh</w:t>
      </w:r>
      <w:proofErr w:type="spellEnd"/>
      <w:r w:rsidRPr="0079569F">
        <w:rPr>
          <w:rFonts w:ascii="Arial" w:eastAsia="Times New Roman" w:hAnsi="Arial" w:cs="Arial"/>
          <w:snapToGrid w:val="0"/>
          <w:lang w:bidi="en-US"/>
        </w:rPr>
        <w:t xml:space="preserve">, A.M., Fiore-Gartland, A., Ford, E.S., Hou, Y.J., </w:t>
      </w:r>
      <w:proofErr w:type="spellStart"/>
      <w:r w:rsidRPr="0079569F">
        <w:rPr>
          <w:rFonts w:ascii="Arial" w:eastAsia="Times New Roman" w:hAnsi="Arial" w:cs="Arial"/>
          <w:snapToGrid w:val="0"/>
          <w:lang w:bidi="en-US"/>
        </w:rPr>
        <w:t>Tse</w:t>
      </w:r>
      <w:proofErr w:type="spellEnd"/>
      <w:r w:rsidRPr="0079569F">
        <w:rPr>
          <w:rFonts w:ascii="Arial" w:eastAsia="Times New Roman" w:hAnsi="Arial" w:cs="Arial"/>
          <w:snapToGrid w:val="0"/>
          <w:lang w:bidi="en-US"/>
        </w:rPr>
        <w:t xml:space="preserve">, V., Kaiser, H., Park, A., </w:t>
      </w:r>
      <w:proofErr w:type="spellStart"/>
      <w:r w:rsidRPr="0079569F">
        <w:rPr>
          <w:rFonts w:ascii="Arial" w:eastAsia="Times New Roman" w:hAnsi="Arial" w:cs="Arial"/>
          <w:snapToGrid w:val="0"/>
          <w:lang w:bidi="en-US"/>
        </w:rPr>
        <w:t>Lempp</w:t>
      </w:r>
      <w:proofErr w:type="spellEnd"/>
      <w:r w:rsidRPr="0079569F">
        <w:rPr>
          <w:rFonts w:ascii="Arial" w:eastAsia="Times New Roman" w:hAnsi="Arial" w:cs="Arial"/>
          <w:snapToGrid w:val="0"/>
          <w:lang w:bidi="en-US"/>
        </w:rPr>
        <w:t xml:space="preserve">, F.A., Germain, R.S., Bossard, E. and Kee, J.J., 2020. Evaluation of SARS-CoV-2 neutralization assays for antibody monitoring in natural infection and vaccine trials. </w:t>
      </w:r>
      <w:proofErr w:type="spellStart"/>
      <w:r w:rsidRPr="0079569F">
        <w:rPr>
          <w:rFonts w:ascii="Arial" w:eastAsia="Times New Roman" w:hAnsi="Arial" w:cs="Arial"/>
          <w:snapToGrid w:val="0"/>
          <w:lang w:bidi="en-US"/>
        </w:rPr>
        <w:t>medRxiv</w:t>
      </w:r>
      <w:proofErr w:type="spellEnd"/>
      <w:r w:rsidRPr="0079569F">
        <w:rPr>
          <w:rFonts w:ascii="Arial" w:eastAsia="Times New Roman" w:hAnsi="Arial" w:cs="Arial"/>
          <w:snapToGrid w:val="0"/>
          <w:lang w:bidi="en-US"/>
        </w:rPr>
        <w:t>, pp.2020-12.</w:t>
      </w:r>
    </w:p>
    <w:p w14:paraId="6B8154E6" w14:textId="77777777" w:rsidR="00BA21E3" w:rsidRPr="0079569F" w:rsidRDefault="00BA21E3" w:rsidP="00BA21E3">
      <w:pPr>
        <w:pStyle w:val="ListParagraph"/>
        <w:spacing w:after="0" w:line="276" w:lineRule="auto"/>
        <w:jc w:val="both"/>
        <w:rPr>
          <w:rFonts w:ascii="Arial" w:eastAsia="Times New Roman" w:hAnsi="Arial" w:cs="Arial"/>
          <w:snapToGrid w:val="0"/>
          <w:lang w:bidi="en-US"/>
        </w:rPr>
      </w:pPr>
    </w:p>
    <w:p w14:paraId="063488BE" w14:textId="77777777" w:rsidR="00BA21E3" w:rsidRPr="0079569F" w:rsidRDefault="00BA21E3" w:rsidP="00D17BEA">
      <w:pPr>
        <w:pStyle w:val="MDPI21heading1"/>
        <w:spacing w:line="276" w:lineRule="auto"/>
        <w:ind w:left="0"/>
        <w:jc w:val="both"/>
        <w:rPr>
          <w:rFonts w:ascii="Arial" w:hAnsi="Arial" w:cs="Arial"/>
          <w:b w:val="0"/>
          <w:bCs/>
          <w:sz w:val="22"/>
          <w:lang w:val="en-ZA"/>
        </w:rPr>
      </w:pPr>
    </w:p>
    <w:sectPr w:rsidR="00BA21E3" w:rsidRPr="0079569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1E6A9F"/>
    <w:multiLevelType w:val="hybridMultilevel"/>
    <w:tmpl w:val="130063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934029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3405"/>
    <w:rsid w:val="00024F27"/>
    <w:rsid w:val="001F02C5"/>
    <w:rsid w:val="001F38C5"/>
    <w:rsid w:val="003812C5"/>
    <w:rsid w:val="007B010A"/>
    <w:rsid w:val="007C039C"/>
    <w:rsid w:val="00854CE9"/>
    <w:rsid w:val="00A453BA"/>
    <w:rsid w:val="00BA21E3"/>
    <w:rsid w:val="00BA2D6E"/>
    <w:rsid w:val="00C33267"/>
    <w:rsid w:val="00D17BEA"/>
    <w:rsid w:val="00EA1A31"/>
    <w:rsid w:val="00EA3405"/>
    <w:rsid w:val="00F34B90"/>
    <w:rsid w:val="00FA62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A05989"/>
  <w15:chartTrackingRefBased/>
  <w15:docId w15:val="{19805A99-F6D1-4221-9562-2A69CF4DA4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A340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A340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A340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A340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A340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A340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A340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A340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A340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A340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A340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A340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A340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A340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A340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A340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A340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A3405"/>
    <w:rPr>
      <w:rFonts w:eastAsiaTheme="majorEastAsia" w:cstheme="majorBidi"/>
      <w:color w:val="272727" w:themeColor="text1" w:themeTint="D8"/>
    </w:rPr>
  </w:style>
  <w:style w:type="paragraph" w:styleId="Title">
    <w:name w:val="Title"/>
    <w:basedOn w:val="Normal"/>
    <w:next w:val="Normal"/>
    <w:link w:val="TitleChar"/>
    <w:uiPriority w:val="10"/>
    <w:qFormat/>
    <w:rsid w:val="00EA340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A340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A340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A340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A3405"/>
    <w:pPr>
      <w:spacing w:before="160"/>
      <w:jc w:val="center"/>
    </w:pPr>
    <w:rPr>
      <w:i/>
      <w:iCs/>
      <w:color w:val="404040" w:themeColor="text1" w:themeTint="BF"/>
    </w:rPr>
  </w:style>
  <w:style w:type="character" w:customStyle="1" w:styleId="QuoteChar">
    <w:name w:val="Quote Char"/>
    <w:basedOn w:val="DefaultParagraphFont"/>
    <w:link w:val="Quote"/>
    <w:uiPriority w:val="29"/>
    <w:rsid w:val="00EA3405"/>
    <w:rPr>
      <w:i/>
      <w:iCs/>
      <w:color w:val="404040" w:themeColor="text1" w:themeTint="BF"/>
    </w:rPr>
  </w:style>
  <w:style w:type="paragraph" w:styleId="ListParagraph">
    <w:name w:val="List Paragraph"/>
    <w:basedOn w:val="Normal"/>
    <w:uiPriority w:val="34"/>
    <w:qFormat/>
    <w:rsid w:val="00EA3405"/>
    <w:pPr>
      <w:ind w:left="720"/>
      <w:contextualSpacing/>
    </w:pPr>
  </w:style>
  <w:style w:type="character" w:styleId="IntenseEmphasis">
    <w:name w:val="Intense Emphasis"/>
    <w:basedOn w:val="DefaultParagraphFont"/>
    <w:uiPriority w:val="21"/>
    <w:qFormat/>
    <w:rsid w:val="00EA3405"/>
    <w:rPr>
      <w:i/>
      <w:iCs/>
      <w:color w:val="0F4761" w:themeColor="accent1" w:themeShade="BF"/>
    </w:rPr>
  </w:style>
  <w:style w:type="paragraph" w:styleId="IntenseQuote">
    <w:name w:val="Intense Quote"/>
    <w:basedOn w:val="Normal"/>
    <w:next w:val="Normal"/>
    <w:link w:val="IntenseQuoteChar"/>
    <w:uiPriority w:val="30"/>
    <w:qFormat/>
    <w:rsid w:val="00EA340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A3405"/>
    <w:rPr>
      <w:i/>
      <w:iCs/>
      <w:color w:val="0F4761" w:themeColor="accent1" w:themeShade="BF"/>
    </w:rPr>
  </w:style>
  <w:style w:type="character" w:styleId="IntenseReference">
    <w:name w:val="Intense Reference"/>
    <w:basedOn w:val="DefaultParagraphFont"/>
    <w:uiPriority w:val="32"/>
    <w:qFormat/>
    <w:rsid w:val="00EA3405"/>
    <w:rPr>
      <w:b/>
      <w:bCs/>
      <w:smallCaps/>
      <w:color w:val="0F4761" w:themeColor="accent1" w:themeShade="BF"/>
      <w:spacing w:val="5"/>
    </w:rPr>
  </w:style>
  <w:style w:type="paragraph" w:customStyle="1" w:styleId="MDPI21heading1">
    <w:name w:val="MDPI_2.1_heading1"/>
    <w:qFormat/>
    <w:rsid w:val="001F02C5"/>
    <w:pPr>
      <w:adjustRightInd w:val="0"/>
      <w:snapToGrid w:val="0"/>
      <w:spacing w:before="240" w:after="60" w:line="228" w:lineRule="auto"/>
      <w:ind w:left="2608"/>
      <w:outlineLvl w:val="0"/>
    </w:pPr>
    <w:rPr>
      <w:rFonts w:ascii="Palatino Linotype" w:eastAsia="Times New Roman" w:hAnsi="Palatino Linotype" w:cs="Times New Roman"/>
      <w:b/>
      <w:snapToGrid w:val="0"/>
      <w:color w:val="000000"/>
      <w:kern w:val="0"/>
      <w:sz w:val="20"/>
      <w:lang w:eastAsia="de-DE" w:bidi="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1247</Words>
  <Characters>7110</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Yolandy Lemmer</dc:creator>
  <cp:keywords/>
  <dc:description/>
  <cp:lastModifiedBy>Yolandy Lemmer</cp:lastModifiedBy>
  <cp:revision>2</cp:revision>
  <dcterms:created xsi:type="dcterms:W3CDTF">2024-01-11T09:59:00Z</dcterms:created>
  <dcterms:modified xsi:type="dcterms:W3CDTF">2024-01-11T09:59:00Z</dcterms:modified>
</cp:coreProperties>
</file>