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harts/chart1.xml" ContentType="application/vnd.openxmlformats-officedocument.drawingml.chart+xml"/>
  <Override PartName="/word/charts/chart2.xml" ContentType="application/vnd.openxmlformats-officedocument.drawingml.chart+xml"/>
  <Override PartName="/word/charts/chart3.xml" ContentType="application/vnd.openxmlformats-officedocument.drawingml.chart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7E4E5484" w14:textId="56E24410" w:rsidR="00FE6B9C" w:rsidRPr="00FE6B9C" w:rsidRDefault="00FE6B9C">
      <w:pPr>
        <w:rPr>
          <w:rFonts w:ascii="Times New Roman" w:hAnsi="Times New Roman" w:cs="Times New Roman"/>
          <w:b/>
          <w:color w:val="000000"/>
          <w:sz w:val="32"/>
          <w:szCs w:val="32"/>
          <w:u w:val="single"/>
        </w:rPr>
      </w:pPr>
      <w:bookmarkStart w:id="0" w:name="_GoBack"/>
      <w:bookmarkEnd w:id="0"/>
      <w:r w:rsidRPr="00FE6B9C">
        <w:rPr>
          <w:rFonts w:ascii="Times New Roman" w:hAnsi="Times New Roman" w:cs="Times New Roman"/>
          <w:b/>
          <w:color w:val="000000"/>
          <w:sz w:val="32"/>
          <w:szCs w:val="32"/>
          <w:u w:val="single"/>
        </w:rPr>
        <w:t>Additional file 3: Figures</w:t>
      </w:r>
      <w:r>
        <w:rPr>
          <w:rFonts w:ascii="Times New Roman" w:hAnsi="Times New Roman" w:cs="Times New Roman"/>
          <w:b/>
          <w:color w:val="000000"/>
          <w:sz w:val="32"/>
          <w:szCs w:val="32"/>
          <w:u w:val="single"/>
        </w:rPr>
        <w:t xml:space="preserve"> S</w:t>
      </w:r>
      <w:r w:rsidR="003F511D">
        <w:rPr>
          <w:rFonts w:ascii="Times New Roman" w:hAnsi="Times New Roman" w:cs="Times New Roman"/>
          <w:b/>
          <w:color w:val="000000"/>
          <w:sz w:val="32"/>
          <w:szCs w:val="32"/>
          <w:u w:val="single"/>
        </w:rPr>
        <w:t>1 – S4</w:t>
      </w:r>
    </w:p>
    <w:p w14:paraId="3CF9D66C" w14:textId="77777777" w:rsidR="00FE6B9C" w:rsidRDefault="00FE6B9C">
      <w:pPr>
        <w:rPr>
          <w:rFonts w:ascii="Times New Roman" w:hAnsi="Times New Roman" w:cs="Times New Roman"/>
          <w:b/>
          <w:color w:val="000000"/>
        </w:rPr>
      </w:pPr>
    </w:p>
    <w:p w14:paraId="57A3C5A6" w14:textId="77777777" w:rsidR="00FE6B9C" w:rsidRDefault="00FE6B9C">
      <w:pPr>
        <w:rPr>
          <w:color w:val="FF0000"/>
        </w:rPr>
      </w:pPr>
    </w:p>
    <w:p w14:paraId="7F4F0AED" w14:textId="77777777" w:rsidR="00FE6B9C" w:rsidRDefault="00FE6B9C">
      <w:pPr>
        <w:rPr>
          <w:color w:val="FF0000"/>
        </w:rPr>
      </w:pPr>
    </w:p>
    <w:p w14:paraId="1D8B777E" w14:textId="15A4DEB2" w:rsidR="008A68F9" w:rsidRPr="00F913D5" w:rsidRDefault="0079533B">
      <w:pPr>
        <w:rPr>
          <w:color w:val="FF0000"/>
        </w:rPr>
      </w:pPr>
      <w:r>
        <w:rPr>
          <w:noProof/>
          <w:color w:val="FF0000"/>
          <w:lang w:val="en-ZA" w:eastAsia="en-ZA"/>
        </w:rPr>
        <w:lastRenderedPageBreak/>
        <w:drawing>
          <wp:inline distT="0" distB="0" distL="0" distR="0" wp14:anchorId="710004A3" wp14:editId="7E2D743E">
            <wp:extent cx="8801100" cy="4681220"/>
            <wp:effectExtent l="0" t="0" r="12700" b="0"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result.dat-4.jpg"/>
                    <pic:cNvPicPr/>
                  </pic:nvPicPr>
                  <pic:blipFill rotWithShape="1"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5094" t="6034" r="882" b="6192"/>
                    <a:stretch/>
                  </pic:blipFill>
                  <pic:spPr bwMode="auto">
                    <a:xfrm>
                      <a:off x="0" y="0"/>
                      <a:ext cx="8801100" cy="468122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4E385E23" w14:textId="764A8CFF" w:rsidR="008A68F9" w:rsidRDefault="00EF7BC9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  <w:color w:val="000000"/>
        </w:rPr>
        <w:t>Additional file 3</w:t>
      </w:r>
      <w:r w:rsidRPr="001A4000">
        <w:rPr>
          <w:rFonts w:ascii="Times New Roman" w:hAnsi="Times New Roman" w:cs="Times New Roman"/>
          <w:b/>
          <w:color w:val="000000"/>
        </w:rPr>
        <w:t xml:space="preserve">: </w:t>
      </w:r>
      <w:r>
        <w:rPr>
          <w:rFonts w:ascii="Times New Roman" w:hAnsi="Times New Roman" w:cs="Times New Roman"/>
          <w:b/>
          <w:color w:val="000000"/>
        </w:rPr>
        <w:t>Figure</w:t>
      </w:r>
      <w:r w:rsidRPr="001A4000">
        <w:rPr>
          <w:rFonts w:ascii="Times New Roman" w:hAnsi="Times New Roman" w:cs="Times New Roman"/>
          <w:b/>
          <w:color w:val="000000"/>
        </w:rPr>
        <w:t xml:space="preserve"> S1. </w:t>
      </w:r>
      <w:proofErr w:type="gramStart"/>
      <w:r w:rsidR="0079533B" w:rsidRPr="0012743A">
        <w:rPr>
          <w:rFonts w:ascii="Times New Roman" w:hAnsi="Times New Roman" w:cs="Times New Roman"/>
          <w:b/>
          <w:bCs/>
        </w:rPr>
        <w:t xml:space="preserve">Gene Ontology </w:t>
      </w:r>
      <w:r w:rsidR="004D0ABD">
        <w:rPr>
          <w:rFonts w:ascii="Times New Roman" w:hAnsi="Times New Roman" w:cs="Times New Roman"/>
          <w:b/>
          <w:bCs/>
        </w:rPr>
        <w:t xml:space="preserve">(GO) </w:t>
      </w:r>
      <w:r w:rsidR="00732F07" w:rsidRPr="0012743A">
        <w:rPr>
          <w:rFonts w:ascii="Times New Roman" w:hAnsi="Times New Roman" w:cs="Times New Roman"/>
          <w:b/>
          <w:bCs/>
          <w:lang w:val="en-GB"/>
        </w:rPr>
        <w:t>characterisation</w:t>
      </w:r>
      <w:r w:rsidR="0079533B" w:rsidRPr="0012743A">
        <w:rPr>
          <w:rFonts w:ascii="Times New Roman" w:hAnsi="Times New Roman" w:cs="Times New Roman"/>
          <w:b/>
          <w:bCs/>
        </w:rPr>
        <w:t xml:space="preserve"> of the</w:t>
      </w:r>
      <w:r w:rsidR="0079533B" w:rsidRPr="0012743A">
        <w:rPr>
          <w:rFonts w:ascii="Times New Roman" w:hAnsi="Times New Roman" w:cs="Times New Roman"/>
          <w:b/>
          <w:bCs/>
          <w:i/>
          <w:iCs/>
        </w:rPr>
        <w:t xml:space="preserve"> R. </w:t>
      </w:r>
      <w:r w:rsidR="00732F07" w:rsidRPr="0012743A">
        <w:rPr>
          <w:rFonts w:ascii="Times New Roman" w:hAnsi="Times New Roman" w:cs="Times New Roman"/>
          <w:b/>
          <w:bCs/>
          <w:i/>
          <w:iCs/>
        </w:rPr>
        <w:t>zambeziensis</w:t>
      </w:r>
      <w:r w:rsidR="0079533B" w:rsidRPr="0012743A">
        <w:rPr>
          <w:rFonts w:ascii="Times New Roman" w:hAnsi="Times New Roman" w:cs="Times New Roman"/>
          <w:b/>
          <w:bCs/>
          <w:i/>
          <w:iCs/>
        </w:rPr>
        <w:t xml:space="preserve"> </w:t>
      </w:r>
      <w:r w:rsidR="0079533B" w:rsidRPr="0012743A">
        <w:rPr>
          <w:rFonts w:ascii="Times New Roman" w:hAnsi="Times New Roman" w:cs="Times New Roman"/>
          <w:b/>
          <w:bCs/>
        </w:rPr>
        <w:t>transcriptome.</w:t>
      </w:r>
      <w:proofErr w:type="gramEnd"/>
      <w:r w:rsidR="0079533B" w:rsidRPr="0012743A">
        <w:rPr>
          <w:rFonts w:ascii="Times New Roman" w:hAnsi="Times New Roman" w:cs="Times New Roman"/>
          <w:b/>
          <w:bCs/>
        </w:rPr>
        <w:t xml:space="preserve"> </w:t>
      </w:r>
      <w:r w:rsidR="0012743A">
        <w:rPr>
          <w:rFonts w:ascii="Times New Roman" w:hAnsi="Times New Roman" w:cs="Times New Roman"/>
          <w:bCs/>
        </w:rPr>
        <w:t>Level 2</w:t>
      </w:r>
      <w:r w:rsidR="00732F07" w:rsidRPr="0012743A">
        <w:rPr>
          <w:rFonts w:ascii="Times New Roman" w:hAnsi="Times New Roman" w:cs="Times New Roman"/>
          <w:bCs/>
        </w:rPr>
        <w:t xml:space="preserve"> </w:t>
      </w:r>
      <w:r w:rsidR="004D0ABD">
        <w:rPr>
          <w:rFonts w:ascii="Times New Roman" w:hAnsi="Times New Roman" w:cs="Times New Roman"/>
          <w:bCs/>
        </w:rPr>
        <w:t xml:space="preserve">GO terms of </w:t>
      </w:r>
      <w:r w:rsidR="0079533B" w:rsidRPr="0012743A">
        <w:rPr>
          <w:rFonts w:ascii="Times New Roman" w:hAnsi="Times New Roman" w:cs="Times New Roman"/>
        </w:rPr>
        <w:t xml:space="preserve">cellular components, molecular functions and biological processes </w:t>
      </w:r>
      <w:r w:rsidR="0012743A">
        <w:rPr>
          <w:rFonts w:ascii="Times New Roman" w:hAnsi="Times New Roman" w:cs="Times New Roman"/>
        </w:rPr>
        <w:t xml:space="preserve">were </w:t>
      </w:r>
      <w:proofErr w:type="spellStart"/>
      <w:r w:rsidR="002255A4">
        <w:rPr>
          <w:rFonts w:ascii="Times New Roman" w:hAnsi="Times New Roman" w:cs="Times New Roman"/>
        </w:rPr>
        <w:t>visualised</w:t>
      </w:r>
      <w:proofErr w:type="spellEnd"/>
      <w:r w:rsidR="0012743A">
        <w:rPr>
          <w:rFonts w:ascii="Times New Roman" w:hAnsi="Times New Roman" w:cs="Times New Roman"/>
        </w:rPr>
        <w:t xml:space="preserve"> </w:t>
      </w:r>
      <w:r w:rsidR="00375BAA">
        <w:rPr>
          <w:rFonts w:ascii="Times New Roman" w:hAnsi="Times New Roman" w:cs="Times New Roman"/>
        </w:rPr>
        <w:t>using</w:t>
      </w:r>
      <w:r w:rsidR="0012743A">
        <w:rPr>
          <w:rFonts w:ascii="Times New Roman" w:hAnsi="Times New Roman" w:cs="Times New Roman"/>
        </w:rPr>
        <w:t xml:space="preserve"> </w:t>
      </w:r>
      <w:r w:rsidR="00732F07" w:rsidRPr="0012743A">
        <w:rPr>
          <w:rFonts w:ascii="Times New Roman" w:hAnsi="Times New Roman" w:cs="Times New Roman"/>
        </w:rPr>
        <w:t>WEGO (</w:t>
      </w:r>
      <w:r w:rsidR="0079533B" w:rsidRPr="0012743A">
        <w:rPr>
          <w:rFonts w:ascii="Times New Roman" w:hAnsi="Times New Roman" w:cs="Times New Roman"/>
        </w:rPr>
        <w:t>Web Gen</w:t>
      </w:r>
      <w:r w:rsidR="00631CDF">
        <w:rPr>
          <w:rFonts w:ascii="Times New Roman" w:hAnsi="Times New Roman" w:cs="Times New Roman"/>
        </w:rPr>
        <w:t>e Ontology Annotation Plot</w:t>
      </w:r>
      <w:r w:rsidR="0079533B" w:rsidRPr="0012743A">
        <w:rPr>
          <w:rFonts w:ascii="Times New Roman" w:hAnsi="Times New Roman" w:cs="Times New Roman"/>
        </w:rPr>
        <w:t>)</w:t>
      </w:r>
      <w:r w:rsidR="0012743A">
        <w:rPr>
          <w:rFonts w:ascii="Times New Roman" w:hAnsi="Times New Roman" w:cs="Times New Roman"/>
        </w:rPr>
        <w:t>.</w:t>
      </w:r>
      <w:r w:rsidR="00F16A49">
        <w:rPr>
          <w:rFonts w:ascii="Times New Roman" w:hAnsi="Times New Roman" w:cs="Times New Roman"/>
        </w:rPr>
        <w:t xml:space="preserve"> These included </w:t>
      </w:r>
      <w:r w:rsidR="00F16A49" w:rsidRPr="00F16A49">
        <w:rPr>
          <w:rFonts w:ascii="Times New Roman" w:hAnsi="Times New Roman" w:cs="Times New Roman"/>
        </w:rPr>
        <w:t>18</w:t>
      </w:r>
      <w:r w:rsidR="00F16A49">
        <w:rPr>
          <w:rFonts w:ascii="Times New Roman" w:hAnsi="Times New Roman" w:cs="Times New Roman"/>
        </w:rPr>
        <w:t xml:space="preserve"> </w:t>
      </w:r>
      <w:r w:rsidR="00F16A49" w:rsidRPr="00F16A49">
        <w:rPr>
          <w:rFonts w:ascii="Times New Roman" w:hAnsi="Times New Roman" w:cs="Times New Roman"/>
        </w:rPr>
        <w:t>436</w:t>
      </w:r>
      <w:r w:rsidR="00F16A49">
        <w:rPr>
          <w:rFonts w:ascii="Times New Roman" w:hAnsi="Times New Roman" w:cs="Times New Roman"/>
        </w:rPr>
        <w:t xml:space="preserve"> cellular components</w:t>
      </w:r>
      <w:r w:rsidR="00F16A49" w:rsidRPr="00F16A49">
        <w:rPr>
          <w:rFonts w:ascii="Times New Roman" w:hAnsi="Times New Roman" w:cs="Times New Roman"/>
        </w:rPr>
        <w:t>, 20</w:t>
      </w:r>
      <w:r w:rsidR="00F16A49">
        <w:rPr>
          <w:rFonts w:ascii="Times New Roman" w:hAnsi="Times New Roman" w:cs="Times New Roman"/>
        </w:rPr>
        <w:t xml:space="preserve"> </w:t>
      </w:r>
      <w:r w:rsidR="00F16A49" w:rsidRPr="00F16A49">
        <w:rPr>
          <w:rFonts w:ascii="Times New Roman" w:hAnsi="Times New Roman" w:cs="Times New Roman"/>
        </w:rPr>
        <w:t>487</w:t>
      </w:r>
      <w:r w:rsidR="00F16A49">
        <w:rPr>
          <w:rFonts w:ascii="Times New Roman" w:hAnsi="Times New Roman" w:cs="Times New Roman"/>
        </w:rPr>
        <w:t xml:space="preserve"> biological processes and</w:t>
      </w:r>
      <w:r w:rsidR="00F16A49" w:rsidRPr="00F16A49">
        <w:rPr>
          <w:rFonts w:ascii="Times New Roman" w:hAnsi="Times New Roman" w:cs="Times New Roman"/>
        </w:rPr>
        <w:t xml:space="preserve"> 9659</w:t>
      </w:r>
      <w:r w:rsidR="00F16A49">
        <w:rPr>
          <w:rFonts w:ascii="Times New Roman" w:hAnsi="Times New Roman" w:cs="Times New Roman"/>
        </w:rPr>
        <w:t xml:space="preserve"> molecular f</w:t>
      </w:r>
      <w:r w:rsidR="00F16A49" w:rsidRPr="00F16A49">
        <w:rPr>
          <w:rFonts w:ascii="Times New Roman" w:hAnsi="Times New Roman" w:cs="Times New Roman"/>
        </w:rPr>
        <w:t>unction</w:t>
      </w:r>
      <w:r w:rsidR="00F16A49">
        <w:rPr>
          <w:rFonts w:ascii="Times New Roman" w:hAnsi="Times New Roman" w:cs="Times New Roman"/>
        </w:rPr>
        <w:t xml:space="preserve">s. </w:t>
      </w:r>
    </w:p>
    <w:p w14:paraId="0E37A4C1" w14:textId="77777777" w:rsidR="00FE6B9C" w:rsidRDefault="00FE6B9C" w:rsidP="00FE6B9C">
      <w:pPr>
        <w:rPr>
          <w:noProof/>
        </w:rPr>
      </w:pPr>
      <w:r>
        <w:rPr>
          <w:noProof/>
          <w:lang w:val="en-ZA" w:eastAsia="en-ZA"/>
        </w:rPr>
        <w:lastRenderedPageBreak/>
        <w:drawing>
          <wp:inline distT="0" distB="0" distL="0" distR="0" wp14:anchorId="42ED3F04" wp14:editId="22975505">
            <wp:extent cx="8801100" cy="4914900"/>
            <wp:effectExtent l="0" t="0" r="0" b="0"/>
            <wp:docPr id="4" name="Chart 4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8"/>
              </a:graphicData>
            </a:graphic>
          </wp:inline>
        </w:drawing>
      </w:r>
    </w:p>
    <w:p w14:paraId="07B842F4" w14:textId="2BCC3AC4" w:rsidR="00FE6B9C" w:rsidRDefault="00FE6B9C" w:rsidP="00FE6B9C">
      <w:r>
        <w:rPr>
          <w:rFonts w:ascii="Times New Roman" w:hAnsi="Times New Roman" w:cs="Times New Roman"/>
          <w:b/>
          <w:color w:val="000000"/>
        </w:rPr>
        <w:t>Additional file 3</w:t>
      </w:r>
      <w:r w:rsidRPr="001A4000">
        <w:rPr>
          <w:rFonts w:ascii="Times New Roman" w:hAnsi="Times New Roman" w:cs="Times New Roman"/>
          <w:b/>
          <w:color w:val="000000"/>
        </w:rPr>
        <w:t xml:space="preserve">: </w:t>
      </w:r>
      <w:r>
        <w:rPr>
          <w:rFonts w:ascii="Times New Roman" w:hAnsi="Times New Roman" w:cs="Times New Roman"/>
          <w:b/>
          <w:color w:val="000000"/>
        </w:rPr>
        <w:t xml:space="preserve">Figure S2. </w:t>
      </w:r>
      <w:proofErr w:type="gramStart"/>
      <w:r w:rsidRPr="00060F14">
        <w:rPr>
          <w:rFonts w:ascii="Times New Roman" w:hAnsi="Times New Roman" w:cs="Times New Roman"/>
          <w:b/>
          <w:bCs/>
        </w:rPr>
        <w:t xml:space="preserve">KOG clustering of </w:t>
      </w:r>
      <w:r w:rsidRPr="00060F14">
        <w:rPr>
          <w:rFonts w:ascii="Times New Roman" w:hAnsi="Times New Roman" w:cs="Times New Roman"/>
          <w:b/>
          <w:bCs/>
          <w:i/>
          <w:iCs/>
        </w:rPr>
        <w:t xml:space="preserve">R. zambeziensis </w:t>
      </w:r>
      <w:r w:rsidRPr="00060F14">
        <w:rPr>
          <w:rFonts w:ascii="Times New Roman" w:hAnsi="Times New Roman" w:cs="Times New Roman"/>
          <w:b/>
          <w:bCs/>
        </w:rPr>
        <w:t>transcripts.</w:t>
      </w:r>
      <w:proofErr w:type="gramEnd"/>
      <w:r w:rsidRPr="00060F14">
        <w:rPr>
          <w:rFonts w:ascii="Times New Roman" w:hAnsi="Times New Roman" w:cs="Times New Roman"/>
          <w:b/>
          <w:bCs/>
        </w:rPr>
        <w:t xml:space="preserve"> </w:t>
      </w:r>
      <w:r w:rsidRPr="00060F14">
        <w:rPr>
          <w:rFonts w:ascii="Times New Roman" w:hAnsi="Times New Roman" w:cs="Times New Roman"/>
        </w:rPr>
        <w:t xml:space="preserve">In total, </w:t>
      </w:r>
      <w:r>
        <w:rPr>
          <w:rFonts w:ascii="Times New Roman" w:hAnsi="Times New Roman" w:cs="Times New Roman"/>
          <w:bCs/>
        </w:rPr>
        <w:t>9620</w:t>
      </w:r>
      <w:r w:rsidRPr="00060F14">
        <w:rPr>
          <w:rFonts w:ascii="Times New Roman" w:hAnsi="Times New Roman" w:cs="Times New Roman"/>
          <w:bCs/>
        </w:rPr>
        <w:t xml:space="preserve"> </w:t>
      </w:r>
      <w:r w:rsidRPr="00060F14">
        <w:rPr>
          <w:rFonts w:ascii="Times New Roman" w:hAnsi="Times New Roman" w:cs="Times New Roman"/>
          <w:bCs/>
          <w:i/>
          <w:iCs/>
        </w:rPr>
        <w:t>R. zambeziensis</w:t>
      </w:r>
      <w:r w:rsidRPr="00060F14">
        <w:rPr>
          <w:rFonts w:ascii="Times New Roman" w:hAnsi="Times New Roman" w:cs="Times New Roman"/>
          <w:bCs/>
        </w:rPr>
        <w:t xml:space="preserve"> transcripts </w:t>
      </w:r>
      <w:r>
        <w:rPr>
          <w:rFonts w:ascii="Times New Roman" w:hAnsi="Times New Roman" w:cs="Times New Roman"/>
          <w:bCs/>
        </w:rPr>
        <w:t>were</w:t>
      </w:r>
      <w:r w:rsidRPr="00060F14">
        <w:rPr>
          <w:rFonts w:ascii="Times New Roman" w:hAnsi="Times New Roman" w:cs="Times New Roman"/>
          <w:bCs/>
        </w:rPr>
        <w:t xml:space="preserve"> assigned to 25 </w:t>
      </w:r>
      <w:r w:rsidRPr="00060F14">
        <w:rPr>
          <w:rFonts w:ascii="Times New Roman" w:hAnsi="Times New Roman" w:cs="Times New Roman"/>
        </w:rPr>
        <w:t xml:space="preserve">Eukaryotic Clusters of </w:t>
      </w:r>
      <w:proofErr w:type="spellStart"/>
      <w:r w:rsidRPr="00060F14">
        <w:rPr>
          <w:rFonts w:ascii="Times New Roman" w:hAnsi="Times New Roman" w:cs="Times New Roman"/>
        </w:rPr>
        <w:t>Orthologs</w:t>
      </w:r>
      <w:proofErr w:type="spellEnd"/>
      <w:r w:rsidRPr="00060F14">
        <w:rPr>
          <w:rFonts w:ascii="Times New Roman" w:hAnsi="Times New Roman" w:cs="Times New Roman"/>
        </w:rPr>
        <w:t xml:space="preserve"> (KOG) </w:t>
      </w:r>
      <w:r w:rsidRPr="00060F14">
        <w:rPr>
          <w:rFonts w:ascii="Times New Roman" w:hAnsi="Times New Roman" w:cs="Times New Roman"/>
          <w:bCs/>
        </w:rPr>
        <w:t xml:space="preserve">functional categories, </w:t>
      </w:r>
      <w:r>
        <w:rPr>
          <w:rFonts w:ascii="Times New Roman" w:hAnsi="Times New Roman" w:cs="Times New Roman"/>
          <w:bCs/>
        </w:rPr>
        <w:t>of which</w:t>
      </w:r>
      <w:r w:rsidRPr="00060F14">
        <w:rPr>
          <w:rFonts w:ascii="Times New Roman" w:hAnsi="Times New Roman" w:cs="Times New Roman"/>
          <w:bCs/>
        </w:rPr>
        <w:t xml:space="preserve"> 3814</w:t>
      </w:r>
      <w:r>
        <w:rPr>
          <w:rFonts w:ascii="Times New Roman" w:hAnsi="Times New Roman" w:cs="Times New Roman"/>
          <w:bCs/>
        </w:rPr>
        <w:t xml:space="preserve"> were</w:t>
      </w:r>
      <w:r w:rsidRPr="00060F14">
        <w:rPr>
          <w:rFonts w:ascii="Times New Roman" w:hAnsi="Times New Roman" w:cs="Times New Roman"/>
          <w:bCs/>
        </w:rPr>
        <w:t xml:space="preserve"> unique KOG terms</w:t>
      </w:r>
      <w:r w:rsidRPr="00060F14">
        <w:rPr>
          <w:rFonts w:ascii="Times New Roman" w:hAnsi="Times New Roman" w:cs="Times New Roman"/>
          <w:b/>
          <w:bCs/>
        </w:rPr>
        <w:t>.</w:t>
      </w:r>
    </w:p>
    <w:p w14:paraId="39F745E0" w14:textId="77777777" w:rsidR="00FE6B9C" w:rsidRDefault="00FE6B9C" w:rsidP="00FE6B9C">
      <w:r>
        <w:rPr>
          <w:noProof/>
          <w:lang w:val="en-ZA" w:eastAsia="en-ZA"/>
        </w:rPr>
        <w:lastRenderedPageBreak/>
        <w:drawing>
          <wp:inline distT="0" distB="0" distL="0" distR="0" wp14:anchorId="7B3F25C5" wp14:editId="4098ECCE">
            <wp:extent cx="8801100" cy="4686300"/>
            <wp:effectExtent l="0" t="0" r="0" b="0"/>
            <wp:docPr id="1" name="Chart 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9"/>
              </a:graphicData>
            </a:graphic>
          </wp:inline>
        </w:drawing>
      </w:r>
    </w:p>
    <w:p w14:paraId="5E4074DF" w14:textId="77777777" w:rsidR="00FE6B9C" w:rsidRDefault="00FE6B9C" w:rsidP="00FE6B9C">
      <w:pPr>
        <w:rPr>
          <w:rFonts w:ascii="Times New Roman Bold" w:hAnsi="Times New Roman Bold"/>
          <w:color w:val="000000"/>
        </w:rPr>
      </w:pPr>
    </w:p>
    <w:p w14:paraId="69D06853" w14:textId="2C0CCD6E" w:rsidR="00FE6B9C" w:rsidRDefault="00FE6B9C" w:rsidP="00FE6B9C">
      <w:r>
        <w:rPr>
          <w:rFonts w:ascii="Times New Roman" w:hAnsi="Times New Roman" w:cs="Times New Roman"/>
          <w:b/>
          <w:color w:val="000000"/>
        </w:rPr>
        <w:t>Additional file 3</w:t>
      </w:r>
      <w:r w:rsidRPr="001A4000">
        <w:rPr>
          <w:rFonts w:ascii="Times New Roman" w:hAnsi="Times New Roman" w:cs="Times New Roman"/>
          <w:b/>
          <w:color w:val="000000"/>
        </w:rPr>
        <w:t xml:space="preserve">: </w:t>
      </w:r>
      <w:r>
        <w:rPr>
          <w:rFonts w:ascii="Times New Roman" w:hAnsi="Times New Roman" w:cs="Times New Roman"/>
          <w:b/>
          <w:color w:val="000000"/>
        </w:rPr>
        <w:t xml:space="preserve">Figure S3. </w:t>
      </w:r>
      <w:r>
        <w:rPr>
          <w:rFonts w:ascii="Times New Roman Bold" w:hAnsi="Times New Roman Bold"/>
          <w:color w:val="000000"/>
        </w:rPr>
        <w:t>Top 30 most abundant KEGG p</w:t>
      </w:r>
      <w:r w:rsidRPr="007A1808">
        <w:rPr>
          <w:rFonts w:ascii="Times New Roman Bold" w:hAnsi="Times New Roman Bold"/>
          <w:color w:val="000000"/>
        </w:rPr>
        <w:t xml:space="preserve">athways identified in the </w:t>
      </w:r>
      <w:r w:rsidRPr="007A1808">
        <w:rPr>
          <w:rFonts w:ascii="Times New Roman Bold Italic" w:hAnsi="Times New Roman Bold Italic"/>
          <w:color w:val="000000"/>
        </w:rPr>
        <w:t>R. zambeziensis</w:t>
      </w:r>
      <w:r w:rsidRPr="007A1808">
        <w:rPr>
          <w:rFonts w:ascii="Times New Roman Bold" w:hAnsi="Times New Roman Bold"/>
          <w:color w:val="000000"/>
        </w:rPr>
        <w:t xml:space="preserve"> transcriptome. </w:t>
      </w:r>
      <w:r w:rsidRPr="00CB6C68">
        <w:rPr>
          <w:rFonts w:ascii="Times New Roman" w:hAnsi="Times New Roman" w:cs="Times New Roman"/>
          <w:color w:val="000000"/>
        </w:rPr>
        <w:t xml:space="preserve">Four thousand eight hundred and </w:t>
      </w:r>
      <w:r>
        <w:rPr>
          <w:rFonts w:ascii="Times New Roman" w:hAnsi="Times New Roman" w:cs="Times New Roman"/>
          <w:color w:val="000000"/>
        </w:rPr>
        <w:t xml:space="preserve">sixty nine </w:t>
      </w:r>
      <w:r w:rsidRPr="007A1808">
        <w:rPr>
          <w:rFonts w:ascii="Times New Roman" w:hAnsi="Times New Roman" w:cs="Times New Roman"/>
          <w:color w:val="000000"/>
        </w:rPr>
        <w:t xml:space="preserve">transcripts were assigned to 338 </w:t>
      </w:r>
      <w:r w:rsidRPr="007A1808">
        <w:rPr>
          <w:rFonts w:ascii="Times New Roman Italic" w:hAnsi="Times New Roman Italic"/>
          <w:color w:val="000000"/>
        </w:rPr>
        <w:t>I. scapularis</w:t>
      </w:r>
      <w:r w:rsidRPr="007A1808">
        <w:rPr>
          <w:rFonts w:ascii="Times New Roman" w:hAnsi="Times New Roman" w:cs="Times New Roman"/>
          <w:color w:val="000000"/>
        </w:rPr>
        <w:t xml:space="preserve"> Kyoto Encyclopedia of Genes and Genomes (KEGG) pathways. </w:t>
      </w:r>
    </w:p>
    <w:p w14:paraId="6495167C" w14:textId="77777777" w:rsidR="00FE6B9C" w:rsidRPr="00732F07" w:rsidRDefault="00FE6B9C" w:rsidP="00FE6B9C">
      <w:pPr>
        <w:rPr>
          <w:rFonts w:ascii="Times New Roman" w:hAnsi="Times New Roman" w:cs="Times New Roman"/>
          <w:b/>
          <w:bCs/>
          <w:color w:val="FF0000"/>
        </w:rPr>
      </w:pPr>
      <w:r>
        <w:rPr>
          <w:noProof/>
          <w:lang w:val="en-ZA" w:eastAsia="en-ZA"/>
        </w:rPr>
        <w:lastRenderedPageBreak/>
        <w:drawing>
          <wp:inline distT="0" distB="0" distL="0" distR="0" wp14:anchorId="180B662B" wp14:editId="085B44EF">
            <wp:extent cx="8915400" cy="4686300"/>
            <wp:effectExtent l="0" t="0" r="0" b="0"/>
            <wp:docPr id="3" name="Chart 3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0"/>
              </a:graphicData>
            </a:graphic>
          </wp:inline>
        </w:drawing>
      </w:r>
    </w:p>
    <w:p w14:paraId="7A53182F" w14:textId="11BAE62D" w:rsidR="00FE6B9C" w:rsidRPr="00FE6B9C" w:rsidRDefault="00FE6B9C" w:rsidP="003F511D">
      <w:pPr>
        <w:rPr>
          <w:rFonts w:ascii="Times New Roman" w:hAnsi="Times New Roman" w:cs="Times New Roman"/>
          <w:lang w:val="en-ZA"/>
        </w:rPr>
      </w:pPr>
      <w:r>
        <w:rPr>
          <w:rFonts w:ascii="Times New Roman" w:hAnsi="Times New Roman" w:cs="Times New Roman"/>
          <w:b/>
          <w:bCs/>
        </w:rPr>
        <w:t>Additional file 3</w:t>
      </w:r>
      <w:r w:rsidRPr="002B2830">
        <w:rPr>
          <w:rFonts w:ascii="Times New Roman" w:hAnsi="Times New Roman" w:cs="Times New Roman"/>
          <w:b/>
          <w:bCs/>
        </w:rPr>
        <w:t>: Figure S4</w:t>
      </w:r>
      <w:r>
        <w:rPr>
          <w:rFonts w:ascii="Times New Roman" w:hAnsi="Times New Roman" w:cs="Times New Roman"/>
          <w:b/>
          <w:bCs/>
        </w:rPr>
        <w:t xml:space="preserve">. </w:t>
      </w:r>
      <w:r w:rsidRPr="00EF4F51">
        <w:rPr>
          <w:rFonts w:ascii="Times New Roman" w:hAnsi="Times New Roman" w:cs="Times New Roman"/>
          <w:b/>
          <w:bCs/>
        </w:rPr>
        <w:t xml:space="preserve">Top 30 </w:t>
      </w:r>
      <w:proofErr w:type="spellStart"/>
      <w:r w:rsidRPr="00EF4F51">
        <w:rPr>
          <w:rFonts w:ascii="Times New Roman" w:hAnsi="Times New Roman" w:cs="Times New Roman"/>
          <w:b/>
          <w:bCs/>
        </w:rPr>
        <w:t>Pfam</w:t>
      </w:r>
      <w:proofErr w:type="spellEnd"/>
      <w:r w:rsidRPr="00EF4F51">
        <w:rPr>
          <w:rFonts w:ascii="Times New Roman" w:hAnsi="Times New Roman" w:cs="Times New Roman"/>
          <w:b/>
          <w:bCs/>
        </w:rPr>
        <w:t xml:space="preserve"> domain occurrences in the </w:t>
      </w:r>
      <w:r w:rsidRPr="00EF4F51">
        <w:rPr>
          <w:rFonts w:ascii="Times New Roman" w:hAnsi="Times New Roman" w:cs="Times New Roman"/>
          <w:b/>
          <w:i/>
        </w:rPr>
        <w:t>R. zambeziensis</w:t>
      </w:r>
      <w:r w:rsidRPr="00EF4F51">
        <w:rPr>
          <w:rFonts w:ascii="Times New Roman" w:hAnsi="Times New Roman" w:cs="Times New Roman"/>
          <w:b/>
        </w:rPr>
        <w:t xml:space="preserve"> </w:t>
      </w:r>
      <w:r w:rsidRPr="00EF4F51">
        <w:rPr>
          <w:rFonts w:ascii="Times New Roman" w:hAnsi="Times New Roman" w:cs="Times New Roman"/>
          <w:b/>
          <w:bCs/>
        </w:rPr>
        <w:t xml:space="preserve">predicted proteins. </w:t>
      </w:r>
      <w:r w:rsidRPr="00EF4F51">
        <w:rPr>
          <w:rFonts w:ascii="Times New Roman" w:hAnsi="Times New Roman" w:cs="Times New Roman"/>
        </w:rPr>
        <w:t xml:space="preserve">A total of 13 451 </w:t>
      </w:r>
      <w:proofErr w:type="spellStart"/>
      <w:r>
        <w:rPr>
          <w:rFonts w:ascii="Times New Roman" w:hAnsi="Times New Roman" w:cs="Times New Roman"/>
        </w:rPr>
        <w:t>Pfam</w:t>
      </w:r>
      <w:proofErr w:type="spellEnd"/>
      <w:r>
        <w:rPr>
          <w:rFonts w:ascii="Times New Roman" w:hAnsi="Times New Roman" w:cs="Times New Roman"/>
        </w:rPr>
        <w:t xml:space="preserve"> domains were observed </w:t>
      </w:r>
      <w:r w:rsidRPr="00EF4F51">
        <w:rPr>
          <w:rFonts w:ascii="Times New Roman" w:hAnsi="Times New Roman" w:cs="Times New Roman"/>
        </w:rPr>
        <w:t xml:space="preserve">in the </w:t>
      </w:r>
      <w:r w:rsidRPr="00EF4F51">
        <w:rPr>
          <w:rFonts w:ascii="Times New Roman" w:hAnsi="Times New Roman" w:cs="Times New Roman"/>
          <w:i/>
        </w:rPr>
        <w:t xml:space="preserve">R. zambeziensis </w:t>
      </w:r>
      <w:r w:rsidRPr="00EF4F51">
        <w:rPr>
          <w:rFonts w:ascii="Times New Roman" w:hAnsi="Times New Roman" w:cs="Times New Roman"/>
        </w:rPr>
        <w:t>proteins</w:t>
      </w:r>
      <w:r>
        <w:rPr>
          <w:rFonts w:ascii="Times New Roman" w:hAnsi="Times New Roman" w:cs="Times New Roman"/>
        </w:rPr>
        <w:t xml:space="preserve">, of which 3601 were unique. Eight thousand and sixty one of the proteins contained at least one </w:t>
      </w:r>
      <w:proofErr w:type="spellStart"/>
      <w:r>
        <w:rPr>
          <w:rFonts w:ascii="Times New Roman" w:hAnsi="Times New Roman" w:cs="Times New Roman"/>
        </w:rPr>
        <w:t>Pfam</w:t>
      </w:r>
      <w:proofErr w:type="spellEnd"/>
      <w:r>
        <w:rPr>
          <w:rFonts w:ascii="Times New Roman" w:hAnsi="Times New Roman" w:cs="Times New Roman"/>
        </w:rPr>
        <w:t xml:space="preserve"> domain.</w:t>
      </w:r>
    </w:p>
    <w:sectPr w:rsidR="00FE6B9C" w:rsidRPr="00FE6B9C" w:rsidSect="00FE6B9C">
      <w:footerReference w:type="even" r:id="rId11"/>
      <w:footerReference w:type="default" r:id="rId12"/>
      <w:pgSz w:w="16840" w:h="11900" w:orient="landscape"/>
      <w:pgMar w:top="1800" w:right="1440" w:bottom="180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0CB81A6A" w14:textId="77777777" w:rsidR="00FE6B9C" w:rsidRDefault="00FE6B9C" w:rsidP="00FE6B9C">
      <w:r>
        <w:separator/>
      </w:r>
    </w:p>
  </w:endnote>
  <w:endnote w:type="continuationSeparator" w:id="0">
    <w:p w14:paraId="57CBEC13" w14:textId="77777777" w:rsidR="00FE6B9C" w:rsidRDefault="00FE6B9C" w:rsidP="00FE6B9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Times New Roman Bold">
    <w:panose1 w:val="02020803070505020304"/>
    <w:charset w:val="00"/>
    <w:family w:val="auto"/>
    <w:pitch w:val="variable"/>
    <w:sig w:usb0="E0002AFF" w:usb1="C0007841" w:usb2="00000009" w:usb3="00000000" w:csb0="000001FF" w:csb1="00000000"/>
  </w:font>
  <w:font w:name="Times New Roman Bold Italic">
    <w:panose1 w:val="02020703060505090304"/>
    <w:charset w:val="00"/>
    <w:family w:val="auto"/>
    <w:pitch w:val="variable"/>
    <w:sig w:usb0="E0000AFF" w:usb1="00007843" w:usb2="00000001" w:usb3="00000000" w:csb0="000001BF" w:csb1="00000000"/>
  </w:font>
  <w:font w:name="Times New Roman Italic">
    <w:panose1 w:val="02020503050405090304"/>
    <w:charset w:val="00"/>
    <w:family w:val="auto"/>
    <w:pitch w:val="variable"/>
    <w:sig w:usb0="E0000AFF" w:usb1="00007843" w:usb2="00000001" w:usb3="00000000" w:csb0="000001B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2D0155E" w14:textId="77777777" w:rsidR="00FE6B9C" w:rsidRDefault="00FE6B9C" w:rsidP="0035344B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606BCE24" w14:textId="77777777" w:rsidR="00FE6B9C" w:rsidRDefault="00FE6B9C" w:rsidP="00FE6B9C">
    <w:pPr>
      <w:pStyle w:val="Footer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A101D68" w14:textId="77777777" w:rsidR="00FE6B9C" w:rsidRDefault="00FE6B9C" w:rsidP="0035344B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 w:rsidR="00797F2A">
      <w:rPr>
        <w:rStyle w:val="PageNumber"/>
        <w:noProof/>
      </w:rPr>
      <w:t>5</w:t>
    </w:r>
    <w:r>
      <w:rPr>
        <w:rStyle w:val="PageNumber"/>
      </w:rPr>
      <w:fldChar w:fldCharType="end"/>
    </w:r>
  </w:p>
  <w:p w14:paraId="12A1F3BC" w14:textId="77777777" w:rsidR="00FE6B9C" w:rsidRDefault="00FE6B9C" w:rsidP="00FE6B9C">
    <w:pPr>
      <w:pStyle w:val="Footer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73D277E8" w14:textId="77777777" w:rsidR="00FE6B9C" w:rsidRDefault="00FE6B9C" w:rsidP="00FE6B9C">
      <w:r>
        <w:separator/>
      </w:r>
    </w:p>
  </w:footnote>
  <w:footnote w:type="continuationSeparator" w:id="0">
    <w:p w14:paraId="515282F6" w14:textId="77777777" w:rsidR="00FE6B9C" w:rsidRDefault="00FE6B9C" w:rsidP="00FE6B9C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A68F9"/>
    <w:rsid w:val="00026672"/>
    <w:rsid w:val="00046E33"/>
    <w:rsid w:val="00060F14"/>
    <w:rsid w:val="000A412F"/>
    <w:rsid w:val="000B097D"/>
    <w:rsid w:val="00103B93"/>
    <w:rsid w:val="0012743A"/>
    <w:rsid w:val="002255A4"/>
    <w:rsid w:val="0023673D"/>
    <w:rsid w:val="00271C6B"/>
    <w:rsid w:val="00375BAA"/>
    <w:rsid w:val="003F0046"/>
    <w:rsid w:val="003F511D"/>
    <w:rsid w:val="0044179C"/>
    <w:rsid w:val="004D0ABD"/>
    <w:rsid w:val="00621E8E"/>
    <w:rsid w:val="00631CDF"/>
    <w:rsid w:val="006E2EE3"/>
    <w:rsid w:val="00732F07"/>
    <w:rsid w:val="00761CB0"/>
    <w:rsid w:val="0079533B"/>
    <w:rsid w:val="00797F2A"/>
    <w:rsid w:val="008A68F9"/>
    <w:rsid w:val="009E3139"/>
    <w:rsid w:val="00CB6C68"/>
    <w:rsid w:val="00D476DC"/>
    <w:rsid w:val="00DE4D69"/>
    <w:rsid w:val="00DE76DC"/>
    <w:rsid w:val="00E340BD"/>
    <w:rsid w:val="00E9049E"/>
    <w:rsid w:val="00EF4F51"/>
    <w:rsid w:val="00EF7BC9"/>
    <w:rsid w:val="00F16A49"/>
    <w:rsid w:val="00F913D5"/>
    <w:rsid w:val="00FB3E88"/>
    <w:rsid w:val="00FE6B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0673599B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8A68F9"/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A68F9"/>
    <w:rPr>
      <w:rFonts w:ascii="Lucida Grande" w:hAnsi="Lucida Grande" w:cs="Lucida Grande"/>
      <w:sz w:val="18"/>
      <w:szCs w:val="18"/>
    </w:rPr>
  </w:style>
  <w:style w:type="character" w:styleId="Hyperlink">
    <w:name w:val="Hyperlink"/>
    <w:basedOn w:val="DefaultParagraphFont"/>
    <w:uiPriority w:val="99"/>
    <w:unhideWhenUsed/>
    <w:rsid w:val="0012743A"/>
    <w:rPr>
      <w:color w:val="0000FF" w:themeColor="hyperlink"/>
      <w:u w:val="single"/>
    </w:rPr>
  </w:style>
  <w:style w:type="paragraph" w:styleId="Footer">
    <w:name w:val="footer"/>
    <w:basedOn w:val="Normal"/>
    <w:link w:val="FooterChar"/>
    <w:uiPriority w:val="99"/>
    <w:unhideWhenUsed/>
    <w:rsid w:val="00FE6B9C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FE6B9C"/>
  </w:style>
  <w:style w:type="character" w:styleId="PageNumber">
    <w:name w:val="page number"/>
    <w:basedOn w:val="DefaultParagraphFont"/>
    <w:uiPriority w:val="99"/>
    <w:semiHidden/>
    <w:unhideWhenUsed/>
    <w:rsid w:val="00FE6B9C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8A68F9"/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A68F9"/>
    <w:rPr>
      <w:rFonts w:ascii="Lucida Grande" w:hAnsi="Lucida Grande" w:cs="Lucida Grande"/>
      <w:sz w:val="18"/>
      <w:szCs w:val="18"/>
    </w:rPr>
  </w:style>
  <w:style w:type="character" w:styleId="Hyperlink">
    <w:name w:val="Hyperlink"/>
    <w:basedOn w:val="DefaultParagraphFont"/>
    <w:uiPriority w:val="99"/>
    <w:unhideWhenUsed/>
    <w:rsid w:val="0012743A"/>
    <w:rPr>
      <w:color w:val="0000FF" w:themeColor="hyperlink"/>
      <w:u w:val="single"/>
    </w:rPr>
  </w:style>
  <w:style w:type="paragraph" w:styleId="Footer">
    <w:name w:val="footer"/>
    <w:basedOn w:val="Normal"/>
    <w:link w:val="FooterChar"/>
    <w:uiPriority w:val="99"/>
    <w:unhideWhenUsed/>
    <w:rsid w:val="00FE6B9C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FE6B9C"/>
  </w:style>
  <w:style w:type="character" w:styleId="PageNumber">
    <w:name w:val="page number"/>
    <w:basedOn w:val="DefaultParagraphFont"/>
    <w:uiPriority w:val="99"/>
    <w:semiHidden/>
    <w:unhideWhenUsed/>
    <w:rsid w:val="00FE6B9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hart" Target="charts/chart1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jpg"/><Relationship Id="rId12" Type="http://schemas.openxmlformats.org/officeDocument/2006/relationships/footer" Target="footer2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0" Type="http://schemas.openxmlformats.org/officeDocument/2006/relationships/chart" Target="charts/chart3.xml"/><Relationship Id="rId4" Type="http://schemas.openxmlformats.org/officeDocument/2006/relationships/webSettings" Target="webSettings.xml"/><Relationship Id="rId9" Type="http://schemas.openxmlformats.org/officeDocument/2006/relationships/chart" Target="charts/chart2.xml"/><Relationship Id="rId14" Type="http://schemas.openxmlformats.org/officeDocument/2006/relationships/theme" Target="theme/theme1.xml"/></Relationships>
</file>

<file path=word/charts/_rels/chart1.xml.rels><?xml version="1.0" encoding="UTF-8" standalone="yes"?>
<Relationships xmlns="http://schemas.openxmlformats.org/package/2006/relationships"><Relationship Id="rId1" Type="http://schemas.openxmlformats.org/officeDocument/2006/relationships/oleObject" Target="Macintosh%20HD:Users:minique:Documents:FTS:RZAM:Trinity_assemblies:200bpand%3e:BLAST:transcripts_blastX:KOG:23632_vs_KOG_LE2_sort_awk.xlsx" TargetMode="External"/></Relationships>
</file>

<file path=word/charts/_rels/chart2.xml.rels><?xml version="1.0" encoding="UTF-8" standalone="yes"?>
<Relationships xmlns="http://schemas.openxmlformats.org/package/2006/relationships"><Relationship Id="rId1" Type="http://schemas.openxmlformats.org/officeDocument/2006/relationships/oleObject" Target="Macintosh%20HD:Users:minique:Documents:FTS:RZAM:Trinity_assemblies:200bpand%3e:BLAST:transcripts_blastX:KO-KEGG-fromKAAS-based%20on%20ixo%20KO%20terms:KEGG%20from%20KAAS.xlsx" TargetMode="External"/></Relationships>
</file>

<file path=word/charts/_rels/chart3.xml.rels><?xml version="1.0" encoding="UTF-8" standalone="yes"?>
<Relationships xmlns="http://schemas.openxmlformats.org/package/2006/relationships"><Relationship Id="rId1" Type="http://schemas.openxmlformats.org/officeDocument/2006/relationships/oleObject" Target="Macintosh%20HD:Users:minique:Documents:FTS:RZAM:Trinity_assemblies:200bpand%3e:13583_ORFS:Domain%20searches:13535_pfam.xlsx" TargetMode="Externa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en-ZA"/>
  <c:roundedCorners val="0"/>
  <mc:AlternateContent xmlns:mc="http://schemas.openxmlformats.org/markup-compatibility/2006">
    <mc:Choice xmlns:c14="http://schemas.microsoft.com/office/drawing/2007/8/2/chart" Requires="c14">
      <c14:style val="118"/>
    </mc:Choice>
    <mc:Fallback>
      <c:style val="18"/>
    </mc:Fallback>
  </mc:AlternateContent>
  <c:chart>
    <c:autoTitleDeleted val="0"/>
    <c:plotArea>
      <c:layout>
        <c:manualLayout>
          <c:layoutTarget val="inner"/>
          <c:xMode val="edge"/>
          <c:yMode val="edge"/>
          <c:x val="0.14062219495290401"/>
          <c:y val="1.7391304347826101E-2"/>
          <c:w val="0.84061878628807796"/>
          <c:h val="0.47764053406367701"/>
        </c:manualLayout>
      </c:layout>
      <c:barChart>
        <c:barDir val="col"/>
        <c:grouping val="clustered"/>
        <c:varyColors val="0"/>
        <c:ser>
          <c:idx val="0"/>
          <c:order val="0"/>
          <c:spPr>
            <a:solidFill>
              <a:srgbClr val="404040"/>
            </a:solidFill>
          </c:spPr>
          <c:invertIfNegative val="0"/>
          <c:cat>
            <c:strRef>
              <c:f>'23632_vs_KOG_LE2_sort_awk.t (3)'!$B$1:$B$26</c:f>
              <c:strCache>
                <c:ptCount val="26"/>
                <c:pt idx="0">
                  <c:v>A: RNA processing and modification</c:v>
                </c:pt>
                <c:pt idx="1">
                  <c:v>B: Chromatin structure and dynamics</c:v>
                </c:pt>
                <c:pt idx="2">
                  <c:v>C: Energy production and conversion</c:v>
                </c:pt>
                <c:pt idx="3">
                  <c:v>D: Cell cycle control, cell division, chromosome partitioning</c:v>
                </c:pt>
                <c:pt idx="4">
                  <c:v>E: Amino acid transport and metabolism</c:v>
                </c:pt>
                <c:pt idx="5">
                  <c:v>F: Nucleotide transport and metabolism</c:v>
                </c:pt>
                <c:pt idx="6">
                  <c:v>G: Carbohydrate transport and metabolism</c:v>
                </c:pt>
                <c:pt idx="7">
                  <c:v>H: Coenzyme transport and metabolism</c:v>
                </c:pt>
                <c:pt idx="8">
                  <c:v>I: Lipid transport and metabolism</c:v>
                </c:pt>
                <c:pt idx="9">
                  <c:v>J: Translation, ribosomal structure and biogenesis</c:v>
                </c:pt>
                <c:pt idx="10">
                  <c:v>K: Transcription</c:v>
                </c:pt>
                <c:pt idx="11">
                  <c:v>L: Replication, recombination and repair</c:v>
                </c:pt>
                <c:pt idx="12">
                  <c:v>M: Cell wall/membrane/envelope biogenesis</c:v>
                </c:pt>
                <c:pt idx="13">
                  <c:v>N: Cell motility</c:v>
                </c:pt>
                <c:pt idx="14">
                  <c:v>O: Posttranslational modification, protein turnover, chaperones</c:v>
                </c:pt>
                <c:pt idx="15">
                  <c:v>P: Inorganic ion transport and metabolism</c:v>
                </c:pt>
                <c:pt idx="16">
                  <c:v>Q: Secondary metabolites biosynthesis, transport and catabolism</c:v>
                </c:pt>
                <c:pt idx="17">
                  <c:v>R: General function prediction only</c:v>
                </c:pt>
                <c:pt idx="18">
                  <c:v>S: Function unknown</c:v>
                </c:pt>
                <c:pt idx="19">
                  <c:v>T: Signal transduction mechanisms</c:v>
                </c:pt>
                <c:pt idx="20">
                  <c:v>U: Intracellular trafficking, secretion, and vesicular transport</c:v>
                </c:pt>
                <c:pt idx="21">
                  <c:v>V: Defense mechanisms</c:v>
                </c:pt>
                <c:pt idx="22">
                  <c:v>W: Extracellular structures</c:v>
                </c:pt>
                <c:pt idx="23">
                  <c:v>X: Multiple functions</c:v>
                </c:pt>
                <c:pt idx="24">
                  <c:v>Y: Nuclear structure</c:v>
                </c:pt>
                <c:pt idx="25">
                  <c:v>Z: Cytoskeleton</c:v>
                </c:pt>
              </c:strCache>
            </c:strRef>
          </c:cat>
          <c:val>
            <c:numRef>
              <c:f>'23632_vs_KOG_LE2_sort_awk.t (3)'!$C$1:$C$26</c:f>
              <c:numCache>
                <c:formatCode>General</c:formatCode>
                <c:ptCount val="26"/>
                <c:pt idx="0">
                  <c:v>566</c:v>
                </c:pt>
                <c:pt idx="1">
                  <c:v>196</c:v>
                </c:pt>
                <c:pt idx="2">
                  <c:v>329</c:v>
                </c:pt>
                <c:pt idx="3">
                  <c:v>283</c:v>
                </c:pt>
                <c:pt idx="4">
                  <c:v>365</c:v>
                </c:pt>
                <c:pt idx="5">
                  <c:v>143</c:v>
                </c:pt>
                <c:pt idx="6">
                  <c:v>369</c:v>
                </c:pt>
                <c:pt idx="7">
                  <c:v>81</c:v>
                </c:pt>
                <c:pt idx="8">
                  <c:v>392</c:v>
                </c:pt>
                <c:pt idx="9">
                  <c:v>521</c:v>
                </c:pt>
                <c:pt idx="10">
                  <c:v>803</c:v>
                </c:pt>
                <c:pt idx="11">
                  <c:v>223</c:v>
                </c:pt>
                <c:pt idx="12">
                  <c:v>96</c:v>
                </c:pt>
                <c:pt idx="13">
                  <c:v>11</c:v>
                </c:pt>
                <c:pt idx="14">
                  <c:v>1336</c:v>
                </c:pt>
                <c:pt idx="15">
                  <c:v>228</c:v>
                </c:pt>
                <c:pt idx="16">
                  <c:v>99</c:v>
                </c:pt>
                <c:pt idx="17">
                  <c:v>1267</c:v>
                </c:pt>
                <c:pt idx="18">
                  <c:v>864</c:v>
                </c:pt>
                <c:pt idx="19">
                  <c:v>1187</c:v>
                </c:pt>
                <c:pt idx="20">
                  <c:v>644</c:v>
                </c:pt>
                <c:pt idx="21">
                  <c:v>98</c:v>
                </c:pt>
                <c:pt idx="22">
                  <c:v>99</c:v>
                </c:pt>
                <c:pt idx="24">
                  <c:v>52</c:v>
                </c:pt>
                <c:pt idx="25">
                  <c:v>364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axId val="65640320"/>
        <c:axId val="65642496"/>
      </c:barChart>
      <c:catAx>
        <c:axId val="65640320"/>
        <c:scaling>
          <c:orientation val="minMax"/>
        </c:scaling>
        <c:delete val="0"/>
        <c:axPos val="b"/>
        <c:title>
          <c:tx>
            <c:rich>
              <a:bodyPr/>
              <a:lstStyle/>
              <a:p>
                <a:pPr>
                  <a:defRPr/>
                </a:pPr>
                <a:r>
                  <a:rPr lang="en-US"/>
                  <a:t>KOG functional classes</a:t>
                </a:r>
              </a:p>
            </c:rich>
          </c:tx>
          <c:overlay val="0"/>
        </c:title>
        <c:majorTickMark val="out"/>
        <c:minorTickMark val="none"/>
        <c:tickLblPos val="nextTo"/>
        <c:txPr>
          <a:bodyPr/>
          <a:lstStyle/>
          <a:p>
            <a:pPr>
              <a:defRPr sz="900"/>
            </a:pPr>
            <a:endParaRPr lang="en-US"/>
          </a:p>
        </c:txPr>
        <c:crossAx val="65642496"/>
        <c:crosses val="autoZero"/>
        <c:auto val="1"/>
        <c:lblAlgn val="ctr"/>
        <c:lblOffset val="100"/>
        <c:noMultiLvlLbl val="0"/>
      </c:catAx>
      <c:valAx>
        <c:axId val="65642496"/>
        <c:scaling>
          <c:orientation val="minMax"/>
          <c:max val="1400"/>
        </c:scaling>
        <c:delete val="0"/>
        <c:axPos val="l"/>
        <c:title>
          <c:tx>
            <c:rich>
              <a:bodyPr rot="-5400000" vert="horz"/>
              <a:lstStyle/>
              <a:p>
                <a:pPr>
                  <a:defRPr/>
                </a:pPr>
                <a:r>
                  <a:rPr lang="en-US"/>
                  <a:t>Number of transcripts</a:t>
                </a:r>
              </a:p>
            </c:rich>
          </c:tx>
          <c:overlay val="0"/>
        </c:title>
        <c:numFmt formatCode="General" sourceLinked="1"/>
        <c:majorTickMark val="out"/>
        <c:minorTickMark val="none"/>
        <c:tickLblPos val="nextTo"/>
        <c:crossAx val="65640320"/>
        <c:crosses val="autoZero"/>
        <c:crossBetween val="between"/>
      </c:valAx>
    </c:plotArea>
    <c:plotVisOnly val="1"/>
    <c:dispBlanksAs val="gap"/>
    <c:showDLblsOverMax val="0"/>
  </c:chart>
  <c:spPr>
    <a:ln>
      <a:noFill/>
    </a:ln>
  </c:spPr>
  <c:externalData r:id="rId1">
    <c:autoUpdate val="0"/>
  </c:externalData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en-ZA"/>
  <c:roundedCorners val="0"/>
  <mc:AlternateContent xmlns:mc="http://schemas.openxmlformats.org/markup-compatibility/2006">
    <mc:Choice xmlns:c14="http://schemas.microsoft.com/office/drawing/2007/8/2/chart" Requires="c14">
      <c14:style val="118"/>
    </mc:Choice>
    <mc:Fallback>
      <c:style val="18"/>
    </mc:Fallback>
  </mc:AlternateContent>
  <c:chart>
    <c:autoTitleDeleted val="0"/>
    <c:plotArea>
      <c:layout>
        <c:manualLayout>
          <c:layoutTarget val="inner"/>
          <c:xMode val="edge"/>
          <c:yMode val="edge"/>
          <c:x val="9.39954316934873E-2"/>
          <c:y val="1.6260162601626001E-2"/>
          <c:w val="0.88705413098872798"/>
          <c:h val="0.57188464246847204"/>
        </c:manualLayout>
      </c:layout>
      <c:barChart>
        <c:barDir val="col"/>
        <c:grouping val="clustered"/>
        <c:varyColors val="0"/>
        <c:ser>
          <c:idx val="0"/>
          <c:order val="0"/>
          <c:spPr>
            <a:solidFill>
              <a:schemeClr val="tx1">
                <a:lumMod val="75000"/>
                <a:lumOff val="25000"/>
              </a:schemeClr>
            </a:solidFill>
            <a:ln>
              <a:solidFill>
                <a:schemeClr val="tx1">
                  <a:lumMod val="75000"/>
                  <a:lumOff val="25000"/>
                </a:schemeClr>
              </a:solidFill>
            </a:ln>
          </c:spPr>
          <c:invertIfNegative val="0"/>
          <c:cat>
            <c:strRef>
              <c:f>more.txt!$B$1:$B$30</c:f>
              <c:strCache>
                <c:ptCount val="30"/>
                <c:pt idx="0">
                  <c:v>Ribosome</c:v>
                </c:pt>
                <c:pt idx="1">
                  <c:v>RNA transport</c:v>
                </c:pt>
                <c:pt idx="2">
                  <c:v>Spliceosome</c:v>
                </c:pt>
                <c:pt idx="3">
                  <c:v>Protein processing in endoplasmic reticulum</c:v>
                </c:pt>
                <c:pt idx="4">
                  <c:v>Endocytosis</c:v>
                </c:pt>
                <c:pt idx="5">
                  <c:v>Huntington's disease</c:v>
                </c:pt>
                <c:pt idx="6">
                  <c:v>Pathways in cancer</c:v>
                </c:pt>
                <c:pt idx="7">
                  <c:v>Purine metabolism</c:v>
                </c:pt>
                <c:pt idx="8">
                  <c:v>Epstein-Barr virus infection</c:v>
                </c:pt>
                <c:pt idx="9">
                  <c:v>Alzheimer's disease</c:v>
                </c:pt>
                <c:pt idx="10">
                  <c:v>Oxidative phosphorylation</c:v>
                </c:pt>
                <c:pt idx="11">
                  <c:v>Non-alcoholic fatty liver disease - NAFLD</c:v>
                </c:pt>
                <c:pt idx="12">
                  <c:v>Carbon metabolism</c:v>
                </c:pt>
                <c:pt idx="13">
                  <c:v>Parkinson's disease</c:v>
                </c:pt>
                <c:pt idx="14">
                  <c:v>Ubiquitin mediated proteolysis</c:v>
                </c:pt>
                <c:pt idx="15">
                  <c:v>HTLV-I infection</c:v>
                </c:pt>
                <c:pt idx="16">
                  <c:v>Viral carcinogenesis</c:v>
                </c:pt>
                <c:pt idx="17">
                  <c:v>Ribosome biogenesis in eukaryotes</c:v>
                </c:pt>
                <c:pt idx="18">
                  <c:v>PI3K-Akt signaling pathway</c:v>
                </c:pt>
                <c:pt idx="19">
                  <c:v>Pyrimidine metabolism</c:v>
                </c:pt>
                <c:pt idx="20">
                  <c:v>MAPK signaling pathway</c:v>
                </c:pt>
                <c:pt idx="21">
                  <c:v>Lysosome</c:v>
                </c:pt>
                <c:pt idx="22">
                  <c:v>Cell cycle</c:v>
                </c:pt>
                <c:pt idx="23">
                  <c:v>mTOR signaling pathway</c:v>
                </c:pt>
                <c:pt idx="24">
                  <c:v>Regulation of actin cytoskeleton</c:v>
                </c:pt>
                <c:pt idx="25">
                  <c:v>mRNA surveillance pathway</c:v>
                </c:pt>
                <c:pt idx="26">
                  <c:v>Herpes simplex infection</c:v>
                </c:pt>
                <c:pt idx="27">
                  <c:v>Focal adhesion</c:v>
                </c:pt>
                <c:pt idx="28">
                  <c:v>AMPK signaling pathway</c:v>
                </c:pt>
                <c:pt idx="29">
                  <c:v>Insulin signaling pathway</c:v>
                </c:pt>
              </c:strCache>
            </c:strRef>
          </c:cat>
          <c:val>
            <c:numRef>
              <c:f>more.txt!$C$1:$C$30</c:f>
              <c:numCache>
                <c:formatCode>General</c:formatCode>
                <c:ptCount val="30"/>
                <c:pt idx="0">
                  <c:v>104</c:v>
                </c:pt>
                <c:pt idx="1">
                  <c:v>99</c:v>
                </c:pt>
                <c:pt idx="2">
                  <c:v>96</c:v>
                </c:pt>
                <c:pt idx="3">
                  <c:v>94</c:v>
                </c:pt>
                <c:pt idx="4">
                  <c:v>93</c:v>
                </c:pt>
                <c:pt idx="5">
                  <c:v>85</c:v>
                </c:pt>
                <c:pt idx="6">
                  <c:v>82</c:v>
                </c:pt>
                <c:pt idx="7">
                  <c:v>77</c:v>
                </c:pt>
                <c:pt idx="8">
                  <c:v>76</c:v>
                </c:pt>
                <c:pt idx="9">
                  <c:v>73</c:v>
                </c:pt>
                <c:pt idx="10">
                  <c:v>68</c:v>
                </c:pt>
                <c:pt idx="11">
                  <c:v>66</c:v>
                </c:pt>
                <c:pt idx="12">
                  <c:v>65</c:v>
                </c:pt>
                <c:pt idx="13">
                  <c:v>64</c:v>
                </c:pt>
                <c:pt idx="14">
                  <c:v>62</c:v>
                </c:pt>
                <c:pt idx="15">
                  <c:v>62</c:v>
                </c:pt>
                <c:pt idx="16">
                  <c:v>58</c:v>
                </c:pt>
                <c:pt idx="17">
                  <c:v>57</c:v>
                </c:pt>
                <c:pt idx="18">
                  <c:v>56</c:v>
                </c:pt>
                <c:pt idx="19">
                  <c:v>55</c:v>
                </c:pt>
                <c:pt idx="20">
                  <c:v>55</c:v>
                </c:pt>
                <c:pt idx="21">
                  <c:v>51</c:v>
                </c:pt>
                <c:pt idx="22">
                  <c:v>51</c:v>
                </c:pt>
                <c:pt idx="23">
                  <c:v>50</c:v>
                </c:pt>
                <c:pt idx="24">
                  <c:v>48</c:v>
                </c:pt>
                <c:pt idx="25">
                  <c:v>47</c:v>
                </c:pt>
                <c:pt idx="26">
                  <c:v>47</c:v>
                </c:pt>
                <c:pt idx="27">
                  <c:v>45</c:v>
                </c:pt>
                <c:pt idx="28">
                  <c:v>44</c:v>
                </c:pt>
                <c:pt idx="29">
                  <c:v>44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axId val="65945984"/>
        <c:axId val="65947904"/>
      </c:barChart>
      <c:catAx>
        <c:axId val="65945984"/>
        <c:scaling>
          <c:orientation val="minMax"/>
        </c:scaling>
        <c:delete val="0"/>
        <c:axPos val="b"/>
        <c:title>
          <c:tx>
            <c:rich>
              <a:bodyPr/>
              <a:lstStyle/>
              <a:p>
                <a:pPr>
                  <a:defRPr/>
                </a:pPr>
                <a:r>
                  <a:rPr lang="en-US"/>
                  <a:t>KEGG pathway</a:t>
                </a:r>
              </a:p>
            </c:rich>
          </c:tx>
          <c:overlay val="0"/>
        </c:title>
        <c:majorTickMark val="out"/>
        <c:minorTickMark val="none"/>
        <c:tickLblPos val="nextTo"/>
        <c:crossAx val="65947904"/>
        <c:crosses val="autoZero"/>
        <c:auto val="1"/>
        <c:lblAlgn val="ctr"/>
        <c:lblOffset val="100"/>
        <c:noMultiLvlLbl val="0"/>
      </c:catAx>
      <c:valAx>
        <c:axId val="65947904"/>
        <c:scaling>
          <c:orientation val="minMax"/>
        </c:scaling>
        <c:delete val="0"/>
        <c:axPos val="l"/>
        <c:title>
          <c:tx>
            <c:rich>
              <a:bodyPr rot="-5400000" vert="horz"/>
              <a:lstStyle/>
              <a:p>
                <a:pPr>
                  <a:defRPr/>
                </a:pPr>
                <a:r>
                  <a:rPr lang="en-US"/>
                  <a:t>Number of transcripts</a:t>
                </a:r>
              </a:p>
            </c:rich>
          </c:tx>
          <c:overlay val="0"/>
        </c:title>
        <c:numFmt formatCode="General" sourceLinked="1"/>
        <c:majorTickMark val="out"/>
        <c:minorTickMark val="none"/>
        <c:tickLblPos val="nextTo"/>
        <c:crossAx val="65945984"/>
        <c:crosses val="autoZero"/>
        <c:crossBetween val="between"/>
      </c:valAx>
    </c:plotArea>
    <c:plotVisOnly val="1"/>
    <c:dispBlanksAs val="gap"/>
    <c:showDLblsOverMax val="0"/>
  </c:chart>
  <c:spPr>
    <a:ln>
      <a:noFill/>
    </a:ln>
  </c:spPr>
  <c:externalData r:id="rId1">
    <c:autoUpdate val="0"/>
  </c:externalData>
</c:chartSpace>
</file>

<file path=word/charts/chart3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en-ZA"/>
  <c:roundedCorners val="0"/>
  <mc:AlternateContent xmlns:mc="http://schemas.openxmlformats.org/markup-compatibility/2006">
    <mc:Choice xmlns:c14="http://schemas.microsoft.com/office/drawing/2007/8/2/chart" Requires="c14">
      <c14:style val="118"/>
    </mc:Choice>
    <mc:Fallback>
      <c:style val="18"/>
    </mc:Fallback>
  </mc:AlternateContent>
  <c:chart>
    <c:autoTitleDeleted val="0"/>
    <c:plotArea>
      <c:layout>
        <c:manualLayout>
          <c:layoutTarget val="inner"/>
          <c:xMode val="edge"/>
          <c:yMode val="edge"/>
          <c:x val="0.22101408798259201"/>
          <c:y val="1.6260162601626001E-2"/>
          <c:w val="0.76046739349889003"/>
          <c:h val="0.46204959136205498"/>
        </c:manualLayout>
      </c:layout>
      <c:barChart>
        <c:barDir val="col"/>
        <c:grouping val="clustered"/>
        <c:varyColors val="0"/>
        <c:ser>
          <c:idx val="0"/>
          <c:order val="0"/>
          <c:spPr>
            <a:solidFill>
              <a:srgbClr val="404040"/>
            </a:solidFill>
          </c:spPr>
          <c:invertIfNegative val="0"/>
          <c:cat>
            <c:strRef>
              <c:f>Sheet1!$W$2:$W$31</c:f>
              <c:strCache>
                <c:ptCount val="30"/>
                <c:pt idx="0">
                  <c:v>Kunitz/Bovine pancreatic trypsin inhibitor domain</c:v>
                </c:pt>
                <c:pt idx="1">
                  <c:v>RNA recognition motif</c:v>
                </c:pt>
                <c:pt idx="2">
                  <c:v>Spectrin repeat</c:v>
                </c:pt>
                <c:pt idx="3">
                  <c:v>Trypsin inhibitor like (TIL) cysteine rich domain</c:v>
                </c:pt>
                <c:pt idx="4">
                  <c:v>Ankyrin repeat</c:v>
                </c:pt>
                <c:pt idx="5">
                  <c:v>Protein kinase domain</c:v>
                </c:pt>
                <c:pt idx="6">
                  <c:v>WD domain, G-beta repeat</c:v>
                </c:pt>
                <c:pt idx="7">
                  <c:v>Low-density lipoprotein receptor domain class A</c:v>
                </c:pt>
                <c:pt idx="8">
                  <c:v>Mitochondrial carrier protein</c:v>
                </c:pt>
                <c:pt idx="9">
                  <c:v>Tick histamine binding protein</c:v>
                </c:pt>
                <c:pt idx="10">
                  <c:v>PDZ domain</c:v>
                </c:pt>
                <c:pt idx="11">
                  <c:v>Helicase conserved C-terminal domain</c:v>
                </c:pt>
                <c:pt idx="12">
                  <c:v>Immunoglobulin I-set domain</c:v>
                </c:pt>
                <c:pt idx="13">
                  <c:v>Fibronectin type III domain</c:v>
                </c:pt>
                <c:pt idx="14">
                  <c:v>Metallo-peptidase family M12</c:v>
                </c:pt>
                <c:pt idx="15">
                  <c:v>THAP domain</c:v>
                </c:pt>
                <c:pt idx="16">
                  <c:v>Major Facilitator Superfamily</c:v>
                </c:pt>
                <c:pt idx="17">
                  <c:v>Immunoglobulin domain</c:v>
                </c:pt>
                <c:pt idx="18">
                  <c:v>CUB domain</c:v>
                </c:pt>
                <c:pt idx="19">
                  <c:v>Trypsin</c:v>
                </c:pt>
                <c:pt idx="20">
                  <c:v>LIM domain</c:v>
                </c:pt>
                <c:pt idx="21">
                  <c:v>Ras family</c:v>
                </c:pt>
                <c:pt idx="22">
                  <c:v>Tudor domain</c:v>
                </c:pt>
                <c:pt idx="23">
                  <c:v>DEAD/DEAH box helicase</c:v>
                </c:pt>
                <c:pt idx="24">
                  <c:v>Leucine rich repeat</c:v>
                </c:pt>
                <c:pt idx="25">
                  <c:v>EF-hand domain pair</c:v>
                </c:pt>
                <c:pt idx="26">
                  <c:v>Single domain von Willebrand factor type C</c:v>
                </c:pt>
                <c:pt idx="27">
                  <c:v>C2 domain </c:v>
                </c:pt>
                <c:pt idx="28">
                  <c:v>PHD finger</c:v>
                </c:pt>
                <c:pt idx="29">
                  <c:v>Pleckstrin homology domain</c:v>
                </c:pt>
              </c:strCache>
            </c:strRef>
          </c:cat>
          <c:val>
            <c:numRef>
              <c:f>Sheet1!$X$2:$X$31</c:f>
              <c:numCache>
                <c:formatCode>General</c:formatCode>
                <c:ptCount val="30"/>
                <c:pt idx="0">
                  <c:v>283</c:v>
                </c:pt>
                <c:pt idx="1">
                  <c:v>213</c:v>
                </c:pt>
                <c:pt idx="2">
                  <c:v>195</c:v>
                </c:pt>
                <c:pt idx="3">
                  <c:v>184</c:v>
                </c:pt>
                <c:pt idx="4">
                  <c:v>167</c:v>
                </c:pt>
                <c:pt idx="5">
                  <c:v>146</c:v>
                </c:pt>
                <c:pt idx="6">
                  <c:v>109</c:v>
                </c:pt>
                <c:pt idx="7">
                  <c:v>107</c:v>
                </c:pt>
                <c:pt idx="8">
                  <c:v>99</c:v>
                </c:pt>
                <c:pt idx="9">
                  <c:v>98</c:v>
                </c:pt>
                <c:pt idx="10">
                  <c:v>83</c:v>
                </c:pt>
                <c:pt idx="11">
                  <c:v>79</c:v>
                </c:pt>
                <c:pt idx="12">
                  <c:v>79</c:v>
                </c:pt>
                <c:pt idx="13">
                  <c:v>76</c:v>
                </c:pt>
                <c:pt idx="14">
                  <c:v>68</c:v>
                </c:pt>
                <c:pt idx="15">
                  <c:v>67</c:v>
                </c:pt>
                <c:pt idx="16">
                  <c:v>66</c:v>
                </c:pt>
                <c:pt idx="17">
                  <c:v>62</c:v>
                </c:pt>
                <c:pt idx="18">
                  <c:v>60</c:v>
                </c:pt>
                <c:pt idx="19">
                  <c:v>59</c:v>
                </c:pt>
                <c:pt idx="20">
                  <c:v>58</c:v>
                </c:pt>
                <c:pt idx="21">
                  <c:v>57</c:v>
                </c:pt>
                <c:pt idx="22">
                  <c:v>56</c:v>
                </c:pt>
                <c:pt idx="23">
                  <c:v>55</c:v>
                </c:pt>
                <c:pt idx="24">
                  <c:v>53</c:v>
                </c:pt>
                <c:pt idx="25">
                  <c:v>52</c:v>
                </c:pt>
                <c:pt idx="26">
                  <c:v>47</c:v>
                </c:pt>
                <c:pt idx="27">
                  <c:v>46</c:v>
                </c:pt>
                <c:pt idx="28">
                  <c:v>46</c:v>
                </c:pt>
                <c:pt idx="29">
                  <c:v>45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axId val="65992576"/>
        <c:axId val="65994752"/>
      </c:barChart>
      <c:catAx>
        <c:axId val="65992576"/>
        <c:scaling>
          <c:orientation val="minMax"/>
        </c:scaling>
        <c:delete val="0"/>
        <c:axPos val="b"/>
        <c:title>
          <c:tx>
            <c:rich>
              <a:bodyPr/>
              <a:lstStyle/>
              <a:p>
                <a:pPr>
                  <a:defRPr/>
                </a:pPr>
                <a:r>
                  <a:rPr lang="en-US"/>
                  <a:t>Pfam domains</a:t>
                </a:r>
              </a:p>
            </c:rich>
          </c:tx>
          <c:overlay val="0"/>
        </c:title>
        <c:majorTickMark val="out"/>
        <c:minorTickMark val="none"/>
        <c:tickLblPos val="nextTo"/>
        <c:crossAx val="65994752"/>
        <c:crosses val="autoZero"/>
        <c:auto val="1"/>
        <c:lblAlgn val="ctr"/>
        <c:lblOffset val="100"/>
        <c:noMultiLvlLbl val="0"/>
      </c:catAx>
      <c:valAx>
        <c:axId val="65994752"/>
        <c:scaling>
          <c:orientation val="minMax"/>
        </c:scaling>
        <c:delete val="0"/>
        <c:axPos val="l"/>
        <c:title>
          <c:tx>
            <c:rich>
              <a:bodyPr rot="-5400000" vert="horz"/>
              <a:lstStyle/>
              <a:p>
                <a:pPr>
                  <a:defRPr sz="1000"/>
                </a:pPr>
                <a:r>
                  <a:rPr lang="en-US" sz="1000">
                    <a:effectLst/>
                  </a:rPr>
                  <a:t>Occurrence</a:t>
                </a:r>
                <a:endParaRPr lang="en-ZA" sz="1000">
                  <a:effectLst/>
                </a:endParaRPr>
              </a:p>
            </c:rich>
          </c:tx>
          <c:layout>
            <c:manualLayout>
              <c:xMode val="edge"/>
              <c:yMode val="edge"/>
              <c:x val="0.11965811965812"/>
              <c:y val="0.16074536414655499"/>
            </c:manualLayout>
          </c:layout>
          <c:overlay val="0"/>
        </c:title>
        <c:numFmt formatCode="General" sourceLinked="1"/>
        <c:majorTickMark val="out"/>
        <c:minorTickMark val="none"/>
        <c:tickLblPos val="nextTo"/>
        <c:crossAx val="65992576"/>
        <c:crosses val="autoZero"/>
        <c:crossBetween val="between"/>
      </c:valAx>
    </c:plotArea>
    <c:plotVisOnly val="1"/>
    <c:dispBlanksAs val="gap"/>
    <c:showDLblsOverMax val="0"/>
  </c:chart>
  <c:spPr>
    <a:ln>
      <a:noFill/>
    </a:ln>
  </c:spPr>
  <c:externalData r:id="rId1">
    <c:autoUpdate val="0"/>
  </c:externalData>
</c:chartSpace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5</Pages>
  <Words>178</Words>
  <Characters>1016</Characters>
  <Application>Microsoft Office Word</Application>
  <DocSecurity>4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ARC</Company>
  <LinksUpToDate>false</LinksUpToDate>
  <CharactersWithSpaces>1192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Minique de Castro</dc:creator>
  <cp:lastModifiedBy>User</cp:lastModifiedBy>
  <cp:revision>2</cp:revision>
  <dcterms:created xsi:type="dcterms:W3CDTF">2017-09-12T07:48:00Z</dcterms:created>
  <dcterms:modified xsi:type="dcterms:W3CDTF">2017-09-12T07:48:00Z</dcterms:modified>
</cp:coreProperties>
</file>