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1F9E5F" w14:textId="77777777" w:rsidR="004B1ECD" w:rsidRPr="00E50FF1" w:rsidRDefault="004B1ECD" w:rsidP="004B1ECD">
      <w:pPr>
        <w:spacing w:after="0"/>
        <w:rPr>
          <w:rFonts w:cs="Times New Roman"/>
          <w:b/>
          <w:bCs/>
          <w:sz w:val="22"/>
        </w:rPr>
      </w:pPr>
      <w:bookmarkStart w:id="0" w:name="_Hlk152747661"/>
      <w:r w:rsidRPr="00E50FF1">
        <w:rPr>
          <w:b/>
          <w:bCs/>
          <w:sz w:val="22"/>
        </w:rPr>
        <w:t xml:space="preserve">Enhancing multi-season wheat yield through plant growth-promoting rhizobacteria using consortium and individual isolate applications </w:t>
      </w:r>
    </w:p>
    <w:bookmarkEnd w:id="0"/>
    <w:p w14:paraId="79F443F8" w14:textId="77777777" w:rsidR="00A15969" w:rsidRDefault="00A15969" w:rsidP="003010F8">
      <w:pPr>
        <w:tabs>
          <w:tab w:val="center" w:pos="4524"/>
        </w:tabs>
        <w:spacing w:after="0"/>
        <w:rPr>
          <w:b/>
          <w:bCs/>
          <w:sz w:val="20"/>
          <w:szCs w:val="18"/>
        </w:rPr>
      </w:pPr>
    </w:p>
    <w:p w14:paraId="1A8CFE4B" w14:textId="3C96A2E7" w:rsidR="003010F8" w:rsidRPr="00A15969" w:rsidRDefault="00A15969" w:rsidP="003010F8">
      <w:pPr>
        <w:tabs>
          <w:tab w:val="center" w:pos="4524"/>
        </w:tabs>
        <w:spacing w:after="0"/>
        <w:rPr>
          <w:rFonts w:cs="Times New Roman"/>
          <w:sz w:val="20"/>
          <w:szCs w:val="20"/>
          <w:lang w:val="en-US"/>
        </w:rPr>
      </w:pPr>
      <w:r>
        <w:rPr>
          <w:b/>
          <w:bCs/>
          <w:sz w:val="20"/>
          <w:szCs w:val="18"/>
        </w:rPr>
        <w:t>Supplementary Information</w:t>
      </w:r>
    </w:p>
    <w:p w14:paraId="745AB5DD" w14:textId="77777777" w:rsidR="003010F8" w:rsidRDefault="003010F8" w:rsidP="003010F8">
      <w:pPr>
        <w:tabs>
          <w:tab w:val="center" w:pos="4524"/>
        </w:tabs>
        <w:spacing w:after="0"/>
        <w:rPr>
          <w:rFonts w:cs="Times New Roman"/>
          <w:szCs w:val="24"/>
          <w:lang w:val="en-US"/>
        </w:rPr>
      </w:pPr>
    </w:p>
    <w:p w14:paraId="5B0D122D" w14:textId="2783374E" w:rsidR="00A15969" w:rsidRPr="00E50FF1" w:rsidRDefault="00A15969" w:rsidP="00A15969">
      <w:pPr>
        <w:tabs>
          <w:tab w:val="center" w:pos="4524"/>
        </w:tabs>
        <w:spacing w:after="0"/>
        <w:rPr>
          <w:rFonts w:cs="Times New Roman"/>
          <w:sz w:val="22"/>
          <w:lang w:val="en-US"/>
        </w:rPr>
      </w:pPr>
      <w:r w:rsidRPr="00E50FF1">
        <w:rPr>
          <w:rFonts w:cs="Times New Roman"/>
          <w:sz w:val="22"/>
          <w:lang w:val="en-US"/>
        </w:rPr>
        <w:t>G</w:t>
      </w:r>
      <w:r w:rsidR="00FE7688">
        <w:rPr>
          <w:rFonts w:cs="Times New Roman"/>
          <w:sz w:val="22"/>
          <w:lang w:val="en-US"/>
        </w:rPr>
        <w:t>erhard</w:t>
      </w:r>
      <w:r w:rsidR="003747B2">
        <w:rPr>
          <w:rFonts w:cs="Times New Roman"/>
          <w:sz w:val="22"/>
          <w:lang w:val="en-US"/>
        </w:rPr>
        <w:t>us</w:t>
      </w:r>
      <w:r w:rsidRPr="00E50FF1">
        <w:rPr>
          <w:rFonts w:cs="Times New Roman"/>
          <w:sz w:val="22"/>
          <w:lang w:val="en-US"/>
        </w:rPr>
        <w:t xml:space="preserve"> Breedt</w:t>
      </w:r>
      <w:r w:rsidRPr="00E50FF1">
        <w:rPr>
          <w:rFonts w:cs="Times New Roman"/>
          <w:sz w:val="22"/>
          <w:vertAlign w:val="superscript"/>
          <w:lang w:val="en-US"/>
        </w:rPr>
        <w:t>1,2</w:t>
      </w:r>
      <w:r w:rsidRPr="00E50FF1">
        <w:rPr>
          <w:rFonts w:cs="Times New Roman"/>
          <w:sz w:val="22"/>
          <w:lang w:val="en-US"/>
        </w:rPr>
        <w:t>, L</w:t>
      </w:r>
      <w:r w:rsidR="00FE7688">
        <w:rPr>
          <w:rFonts w:cs="Times New Roman"/>
          <w:sz w:val="22"/>
          <w:lang w:val="en-US"/>
        </w:rPr>
        <w:t>ise</w:t>
      </w:r>
      <w:r w:rsidRPr="00E50FF1">
        <w:rPr>
          <w:rFonts w:cs="Times New Roman"/>
          <w:sz w:val="22"/>
          <w:lang w:val="en-US"/>
        </w:rPr>
        <w:t xml:space="preserve"> Korsten</w:t>
      </w:r>
      <w:r w:rsidRPr="00E50FF1">
        <w:rPr>
          <w:rFonts w:cs="Times New Roman"/>
          <w:sz w:val="22"/>
          <w:vertAlign w:val="superscript"/>
          <w:lang w:val="en-US"/>
        </w:rPr>
        <w:t>2,</w:t>
      </w:r>
      <w:r>
        <w:rPr>
          <w:rFonts w:cs="Times New Roman"/>
          <w:sz w:val="22"/>
          <w:vertAlign w:val="superscript"/>
          <w:lang w:val="en-US"/>
        </w:rPr>
        <w:t xml:space="preserve">3 </w:t>
      </w:r>
      <w:r w:rsidRPr="00037721">
        <w:rPr>
          <w:rFonts w:cs="Times New Roman"/>
          <w:sz w:val="22"/>
          <w:lang w:val="en-US"/>
        </w:rPr>
        <w:t xml:space="preserve">and </w:t>
      </w:r>
      <w:r w:rsidRPr="00E50FF1">
        <w:rPr>
          <w:rFonts w:cs="Times New Roman"/>
          <w:sz w:val="22"/>
          <w:lang w:val="en-US"/>
        </w:rPr>
        <w:t>J</w:t>
      </w:r>
      <w:r w:rsidR="00FE7688">
        <w:rPr>
          <w:rFonts w:cs="Times New Roman"/>
          <w:sz w:val="22"/>
          <w:lang w:val="en-US"/>
        </w:rPr>
        <w:t xml:space="preserve">arishma </w:t>
      </w:r>
      <w:r w:rsidRPr="00E50FF1">
        <w:rPr>
          <w:rFonts w:cs="Times New Roman"/>
          <w:sz w:val="22"/>
          <w:lang w:val="en-US"/>
        </w:rPr>
        <w:t>K</w:t>
      </w:r>
      <w:r w:rsidR="00FE7688">
        <w:rPr>
          <w:rFonts w:cs="Times New Roman"/>
          <w:sz w:val="22"/>
          <w:lang w:val="en-US"/>
        </w:rPr>
        <w:t>eriuscia</w:t>
      </w:r>
      <w:r w:rsidRPr="00E50FF1">
        <w:rPr>
          <w:rFonts w:cs="Times New Roman"/>
          <w:sz w:val="22"/>
          <w:lang w:val="en-US"/>
        </w:rPr>
        <w:t xml:space="preserve"> Gokul</w:t>
      </w:r>
      <w:r w:rsidRPr="00E50FF1">
        <w:rPr>
          <w:rFonts w:cs="Times New Roman"/>
          <w:sz w:val="22"/>
          <w:vertAlign w:val="superscript"/>
          <w:lang w:val="en-US"/>
        </w:rPr>
        <w:t>2,</w:t>
      </w:r>
      <w:r>
        <w:rPr>
          <w:rFonts w:cs="Times New Roman"/>
          <w:sz w:val="22"/>
          <w:vertAlign w:val="superscript"/>
          <w:lang w:val="en-US"/>
        </w:rPr>
        <w:t>4</w:t>
      </w:r>
    </w:p>
    <w:p w14:paraId="1F7F3080" w14:textId="77777777" w:rsidR="00A15969" w:rsidRPr="00E50FF1" w:rsidRDefault="00A15969" w:rsidP="00A15969">
      <w:pPr>
        <w:tabs>
          <w:tab w:val="center" w:pos="4524"/>
        </w:tabs>
        <w:spacing w:after="0"/>
        <w:rPr>
          <w:rFonts w:cs="Times New Roman"/>
          <w:sz w:val="22"/>
          <w:vertAlign w:val="superscript"/>
          <w:lang w:val="en-US"/>
        </w:rPr>
      </w:pPr>
    </w:p>
    <w:p w14:paraId="253CD5AE" w14:textId="77777777" w:rsidR="00A15969" w:rsidRPr="003C4D5B" w:rsidRDefault="00A15969" w:rsidP="00A15969">
      <w:pPr>
        <w:spacing w:after="0"/>
        <w:rPr>
          <w:rFonts w:cs="Times New Roman"/>
          <w:sz w:val="20"/>
          <w:szCs w:val="20"/>
          <w:vertAlign w:val="superscript"/>
          <w:lang w:val="en-US"/>
        </w:rPr>
      </w:pPr>
      <w:r w:rsidRPr="003C4D5B">
        <w:rPr>
          <w:rFonts w:cs="Times New Roman"/>
          <w:sz w:val="20"/>
          <w:szCs w:val="20"/>
          <w:vertAlign w:val="superscript"/>
          <w:lang w:val="en-US"/>
        </w:rPr>
        <w:t>1</w:t>
      </w:r>
      <w:r w:rsidRPr="003C4D5B">
        <w:rPr>
          <w:rFonts w:cs="Times New Roman"/>
          <w:sz w:val="20"/>
          <w:szCs w:val="20"/>
          <w:lang w:val="en-US"/>
        </w:rPr>
        <w:t>Towoomba ADC, Limpopo Department of Agriculture and Rural Development, Private Bag X1615, Bela-Bela, 0480, South Africa</w:t>
      </w:r>
    </w:p>
    <w:p w14:paraId="29DE3D45" w14:textId="77777777" w:rsidR="00A15969" w:rsidRPr="003C4D5B" w:rsidRDefault="00A15969" w:rsidP="00A15969">
      <w:pPr>
        <w:spacing w:after="0"/>
        <w:rPr>
          <w:rFonts w:cs="Times New Roman"/>
          <w:color w:val="000000"/>
          <w:sz w:val="20"/>
          <w:szCs w:val="20"/>
        </w:rPr>
      </w:pPr>
      <w:r w:rsidRPr="003C4D5B">
        <w:rPr>
          <w:rFonts w:cs="Times New Roman"/>
          <w:color w:val="000000"/>
          <w:sz w:val="20"/>
          <w:szCs w:val="20"/>
          <w:vertAlign w:val="superscript"/>
        </w:rPr>
        <w:t>2</w:t>
      </w:r>
      <w:r w:rsidRPr="003C4D5B">
        <w:rPr>
          <w:rFonts w:cs="Times New Roman"/>
          <w:color w:val="000000"/>
          <w:sz w:val="20"/>
          <w:szCs w:val="20"/>
        </w:rPr>
        <w:t>Department of Plant and Soil Sciences, University of Pretoria, Private Bag X20, Hatfield, 0028, South Africa</w:t>
      </w:r>
    </w:p>
    <w:p w14:paraId="4DE1375D" w14:textId="77777777" w:rsidR="00A15969" w:rsidRPr="003C4D5B" w:rsidRDefault="00A15969" w:rsidP="00A15969">
      <w:pPr>
        <w:spacing w:after="0"/>
        <w:rPr>
          <w:rFonts w:cs="Times New Roman"/>
          <w:color w:val="000000"/>
          <w:sz w:val="20"/>
          <w:szCs w:val="20"/>
        </w:rPr>
      </w:pPr>
      <w:r>
        <w:rPr>
          <w:rFonts w:cs="Times New Roman"/>
          <w:color w:val="000000"/>
          <w:sz w:val="20"/>
          <w:szCs w:val="20"/>
          <w:vertAlign w:val="superscript"/>
        </w:rPr>
        <w:t>3</w:t>
      </w:r>
      <w:r w:rsidRPr="003C4D5B">
        <w:rPr>
          <w:rFonts w:cs="Times New Roman"/>
          <w:color w:val="000000"/>
          <w:sz w:val="20"/>
          <w:szCs w:val="20"/>
        </w:rPr>
        <w:t>Department of Science and Innovation-National Research Foundation Centre of Excellence in Food Security, South Africa</w:t>
      </w:r>
    </w:p>
    <w:p w14:paraId="5415C692" w14:textId="77777777" w:rsidR="00A15969" w:rsidRPr="003C4D5B" w:rsidRDefault="00A15969" w:rsidP="00A15969">
      <w:pPr>
        <w:spacing w:after="0"/>
        <w:rPr>
          <w:rFonts w:cs="Times New Roman"/>
          <w:color w:val="000000"/>
          <w:sz w:val="20"/>
          <w:szCs w:val="20"/>
        </w:rPr>
      </w:pPr>
      <w:r>
        <w:rPr>
          <w:rFonts w:cs="Times New Roman"/>
          <w:color w:val="000000"/>
          <w:sz w:val="20"/>
          <w:szCs w:val="20"/>
          <w:vertAlign w:val="superscript"/>
        </w:rPr>
        <w:t>4</w:t>
      </w:r>
      <w:r w:rsidRPr="003C4D5B">
        <w:rPr>
          <w:rFonts w:cs="Times New Roman"/>
          <w:color w:val="000000"/>
          <w:sz w:val="20"/>
          <w:szCs w:val="20"/>
        </w:rPr>
        <w:t>Centre for Microbial Ecology and Genomics, Department of Biochemistry, Genetics and Microbiology, University of Pretoria, Private Bag X20, Hatfield, South Africa</w:t>
      </w:r>
    </w:p>
    <w:p w14:paraId="626FBC6F" w14:textId="77777777" w:rsidR="00A15969" w:rsidRPr="00E50FF1" w:rsidRDefault="00A15969" w:rsidP="00A15969">
      <w:pPr>
        <w:spacing w:after="0"/>
        <w:rPr>
          <w:rFonts w:cs="Times New Roman"/>
          <w:color w:val="000000"/>
          <w:sz w:val="22"/>
        </w:rPr>
      </w:pPr>
    </w:p>
    <w:p w14:paraId="739CCFA7" w14:textId="77777777" w:rsidR="00A15969" w:rsidRPr="00E50FF1" w:rsidRDefault="00A15969" w:rsidP="00A15969">
      <w:pPr>
        <w:spacing w:after="0"/>
        <w:rPr>
          <w:rFonts w:cs="Times New Roman"/>
          <w:color w:val="000000"/>
          <w:sz w:val="22"/>
        </w:rPr>
      </w:pPr>
      <w:r w:rsidRPr="00E50FF1">
        <w:rPr>
          <w:rFonts w:cs="Times New Roman"/>
          <w:b/>
          <w:bCs/>
          <w:color w:val="000000"/>
          <w:sz w:val="22"/>
        </w:rPr>
        <w:t>Correspondence</w:t>
      </w:r>
      <w:r w:rsidRPr="00E50FF1">
        <w:rPr>
          <w:rFonts w:cs="Times New Roman"/>
          <w:color w:val="000000"/>
          <w:sz w:val="22"/>
        </w:rPr>
        <w:t>: Jarishma Gokul</w:t>
      </w:r>
    </w:p>
    <w:p w14:paraId="61D737FF" w14:textId="77777777" w:rsidR="00A15969" w:rsidRPr="00E50FF1" w:rsidRDefault="00A15969" w:rsidP="00A15969">
      <w:pPr>
        <w:spacing w:after="0"/>
        <w:rPr>
          <w:rFonts w:cs="Times New Roman"/>
          <w:color w:val="000000"/>
          <w:sz w:val="22"/>
        </w:rPr>
      </w:pPr>
      <w:r w:rsidRPr="00E50FF1">
        <w:rPr>
          <w:rFonts w:cs="Times New Roman"/>
          <w:sz w:val="22"/>
          <w:lang w:val="en-US"/>
        </w:rPr>
        <w:t xml:space="preserve">Tel: +27 12 420 4913; </w:t>
      </w:r>
      <w:r w:rsidRPr="00E50FF1">
        <w:rPr>
          <w:rFonts w:cs="Times New Roman"/>
          <w:color w:val="000000"/>
          <w:sz w:val="22"/>
        </w:rPr>
        <w:t xml:space="preserve">Email: </w:t>
      </w:r>
      <w:hyperlink r:id="rId5" w:history="1">
        <w:r w:rsidRPr="00E50FF1">
          <w:rPr>
            <w:rStyle w:val="Hyperlink"/>
            <w:rFonts w:cs="Times New Roman"/>
            <w:sz w:val="22"/>
          </w:rPr>
          <w:t>jarishma.gokul@up.ac.za</w:t>
        </w:r>
      </w:hyperlink>
    </w:p>
    <w:p w14:paraId="74CF9251" w14:textId="77777777" w:rsidR="003010F8" w:rsidRDefault="003010F8" w:rsidP="003010F8">
      <w:pPr>
        <w:rPr>
          <w:rFonts w:cs="Times New Roman"/>
          <w:bCs/>
          <w:szCs w:val="24"/>
        </w:rPr>
      </w:pPr>
    </w:p>
    <w:p w14:paraId="5345C7DD" w14:textId="341E381A" w:rsidR="003010F8" w:rsidRPr="00A15969" w:rsidRDefault="003010F8" w:rsidP="003010F8">
      <w:pPr>
        <w:rPr>
          <w:bCs/>
          <w:sz w:val="22"/>
        </w:rPr>
        <w:sectPr w:rsidR="003010F8" w:rsidRPr="00A15969" w:rsidSect="003010F8"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  <w:r w:rsidRPr="00A15969">
        <w:rPr>
          <w:rFonts w:cs="Times New Roman"/>
          <w:bCs/>
          <w:sz w:val="22"/>
        </w:rPr>
        <w:t xml:space="preserve">Submission to </w:t>
      </w:r>
      <w:r w:rsidR="006B626C" w:rsidRPr="006B626C">
        <w:rPr>
          <w:bCs/>
          <w:sz w:val="22"/>
        </w:rPr>
        <w:t>Folia Microbiologica</w:t>
      </w:r>
      <w:r w:rsidR="00A15969">
        <w:rPr>
          <w:bCs/>
          <w:sz w:val="22"/>
        </w:rPr>
        <w:t>, Springer</w:t>
      </w:r>
    </w:p>
    <w:p w14:paraId="09F0AE4E" w14:textId="77777777" w:rsidR="003010F8" w:rsidRPr="00FA7FAC" w:rsidRDefault="003010F8" w:rsidP="003010F8">
      <w:pPr>
        <w:spacing w:line="240" w:lineRule="auto"/>
        <w:rPr>
          <w:rFonts w:eastAsia="Times New Roman" w:cs="Times New Roman"/>
          <w:iCs/>
          <w:sz w:val="20"/>
          <w:szCs w:val="20"/>
          <w:lang w:eastAsia="en-ZA"/>
        </w:rPr>
      </w:pPr>
      <w:r w:rsidRPr="00E03D02">
        <w:rPr>
          <w:rStyle w:val="Heading1Char"/>
        </w:rPr>
        <w:lastRenderedPageBreak/>
        <w:t xml:space="preserve">Table </w:t>
      </w:r>
      <w:r>
        <w:rPr>
          <w:rStyle w:val="Heading1Char"/>
        </w:rPr>
        <w:t>S1</w:t>
      </w:r>
      <w:r w:rsidRPr="00E03D02">
        <w:rPr>
          <w:rFonts w:eastAsia="Times New Roman" w:cs="Times New Roman"/>
          <w:color w:val="000000"/>
          <w:szCs w:val="24"/>
          <w:lang w:eastAsia="en-ZA"/>
        </w:rPr>
        <w:t xml:space="preserve">: </w:t>
      </w:r>
      <w:r w:rsidRPr="00FA7FAC">
        <w:rPr>
          <w:rFonts w:eastAsia="Times New Roman" w:cs="Times New Roman"/>
          <w:iCs/>
          <w:color w:val="000000"/>
          <w:szCs w:val="24"/>
          <w:lang w:eastAsia="en-ZA"/>
        </w:rPr>
        <w:t>Gene annotation and genes relating to nutrient cycling, phytohormone production, pathogen suppression</w:t>
      </w:r>
      <w:r>
        <w:rPr>
          <w:rFonts w:eastAsia="Times New Roman" w:cs="Times New Roman"/>
          <w:iCs/>
          <w:color w:val="000000"/>
          <w:szCs w:val="24"/>
          <w:lang w:eastAsia="en-ZA"/>
        </w:rPr>
        <w:t>,</w:t>
      </w:r>
      <w:r w:rsidRPr="00FA7FAC">
        <w:rPr>
          <w:rFonts w:eastAsia="Times New Roman" w:cs="Times New Roman"/>
          <w:iCs/>
          <w:color w:val="000000"/>
          <w:szCs w:val="24"/>
          <w:lang w:eastAsia="en-ZA"/>
        </w:rPr>
        <w:t xml:space="preserve"> and stress regulation for isolate</w:t>
      </w:r>
      <w:r>
        <w:rPr>
          <w:rFonts w:eastAsia="Times New Roman" w:cs="Times New Roman"/>
          <w:iCs/>
          <w:color w:val="000000"/>
          <w:szCs w:val="24"/>
          <w:lang w:eastAsia="en-ZA"/>
        </w:rPr>
        <w:t>s</w:t>
      </w:r>
      <w:r w:rsidRPr="00FA7FAC">
        <w:rPr>
          <w:rFonts w:eastAsia="Times New Roman" w:cs="Times New Roman"/>
          <w:iCs/>
          <w:color w:val="000000"/>
          <w:szCs w:val="24"/>
          <w:lang w:eastAsia="en-ZA"/>
        </w:rPr>
        <w:t xml:space="preserve"> T19 and T29. </w:t>
      </w:r>
    </w:p>
    <w:tbl>
      <w:tblPr>
        <w:tblW w:w="14781" w:type="dxa"/>
        <w:tblLook w:val="04A0" w:firstRow="1" w:lastRow="0" w:firstColumn="1" w:lastColumn="0" w:noHBand="0" w:noVBand="1"/>
      </w:tblPr>
      <w:tblGrid>
        <w:gridCol w:w="1834"/>
        <w:gridCol w:w="2257"/>
        <w:gridCol w:w="2182"/>
        <w:gridCol w:w="4889"/>
        <w:gridCol w:w="1793"/>
        <w:gridCol w:w="937"/>
        <w:gridCol w:w="889"/>
      </w:tblGrid>
      <w:tr w:rsidR="003010F8" w:rsidRPr="00E03D02" w14:paraId="60367C0A" w14:textId="77777777" w:rsidTr="00E818A6">
        <w:trPr>
          <w:trHeight w:val="283"/>
          <w:tblHeader/>
        </w:trPr>
        <w:tc>
          <w:tcPr>
            <w:tcW w:w="1834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715B8A3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  <w:t>PGP mechanism</w:t>
            </w:r>
          </w:p>
        </w:tc>
        <w:tc>
          <w:tcPr>
            <w:tcW w:w="2257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5FD2AD2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  <w:t>Subsystem feature</w:t>
            </w:r>
          </w:p>
        </w:tc>
        <w:tc>
          <w:tcPr>
            <w:tcW w:w="218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3048D81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  <w:t>Trait</w:t>
            </w:r>
          </w:p>
        </w:tc>
        <w:tc>
          <w:tcPr>
            <w:tcW w:w="4889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7596523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  <w:t>Annotated gene</w:t>
            </w:r>
          </w:p>
        </w:tc>
        <w:tc>
          <w:tcPr>
            <w:tcW w:w="1793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22DD688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  <w:t>Gene ID</w:t>
            </w:r>
          </w:p>
        </w:tc>
        <w:tc>
          <w:tcPr>
            <w:tcW w:w="18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3005E8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</w:pPr>
            <w:r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  <w:t>Number of genes</w:t>
            </w:r>
          </w:p>
        </w:tc>
      </w:tr>
      <w:tr w:rsidR="003010F8" w:rsidRPr="00E03D02" w14:paraId="6B0B9760" w14:textId="77777777" w:rsidTr="00E818A6">
        <w:trPr>
          <w:trHeight w:val="300"/>
          <w:tblHeader/>
        </w:trPr>
        <w:tc>
          <w:tcPr>
            <w:tcW w:w="1834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5416B2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B91AC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45FD9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1D8E5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</w:pPr>
          </w:p>
        </w:tc>
        <w:tc>
          <w:tcPr>
            <w:tcW w:w="1793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5EBC58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059EF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  <w:t>T19</w:t>
            </w: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B12CA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  <w:t>T29</w:t>
            </w:r>
          </w:p>
        </w:tc>
      </w:tr>
      <w:tr w:rsidR="003010F8" w:rsidRPr="00E03D02" w14:paraId="2A25DDF8" w14:textId="77777777" w:rsidTr="00E818A6">
        <w:trPr>
          <w:trHeight w:val="405"/>
        </w:trPr>
        <w:tc>
          <w:tcPr>
            <w:tcW w:w="1834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hideMark/>
          </w:tcPr>
          <w:p w14:paraId="36BB365C" w14:textId="77777777" w:rsidR="003010F8" w:rsidRPr="00BB04AC" w:rsidRDefault="003010F8" w:rsidP="00E818A6">
            <w:pPr>
              <w:spacing w:after="0" w:line="240" w:lineRule="auto"/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</w:pPr>
            <w:r w:rsidRPr="00BB04AC"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  <w:t>Nutrient cycling</w:t>
            </w:r>
          </w:p>
        </w:tc>
        <w:tc>
          <w:tcPr>
            <w:tcW w:w="2257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hideMark/>
          </w:tcPr>
          <w:p w14:paraId="47214442" w14:textId="77777777" w:rsidR="003010F8" w:rsidRPr="00BB04AC" w:rsidRDefault="003010F8" w:rsidP="00E818A6">
            <w:pPr>
              <w:spacing w:after="0" w:line="240" w:lineRule="auto"/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</w:pPr>
            <w:r w:rsidRPr="00BB04AC"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  <w:t>Phosphate metabolism</w:t>
            </w:r>
          </w:p>
        </w:tc>
        <w:tc>
          <w:tcPr>
            <w:tcW w:w="218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4473D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High affinity phosphate transporter and control of PHO regulon</w:t>
            </w:r>
          </w:p>
        </w:tc>
        <w:tc>
          <w:tcPr>
            <w:tcW w:w="48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1CCD1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Phosphate transport system regulatory protein</w:t>
            </w:r>
          </w:p>
        </w:tc>
        <w:tc>
          <w:tcPr>
            <w:tcW w:w="17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F56205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PhoU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BE322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97084A" w14:textId="77777777" w:rsidR="003010F8" w:rsidRPr="00E03D02" w:rsidRDefault="003010F8" w:rsidP="00E818A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</w:tr>
      <w:tr w:rsidR="003010F8" w:rsidRPr="00E03D02" w14:paraId="4AB84ED3" w14:textId="77777777" w:rsidTr="00E818A6">
        <w:trPr>
          <w:trHeight w:val="6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9C139D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54D43F7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6D93ED6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07909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Phosphate ABC transporter, periplasmic phosphate binding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41BFCD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PstS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67ECF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FBBE1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59B9C1BE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BB4BFC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02F22C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2B56A13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744C5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Phosphate transport system permease protein 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A0BFA1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PstA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E4552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A3DF4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69ED285C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64A882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3455990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2DD8EF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C2949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Phosphate transport system ATP binding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CC20AD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PstB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0E7E4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0FB70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</w:t>
            </w:r>
          </w:p>
        </w:tc>
      </w:tr>
      <w:tr w:rsidR="003010F8" w:rsidRPr="00E03D02" w14:paraId="11B100CE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A3240B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4E8960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69D0483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6F05E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Phosphate transport system permease protein 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4230EF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PstC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5BF55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E03DD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0DE555B0" w14:textId="77777777" w:rsidTr="00E818A6">
        <w:trPr>
          <w:trHeight w:val="6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E788BF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19D83B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2D354F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6FF5E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Alkaline phosphatase synthesis transcriptional regulatory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3A7B25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PhoP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932E2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5D933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1429E77D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214F6F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695313C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332AC66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09789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Phosphate regulon sensor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6319C9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PhoR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E0F5F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488BD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</w:t>
            </w:r>
          </w:p>
        </w:tc>
      </w:tr>
      <w:tr w:rsidR="003010F8" w:rsidRPr="00E03D02" w14:paraId="3A044F01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6A2703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40B7C49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64FDFA8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80B17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Phosphate regulon transcriptional regulatory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24B9FC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PhoB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FFC25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6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CFCD5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2D929F6D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257A42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740DD9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E8080A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D562D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Polyphosphate kinase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3E6EFB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PPiK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3483F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B7004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6EC8257F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CFAE73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708457C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20278B3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14797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Inorganic pyrophosphatase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83FAA8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IP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33DC9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A36E3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</w:t>
            </w:r>
          </w:p>
        </w:tc>
      </w:tr>
      <w:tr w:rsidR="003010F8" w:rsidRPr="00E03D02" w14:paraId="2A5EADCA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F535A1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BB4265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930508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8DC18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Phosphate starvation inducible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462F42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PhoH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8FE14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C3173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3</w:t>
            </w:r>
          </w:p>
        </w:tc>
      </w:tr>
      <w:tr w:rsidR="003010F8" w:rsidRPr="00E03D02" w14:paraId="190FB70D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D3DEE5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1BED057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6EF6ED0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F141F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Alkaline phosphatase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7BD786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AP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081E1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78819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4</w:t>
            </w:r>
          </w:p>
        </w:tc>
      </w:tr>
      <w:tr w:rsidR="003010F8" w:rsidRPr="00E03D02" w14:paraId="7C2D8CD2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AEE2E9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6E7EFC0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8984F5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28CDE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Low affinity inorganic phosphate transporter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6F8563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LAT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5CED7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0F11E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6144D95D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A805B4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293BCBD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6074DA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3B882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Phosphate regulon sensor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E39497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PhoU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C83CD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D2279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</w:t>
            </w:r>
          </w:p>
        </w:tc>
      </w:tr>
      <w:tr w:rsidR="003010F8" w:rsidRPr="00E03D02" w14:paraId="01F446B2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953B00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A9413C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6DC82F2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C503C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Polyphosphate kinase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2E5CEE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PPK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AFF16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CDA9B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1A4264CA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348C82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6A33171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509FAE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EACA6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Exopolyphosphatase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62C501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EPP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2C821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86A3A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58D1ED82" w14:textId="77777777" w:rsidTr="00E818A6">
        <w:trPr>
          <w:trHeight w:val="12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02168B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1CBBB57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2E30E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Phosphoenolpyruvate phosp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h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omutase and phosphonate metabolism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1835B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phosphoenolpyruvate phosphomutase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D16EBE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PepM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9250E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35AA4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1F9286C3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891894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524BC4E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3FCDAB8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3A638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Phosphoenolpyruvate decarbox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y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lase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096485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DeCO2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6235C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B6100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29D54390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348979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22ED6BC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94B9F6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2F3FE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2-aminoethylphosphonate pyruvate aminotransferase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B2988A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PhnW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92E55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75E4B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135876E8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58DAC6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571CA58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106A39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BE2A7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Phosphonoacetaldehyde hydrolase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6F54C4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PhnX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13EA9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1BD21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2C8475A2" w14:textId="77777777" w:rsidTr="00E818A6">
        <w:trPr>
          <w:trHeight w:val="6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3D669F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13ACE23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6FCAA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Alkaline phosphonate utilization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BF0F2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Phn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O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B485B7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Phno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7A625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1BB1E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22328AD6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0A1A0B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39F76A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797CD5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AD794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Alkalinephosphonate utilization operon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13014B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PhnA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258C4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83B7E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31634A05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804F88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41BF232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CB3FC9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EDDE8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PhnB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7EF1A7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PhnB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09836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02402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553800D2" w14:textId="77777777" w:rsidTr="00E818A6">
        <w:trPr>
          <w:trHeight w:val="6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91B6A5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3BCBAB9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821F0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Entner doudor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o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ff pathway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ED870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Glucokinase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62849D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glk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86702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89380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262B20EC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08457A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5024441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A5501B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2ECD4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Glucose-6-phosphate dehydrogenase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84E3F3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GPDH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2990A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9E68E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43A89B98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F9ABE5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4E85AF9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9AE260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F66D4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6-phosphogluconolactonase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CC262D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PGL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E141D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A7EFD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3B1A83F0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665DF3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7D307E3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8670A4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01264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2-dehydro-3-deoxyphosphogluconate aldolase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2609EC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KDPGA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5768F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61C6F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2802F22C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3446D5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7323BD0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3D17C39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B8113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2-dehydro-3-deoxyphosphogluconate kinase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7920C7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KDGK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EB5C2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3BAA5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761305E0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41153A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77C32D6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5B2567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ABB89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NAD-dependant 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glyceraldehyde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-3-phosphate dehydrogenase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D677BD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GADPH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BC6EB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EF5EC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28699F14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2D5549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5D1A119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C22DD8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99329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Phosphoglycerate kinase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360386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PgK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32088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7D8BD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0A82C423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708870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1D31CDD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AB1D1E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CD370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Phosphoglycerate mutase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C4A0F3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pgm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5F2D7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6122D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6D635FBD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5AB3C5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2537D13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696125F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FAFE9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Enolase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0538EE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EnO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65A8A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04C0C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4AB66630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85CB54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37A2E93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FD9B1F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8CC8B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Pyruvate kinase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FCDDAF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PyK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D16E2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 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7C618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75D3909D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27B19E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579C896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2B511FB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3BB39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Glucose-1-dehydrogenase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663D9E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GDH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5696F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 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EB316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41301017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05FC07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467383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6E4B5E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22440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Gluconolactonase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992287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GL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CE684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83B12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674F88B1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BE623F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76FF6E6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03A9EE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EF2D7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Glucokinase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B0A38C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GluK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7EFFD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2A782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4D1DBE15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13BCE0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1E5CF48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1DF29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Gluconate metabolism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EFE43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Glucose-1-dehydrogenase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121022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GHD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01A43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3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05D73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3</w:t>
            </w:r>
          </w:p>
        </w:tc>
      </w:tr>
      <w:tr w:rsidR="003010F8" w:rsidRPr="00E03D02" w14:paraId="079D0E68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911FD8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1237EBF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66497B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1BE17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Gluconate-2-dehydrogenase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A4E08E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Glu-dh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47710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C7809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6F3553AD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F3E4E5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44F95E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C35966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D7DA1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Gluconate transcriptional operon suppressor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D58057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GR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A94BF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D5269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162DA061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BD80D3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5A80742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CF5401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A9254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Gluconate transporter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07C39F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Glc-transporter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E898C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3916D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69E53A05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F6E692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79C4D4A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F201D6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1504E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Glucokinase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6A2839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Glnk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95FAC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C2AFF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26E6436D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9EFC0D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1DC6991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66EC6AD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CB7F4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6-phosphogluconate dehydrogenase decarboxylation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DE2048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PgIDK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89360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EBB75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68070894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AB581D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5043F03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9648F7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E13F6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2-dehydro-3-deoxygluconate kinase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4ACEA1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KDGK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E5B96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0676C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5653EBC4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</w:tcPr>
          <w:p w14:paraId="70E10BA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</w:tcPr>
          <w:p w14:paraId="0487EE9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D9CFAE" w14:textId="77777777" w:rsidR="003010F8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Lactic acid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012D7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lactate dehydrogenase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39ED65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LiD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551A4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3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DCEBE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3</w:t>
            </w:r>
          </w:p>
        </w:tc>
      </w:tr>
      <w:tr w:rsidR="003010F8" w:rsidRPr="00E03D02" w14:paraId="31C14539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C88A40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</w:tcPr>
          <w:p w14:paraId="51099AF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8B3B2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TCA oxidative and reductive cycle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69AC0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Pyruvate kinase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F84BA6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PyK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7AFC5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306C8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50298D47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E897A0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5B1BC5C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37F053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F8B38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Phosphoenolpyruvate carboxykinase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0B1422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PEPCK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10460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5A4C3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3824644E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51DAD5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3E8FC68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2CC141A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FF83A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Malic enzyme 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694533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ME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90989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3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3A6AE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8</w:t>
            </w:r>
          </w:p>
        </w:tc>
      </w:tr>
      <w:tr w:rsidR="003010F8" w:rsidRPr="00E03D02" w14:paraId="3DDFDBD1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728E13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65610B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ECC2CB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DC92C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Isoc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i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trate dehydrogenase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F84A90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icd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5167D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09110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41DD9DFC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000AE7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4532581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376A0EB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C2A02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Citrate synthase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87AC33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gltA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E5EFE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304BE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20565D07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E02B31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789E9FA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85F990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7E161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Aconitate hydratase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21DF33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AcoH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7C6A8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0F0C4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10238986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C3BA49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72626E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DAF0A9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351B5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2-oxo-glutarate dehydrogenase E1 component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65C692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SucA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7FA83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64B29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24E034F5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E5F954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73ED7B3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89D957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7C135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2-oxo-glutarate dehydrogenase E2 component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FF6027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SucB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1886B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F41BE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395AAD51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85C572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1989075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38EBF5C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40338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Succinyl-CoA ligase alpha chain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0574EB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SucD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63420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E8B45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6D830D77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6B7DC1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3683F64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F8C3FB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75FAB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Succinyl-CoA ligase beta chain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213725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SucS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4D646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1194B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049A665E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7A8781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7514709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2C30F17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ACC93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Succinate dehydrogenase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B0DC90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sdh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0A4B2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F275B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7F7FC09A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255CDC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20C557B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DC3C9D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22672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Fumarate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hydratase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DC82FD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Fum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99D76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E8C2A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0FC61DF7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30CC88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hideMark/>
          </w:tcPr>
          <w:p w14:paraId="7C75FB8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53F0FA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48811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Malate dehydrogenase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8C2545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MD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7E959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3EA82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0B1DE624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E7843E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26D0DC97" w14:textId="77777777" w:rsidR="003010F8" w:rsidRPr="00BB04AC" w:rsidRDefault="003010F8" w:rsidP="00E818A6">
            <w:pPr>
              <w:spacing w:after="0" w:line="240" w:lineRule="auto"/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</w:pPr>
            <w:r w:rsidRPr="00BB04AC"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  <w:t>Nitrogen metabolism</w:t>
            </w:r>
          </w:p>
        </w:tc>
        <w:tc>
          <w:tcPr>
            <w:tcW w:w="218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AB5C2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Nitric oxide synthase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FA3E9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Manganes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e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superoxide dismutase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3F460C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Sod2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6F207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3E24F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2145CD5C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512999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59B1DA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2ACC994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21394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Putative cytochrome P450 hydroxylase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9FDFCB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p450h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5937A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B8D16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5</w:t>
            </w:r>
          </w:p>
        </w:tc>
      </w:tr>
      <w:tr w:rsidR="003010F8" w:rsidRPr="00E03D02" w14:paraId="3122E5C6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DE408B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02EC9C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DFF3F0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215BF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Nitric oxide synthase oxygenase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D2D179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NOSOx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BB039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86BD8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05B1868E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2D5BA1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7C4FEF8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A5B1B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Nitrosative stress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A07E7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Nitrite sensitive transcriptional suppressor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1FACA2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NsrR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2EBF2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68487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0CD9816A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683B05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5106FF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A339D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Ammonia assimilation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EE6C9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Glutamine synthetase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C85F8E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GS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0692B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3859C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73201696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F46699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1B4EBDC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36D2B79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DA2AE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Glutamine synthetase chain (large &amp; small) 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ADD369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NADPH_GOGAT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94530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6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417B3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</w:t>
            </w:r>
          </w:p>
        </w:tc>
      </w:tr>
      <w:tr w:rsidR="003010F8" w:rsidRPr="00E03D02" w14:paraId="2B153A76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10F682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371AD31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B20108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273E0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Ferr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e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doxin-dependant glutamate synthase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8429E0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GOGATF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47563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C3154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4275027B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87094A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42030DE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A3924D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4748B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Glutamine amidotransferase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BD4A94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GAT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E2EF2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FD676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389F4712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DED12A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2AF0A48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6CE5649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5053D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Nitrogen regulation protein N1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AC2882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NRI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9AC3D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 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56F26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247EEEBE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176409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40991D3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D03064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147AD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Nitrogen regulation protein P2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B9EBB8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PII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94A23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2131C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</w:t>
            </w:r>
          </w:p>
        </w:tc>
      </w:tr>
      <w:tr w:rsidR="003010F8" w:rsidRPr="00E03D02" w14:paraId="64FEAE37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499ADE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6B0C68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6BC82C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F106E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Ammonium transporter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A35949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amt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A51F4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ADFE3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3A8E2291" w14:textId="77777777" w:rsidTr="00E818A6">
        <w:trPr>
          <w:trHeight w:val="6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96E683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3BA0157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634A4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Denitrifying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reductase gene cluster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25181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Nitrous oxide reductase maturation protein outer membrane lipoprotein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197708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NOSL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F8377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75781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6187828C" w14:textId="77777777" w:rsidTr="00E818A6">
        <w:trPr>
          <w:trHeight w:val="6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9D0DE5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5CEE2B8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3809EE4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07181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Nitrous oxide reductase maturation transmembrane membrane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35408A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NOSY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F9E1E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5C006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5625F717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6A8119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18B8D5A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5E9602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1A950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Nitrous oxide reductase maturation protein (ATPase)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D3233A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NOSF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FB361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562DC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73E88F6E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9850D1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5054F09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659FCA7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282F9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Nitrous oxide reductase maturation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B6C2AC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NOSD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56FBE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0AA85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1B5F1791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BD364E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7D2A1C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2695EB9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7B1F6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Respiratory nitrate reductase alpha chain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7154D6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NarG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D0977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4EB41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60016943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A17E74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2103AD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3AE8F8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592F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Respiratory nitrate reductase beta chain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A34AD1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NarH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7A2C4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00D53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</w:tr>
      <w:tr w:rsidR="003010F8" w:rsidRPr="00E03D02" w14:paraId="760CE79D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13022F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EB9CEE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943026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BF1F3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Respiratory nitrate reductase delta chain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1EB631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NarJ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40247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C462B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17081C40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81E750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37BBB0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6CC395B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3B67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Respiratory nitrate reductase gamma chain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8AFDF7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NarI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3DE2A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2D905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5D154CF9" w14:textId="77777777" w:rsidTr="00E818A6">
        <w:trPr>
          <w:trHeight w:val="6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D307C4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81C45A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A9B2D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Nitrate and nitrite ammonification 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3E0C3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Nitrite reductase (NADPH large subunit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6853DC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NiRas1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65CE4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A74BD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78657AB2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536CC9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253986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C0B195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D8CC3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Nitrite reductase (NADPH small subunit)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1E519D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NiRas2 (NiR1B, Nir2B)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2DB76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E182D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2B8F59C6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82103E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59EF3C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DFC059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6F774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Nitrate/nitrate transporter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40B211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NaNiT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FC220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B11C1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18096A28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573DC5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8D8E68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410724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FBFDB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Respiratory nitrate reductase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40D75B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NaRres (G,H,I,J,C)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92864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36A29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7A6035CD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3A437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3A27C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2C1411E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00596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Nitrate/nitrate regulatory/response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72E058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Reg (NaNiRR, NaNis, NasT)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15699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805C4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60AA7598" w14:textId="77777777" w:rsidTr="00E818A6">
        <w:trPr>
          <w:trHeight w:val="300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FCF3F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28BD6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BF7BEE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62DE7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Assimilatory nitrate reductase (Large subunit)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FD2019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NaRas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C520A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82314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5AFF51D8" w14:textId="77777777" w:rsidTr="00E818A6">
        <w:trPr>
          <w:trHeight w:val="300"/>
        </w:trPr>
        <w:tc>
          <w:tcPr>
            <w:tcW w:w="1834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66E3684" w14:textId="77777777" w:rsidR="003010F8" w:rsidRPr="00BB04AC" w:rsidRDefault="003010F8" w:rsidP="00E818A6">
            <w:pPr>
              <w:spacing w:after="0" w:line="240" w:lineRule="auto"/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</w:pPr>
            <w:r w:rsidRPr="00BB04AC"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  <w:t>Phytohormone production</w:t>
            </w:r>
          </w:p>
        </w:tc>
        <w:tc>
          <w:tcPr>
            <w:tcW w:w="2257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4D2E27D1" w14:textId="77777777" w:rsidR="003010F8" w:rsidRPr="00BB04AC" w:rsidRDefault="003010F8" w:rsidP="00E818A6">
            <w:pPr>
              <w:spacing w:after="0" w:line="240" w:lineRule="auto"/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</w:pPr>
            <w:r w:rsidRPr="00BB04AC"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  <w:t>Auxin production</w:t>
            </w:r>
          </w:p>
        </w:tc>
        <w:tc>
          <w:tcPr>
            <w:tcW w:w="218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BA49C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Auxin biosynthesis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AE253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Anthranilate phosphoribosyltransferase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D7D1C0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TrpB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96BA3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72DFC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69A50682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FF3BE0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4CE2EB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4E22AD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91910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Anthranilate synthase aminase component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76ACF6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trpAa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D6424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B90FE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2DE27CE3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AF79C6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837892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594D14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2CF77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Anthranilate synthase amidotransferase component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1E814C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trpAb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531E1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B7591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145CE908" w14:textId="77777777" w:rsidTr="00E818A6">
        <w:trPr>
          <w:trHeight w:val="315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4DDD1B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CC3AE6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6A076DF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12FC9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282828"/>
                <w:szCs w:val="24"/>
                <w:lang w:eastAsia="en-ZA"/>
              </w:rPr>
            </w:pPr>
            <w:r w:rsidRPr="00E03D02">
              <w:rPr>
                <w:rFonts w:eastAsia="Times New Roman" w:cs="Times New Roman"/>
                <w:color w:val="282828"/>
                <w:szCs w:val="24"/>
                <w:lang w:eastAsia="en-ZA"/>
              </w:rPr>
              <w:t>indole-3-glycerol phosphate synthase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72095A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TrpD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DD6DE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CE173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2E37F35F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B6498C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D462D2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383EEFF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886C3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Phosphoribosylanthranilate isomerase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AD18A8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TrpC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97BD3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43058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140C9B2B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380497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B9059A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BCBAD8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CC58A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Tryptophan synthase alpha chain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70CA64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TrpEa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11371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7C5D1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50BD4763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2A9899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D10AFA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42EE02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58F24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Tryptophan synthase beta chain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539903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TrpEb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1CE4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F41B0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7EC3A7B6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868802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08195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DC06CD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1CD00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Monoamine oxidase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652E13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AO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A57C1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5B16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1067DAFC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305F58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6A8A14C" w14:textId="77777777" w:rsidR="003010F8" w:rsidRPr="00BB04AC" w:rsidRDefault="003010F8" w:rsidP="00E818A6">
            <w:pPr>
              <w:spacing w:after="0" w:line="240" w:lineRule="auto"/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</w:pPr>
            <w:r w:rsidRPr="00BB04AC"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  <w:t>Cytokinin production</w:t>
            </w:r>
          </w:p>
        </w:tc>
        <w:tc>
          <w:tcPr>
            <w:tcW w:w="2182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E409A0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non-mevalonate pathway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60F77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Acetyl-CoA acetyltransferase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01BD83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ACAT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D0100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0484C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</w:t>
            </w:r>
          </w:p>
        </w:tc>
      </w:tr>
      <w:tr w:rsidR="003010F8" w:rsidRPr="00E03D02" w14:paraId="4CBE5730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B48AA9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DC57A2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BEB605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DCACD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Hydroxymethylglutaryl-CoA synthase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DFCB3D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HMGCS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84A4C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B3047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79D1DCB2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D23BB4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ED39F4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3791570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C3ABC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Isopentenyl-diphosphate-delta isomerase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A12EFB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IPDDI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94368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FD206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0626A298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30C967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4F5528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226C1C8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90225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1-deoxy-D-xylulose-5-phosphate synthase 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824AA2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DXS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75F95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EAC22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683C8733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338479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11EF8F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4C4213C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FD1FB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1-deoxy-D-xylulose-5-phosphate reductoisomerase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B79830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ISPC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562CF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07330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11F058ED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51BA78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0F818B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08D87FB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A77C0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2-C-Methyl-D-erythritol 4-phosphate c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y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tidylyltransferase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4DBA09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ISPD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E6CC9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4407E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1D127BF0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C90496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65D9F7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60BB229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2A176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4-Diphosphocytidyl-2-C-methyl-D-erythritol kinase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D18904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ISPE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821ED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E512E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70130B3F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929681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48C677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496A4A4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AF433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2-C-Methyl-D-erythritol 2,4-cyclodiphosphate 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synthase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B20672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ISPF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AE141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46681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621B130E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5A35D2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738B4E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2580A35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06F48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1-hydroxy-2-methyl-2-E-buteryl 4-diphosphate synthase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DFDA86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ISPG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CF2DB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19493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264DCB90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3B6E9E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B376F3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78B2BBA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D6606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4-Hydroxy-3-methylbut-2-enyl diphosphate reductase 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3DC5DB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ISPH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DC4C6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6D0B0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3A561DC5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18724F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8A2B0F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646AB56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BE6F4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(2E,6E)-farnesyl diphosphate synthase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BF2951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GTT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A0E97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290FF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0E9ABF6A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C0DA6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8727A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shd w:val="clear" w:color="auto" w:fill="auto"/>
            <w:hideMark/>
          </w:tcPr>
          <w:p w14:paraId="6D0874F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7C6FB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Undecaprenyl diphosphate synthase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691AD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UppS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9F7DB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7274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4B86B50D" w14:textId="77777777" w:rsidTr="00E818A6">
        <w:trPr>
          <w:trHeight w:val="300"/>
        </w:trPr>
        <w:tc>
          <w:tcPr>
            <w:tcW w:w="1834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1ADF935" w14:textId="77777777" w:rsidR="003010F8" w:rsidRPr="00EA1788" w:rsidRDefault="003010F8" w:rsidP="00E818A6">
            <w:pPr>
              <w:spacing w:after="0" w:line="240" w:lineRule="auto"/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</w:pPr>
            <w:r w:rsidRPr="00BB04AC"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  <w:t>Pathogen suppression</w:t>
            </w:r>
          </w:p>
        </w:tc>
        <w:tc>
          <w:tcPr>
            <w:tcW w:w="2257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A3E4CD4" w14:textId="77777777" w:rsidR="003010F8" w:rsidRPr="00EA1788" w:rsidRDefault="003010F8" w:rsidP="00E818A6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  <w:lang w:eastAsia="en-ZA"/>
              </w:rPr>
            </w:pPr>
            <w:r w:rsidRPr="00BB04AC"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  <w:t>siderophore production</w:t>
            </w:r>
          </w:p>
        </w:tc>
        <w:tc>
          <w:tcPr>
            <w:tcW w:w="2182" w:type="dxa"/>
            <w:vMerge w:val="restart"/>
            <w:tcBorders>
              <w:left w:val="nil"/>
              <w:right w:val="nil"/>
            </w:tcBorders>
            <w:shd w:val="clear" w:color="auto" w:fill="auto"/>
            <w:hideMark/>
          </w:tcPr>
          <w:p w14:paraId="7316546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Bacillibactin siderophore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0E92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Dimethylallyltransferase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EC7E9E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DMAT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C22EE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8DC33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668F37F0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9DC83A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BB4300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b/>
                <w:color w:val="000000"/>
                <w:sz w:val="22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AA4695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6B24B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2,3-dihydro-2,3-dihydroxybenzoate dehydrogenase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6CA47F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dhbA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EF8D6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11810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6B0ECF4C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F61E8F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A32884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hideMark/>
          </w:tcPr>
          <w:p w14:paraId="4FA3932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519E0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Isochorismatase 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276DD8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dhbB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ADDD5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12608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6DE6BB40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2337AC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BFA6BA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hideMark/>
          </w:tcPr>
          <w:p w14:paraId="5101B2F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3AEBB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2,3-dihydroxybenzoate-AMP ligase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71CAB5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dhbE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7A6BE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8B4BC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77F30AD4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7AA7BA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256F48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hideMark/>
          </w:tcPr>
          <w:p w14:paraId="0CEF119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81C8B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Bacillibactin synthetase component F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FDAA35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dhbF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77A70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4F36B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0778F015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1F36CF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2A8F70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hideMark/>
          </w:tcPr>
          <w:p w14:paraId="171AC96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AE1F4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Triactone hydrolase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F3E2D5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yuiI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1C3A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CB689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030E3CCC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59F0D1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1C57BA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hideMark/>
          </w:tcPr>
          <w:p w14:paraId="10248E4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731BE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Fe-bacillibactin uptake system (Fe-bacillibactin binding)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01484E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FeuA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3F895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84A08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28EDD63A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43F1FF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4BA605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hideMark/>
          </w:tcPr>
          <w:p w14:paraId="4D0E9BA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7662C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Fe-bacillibactin uptake system 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B78771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FeuB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D3C12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A603D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17E1B3D2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7402C5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3F2B59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right w:val="nil"/>
            </w:tcBorders>
            <w:hideMark/>
          </w:tcPr>
          <w:p w14:paraId="112D387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DC52E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Fe-bacillibactin uptake system 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650C56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FeuC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96FD5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827C2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29AC0FC8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8BC417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927C18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left w:val="nil"/>
              <w:bottom w:val="nil"/>
              <w:right w:val="nil"/>
            </w:tcBorders>
            <w:hideMark/>
          </w:tcPr>
          <w:p w14:paraId="05382F5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7CC13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Fe-bacillibactin uptake system 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0E60E8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FeuD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A8880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76ABD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38680449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8E6450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4F3AB9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0A653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Antrachelin siderophore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DAEDD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Antibiotics biosynthesis monooxygenase domain-containing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E4182A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Hyp1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7FFE2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4580B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001F1340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9793E8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B5FE0D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84142E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AFF3C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Ant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h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racheline biosynthesis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28EAB2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AsbA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C085C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DA133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1DF93029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332269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5FE318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33BE569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0CBD3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Ant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h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racheline biosynthesis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C2CE94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AsbA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7BCC1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50B33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78BB344F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BB9582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078BAE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2A6C97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8BD81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Long chain fatty acid - CoA ligase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EE8A02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SiderX3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31456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40F9C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42D24619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0D2C5E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0FF8EB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71364E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133BD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Protein GBAA1985 associated with ant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h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racheline biosynthesis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EBE1AE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SiderX4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3D8EA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9575B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36F37120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7D80BA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643754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4F6474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197AF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Protein GBAA1986 associated with ant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h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racheline biosynthesis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8FE9B2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SiderX5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05047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8928E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586BDB70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447A37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B576AC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23A7CD2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77075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Acyl carrier protein associated with ant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h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racheline biosynthesis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62A10D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SiderX6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C94BF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73E6D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239F542B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CCE31F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D6018F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AA9963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F48C7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Substrate binding protein in ABC uptake transporter (uncharacterised) 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BD1B46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X-ABC1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CC442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5FE34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7469CE9C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26CB7A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0FCD9CA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E00054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D7D86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Permease protein in ABC uptake transporter (uncharacterised)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96A0B2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X-ABC2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9F90F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8A79A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6DB3A9DC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A2839E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440FBF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C0E6E4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A83FF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ATP binding protein in ABC 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uptake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transporter (uncharacterised)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AB328A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X-ABC3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BE8E0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5AAD3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</w:tr>
      <w:tr w:rsidR="003010F8" w:rsidRPr="00E03D02" w14:paraId="41D7161B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088546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91BF56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A12F8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Petrobactin mediated iron uptake system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AA1F9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Petrobactin ABC transporter- periplasmi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c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binding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8AEF39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PB_PBD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0831D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6D515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4503CDB3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377E1E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9230BF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308E54C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58090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Petrobactin ABC transporter- ATP binding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6003A0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PB_ABP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77EB0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80B74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3C4F188F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DF71AA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BC55AB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6D36229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D96A8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Petrobactin ABC transporter- permease protein I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D859BE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PB_PPI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F7974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74578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3677D4DE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16DEE1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154589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BD6E64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4D1AB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Petrobactin ABC transporter- permease protein II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05DD86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PB_PPII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106D1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35FEA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4D167FBB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E2E0DF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7DA4A8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6993F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Siderophore assembly kit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5EB87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Siderophore synthetase large component acetyltransferase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83EA6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SSIAc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E8125D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154C2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1EC0014A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32EF89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C03493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51BA75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F01DB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Siderophore synthetase component ligase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B085D1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SSLc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0A6D5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11178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6F6CE3F6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6FE41A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329B8B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29F8FB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59D79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Siderophore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transfer protein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AFBF54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Stra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4BB15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DF167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6D7E03AE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F72385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BE7879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C4A8C7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FBA9C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Isochorismate synthase 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AD8E30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PchA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349F2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CB7616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1A1BC887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660145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7EF7FC5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A98165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9E740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2,3-dihydroxybenzoate-AMP ligase 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D5271F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PchD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4ACB8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E7F7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1B9ECE3E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6E8988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430DA8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313B175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FB89A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Thiazolinylimide reductase in siderophore biosynthesis gene cluster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DD6B3E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PchG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68089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1F0F68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03C0496A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65AE29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7B45C7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3D4BA98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B47724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Putative reductoisomerase in </w:t>
            </w:r>
            <w:r>
              <w:rPr>
                <w:rFonts w:eastAsia="Times New Roman" w:cs="Times New Roman"/>
                <w:color w:val="000000"/>
                <w:sz w:val="22"/>
                <w:lang w:eastAsia="en-ZA"/>
              </w:rPr>
              <w:t>siderophore</w:t>
            </w: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biosynthesis gene cluster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4B6FA8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PchK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072FC3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C01A5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0C86B523" w14:textId="77777777" w:rsidTr="00E818A6">
        <w:trPr>
          <w:trHeight w:val="300"/>
        </w:trPr>
        <w:tc>
          <w:tcPr>
            <w:tcW w:w="1834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CD230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2C4996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B3D0B0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DD3F3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ABC-type Fe3+ siderophore transport system permease component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CF3736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ABCp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85F3B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E3E9A1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31045F16" w14:textId="77777777" w:rsidTr="00E818A6">
        <w:trPr>
          <w:trHeight w:val="300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DFA58E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DF080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343233F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ABFEB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ABC-type Fe3+ siderophore transport system permease II component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58136A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ABCp2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EDAE4A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442320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 xml:space="preserve"> -</w:t>
            </w:r>
          </w:p>
        </w:tc>
      </w:tr>
      <w:tr w:rsidR="003010F8" w:rsidRPr="00E03D02" w14:paraId="5CCCE5C2" w14:textId="77777777" w:rsidTr="00E818A6">
        <w:trPr>
          <w:trHeight w:val="300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C0AE61" w14:textId="77777777" w:rsidR="003010F8" w:rsidRPr="00BB04AC" w:rsidRDefault="003010F8" w:rsidP="00E818A6">
            <w:pPr>
              <w:spacing w:after="0" w:line="240" w:lineRule="auto"/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</w:pPr>
            <w:r w:rsidRPr="00BB04AC"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  <w:t>Stress regulation</w:t>
            </w: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EE7B7A" w14:textId="77777777" w:rsidR="003010F8" w:rsidRPr="00BB04AC" w:rsidRDefault="003010F8" w:rsidP="00E818A6">
            <w:pPr>
              <w:spacing w:after="0" w:line="240" w:lineRule="auto"/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</w:pPr>
            <w:r w:rsidRPr="00BB04AC">
              <w:rPr>
                <w:rFonts w:eastAsia="Times New Roman" w:cs="Times New Roman"/>
                <w:bCs/>
                <w:color w:val="000000"/>
                <w:sz w:val="22"/>
                <w:lang w:eastAsia="en-ZA"/>
              </w:rPr>
              <w:t>antioxidant activity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03F905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Catalase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751ED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Catalase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2CF8D7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Cat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534F09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3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0BDA9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5</w:t>
            </w:r>
          </w:p>
        </w:tc>
      </w:tr>
      <w:tr w:rsidR="003010F8" w:rsidRPr="00E03D02" w14:paraId="41894F36" w14:textId="77777777" w:rsidTr="00E818A6">
        <w:trPr>
          <w:trHeight w:val="300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B9731B2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5A5AEC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5EE0B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Superoxide dismutase</w:t>
            </w:r>
          </w:p>
        </w:tc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E04D57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Superoxide dismutase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03A932" w14:textId="77777777" w:rsidR="003010F8" w:rsidRPr="00DC4F82" w:rsidRDefault="003010F8" w:rsidP="00E818A6">
            <w:pPr>
              <w:spacing w:after="0" w:line="240" w:lineRule="auto"/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</w:pPr>
            <w:r w:rsidRPr="00DC4F82">
              <w:rPr>
                <w:rFonts w:eastAsia="Times New Roman" w:cs="Times New Roman"/>
                <w:i/>
                <w:color w:val="000000"/>
                <w:sz w:val="22"/>
                <w:lang w:eastAsia="en-ZA"/>
              </w:rPr>
              <w:t>sod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7EAB8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3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87DF2B" w14:textId="77777777" w:rsidR="003010F8" w:rsidRPr="00E03D02" w:rsidRDefault="003010F8" w:rsidP="00E818A6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en-ZA"/>
              </w:rPr>
            </w:pPr>
            <w:r w:rsidRPr="00E03D02">
              <w:rPr>
                <w:rFonts w:eastAsia="Times New Roman" w:cs="Times New Roman"/>
                <w:color w:val="000000"/>
                <w:sz w:val="22"/>
                <w:lang w:eastAsia="en-ZA"/>
              </w:rPr>
              <w:t>3</w:t>
            </w:r>
          </w:p>
        </w:tc>
      </w:tr>
    </w:tbl>
    <w:p w14:paraId="4BB0953F" w14:textId="77777777" w:rsidR="003010F8" w:rsidRPr="00E03D02" w:rsidRDefault="003010F8" w:rsidP="00A273BA">
      <w:pPr>
        <w:rPr>
          <w:rFonts w:cs="Times New Roman"/>
        </w:rPr>
      </w:pPr>
    </w:p>
    <w:sectPr w:rsidR="003010F8" w:rsidRPr="00E03D02" w:rsidSect="00A273BA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E06FC"/>
    <w:multiLevelType w:val="multilevel"/>
    <w:tmpl w:val="3252C4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16712D"/>
    <w:multiLevelType w:val="hybridMultilevel"/>
    <w:tmpl w:val="3398D734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56185E"/>
    <w:multiLevelType w:val="hybridMultilevel"/>
    <w:tmpl w:val="76C87322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8C08B7"/>
    <w:multiLevelType w:val="hybridMultilevel"/>
    <w:tmpl w:val="16C29306"/>
    <w:lvl w:ilvl="0" w:tplc="1C0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A86B7D"/>
    <w:multiLevelType w:val="hybridMultilevel"/>
    <w:tmpl w:val="BE1474F8"/>
    <w:lvl w:ilvl="0" w:tplc="6766499E">
      <w:numFmt w:val="bullet"/>
      <w:lvlText w:val="-"/>
      <w:lvlJc w:val="left"/>
      <w:pPr>
        <w:ind w:left="405" w:hanging="360"/>
      </w:pPr>
      <w:rPr>
        <w:rFonts w:ascii="Calibri" w:eastAsia="Times New Roman" w:hAnsi="Calibri" w:cs="Calibri" w:hint="default"/>
      </w:rPr>
    </w:lvl>
    <w:lvl w:ilvl="1" w:tplc="1C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5" w15:restartNumberingAfterBreak="0">
    <w:nsid w:val="3CCD38F0"/>
    <w:multiLevelType w:val="multilevel"/>
    <w:tmpl w:val="22822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9E31462"/>
    <w:multiLevelType w:val="multilevel"/>
    <w:tmpl w:val="3C0605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9007585"/>
    <w:multiLevelType w:val="hybridMultilevel"/>
    <w:tmpl w:val="3E1E5C12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8024164">
    <w:abstractNumId w:val="0"/>
  </w:num>
  <w:num w:numId="2" w16cid:durableId="1007058249">
    <w:abstractNumId w:val="4"/>
  </w:num>
  <w:num w:numId="3" w16cid:durableId="1008216326">
    <w:abstractNumId w:val="3"/>
  </w:num>
  <w:num w:numId="4" w16cid:durableId="71436078">
    <w:abstractNumId w:val="5"/>
  </w:num>
  <w:num w:numId="5" w16cid:durableId="248270226">
    <w:abstractNumId w:val="7"/>
  </w:num>
  <w:num w:numId="6" w16cid:durableId="503133218">
    <w:abstractNumId w:val="2"/>
  </w:num>
  <w:num w:numId="7" w16cid:durableId="1261059231">
    <w:abstractNumId w:val="1"/>
  </w:num>
  <w:num w:numId="8" w16cid:durableId="14854658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10F8"/>
    <w:rsid w:val="00214195"/>
    <w:rsid w:val="003010F8"/>
    <w:rsid w:val="003747B2"/>
    <w:rsid w:val="004B1ECD"/>
    <w:rsid w:val="006B626C"/>
    <w:rsid w:val="00944B3D"/>
    <w:rsid w:val="00A15969"/>
    <w:rsid w:val="00A273BA"/>
    <w:rsid w:val="00AB207C"/>
    <w:rsid w:val="00FE7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64479D74"/>
  <w15:chartTrackingRefBased/>
  <w15:docId w15:val="{C9958AE7-AED5-47F3-9746-CE91156A3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10F8"/>
    <w:pPr>
      <w:spacing w:after="200" w:line="480" w:lineRule="auto"/>
      <w:jc w:val="both"/>
    </w:pPr>
    <w:rPr>
      <w:rFonts w:ascii="Times New Roman" w:hAnsi="Times New Roman"/>
      <w:kern w:val="0"/>
      <w:sz w:val="24"/>
      <w14:ligatures w14:val="none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3010F8"/>
    <w:pPr>
      <w:keepNext/>
      <w:keepLines/>
      <w:autoSpaceDE w:val="0"/>
      <w:autoSpaceDN w:val="0"/>
      <w:adjustRightInd w:val="0"/>
      <w:spacing w:after="0"/>
      <w:outlineLvl w:val="0"/>
    </w:pPr>
    <w:rPr>
      <w:rFonts w:eastAsiaTheme="majorEastAsia" w:cs="Times New Roman"/>
      <w:b/>
      <w:bCs/>
      <w:color w:val="000000"/>
      <w:szCs w:val="24"/>
      <w:shd w:val="clear" w:color="auto" w:fill="FFFFFF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010F8"/>
    <w:pPr>
      <w:keepNext/>
      <w:keepLines/>
      <w:spacing w:before="200" w:after="0"/>
      <w:outlineLvl w:val="1"/>
    </w:pPr>
    <w:rPr>
      <w:rFonts w:ascii="Times" w:eastAsiaTheme="majorEastAsia" w:hAnsi="Times" w:cstheme="majorBidi"/>
      <w:bCs/>
      <w:i/>
      <w:color w:val="000000" w:themeColor="text1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010F8"/>
    <w:pPr>
      <w:keepNext/>
      <w:keepLines/>
      <w:spacing w:before="40" w:after="0"/>
      <w:outlineLvl w:val="2"/>
    </w:pPr>
    <w:rPr>
      <w:rFonts w:eastAsiaTheme="majorEastAsia" w:cstheme="majorBidi"/>
      <w:i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010F8"/>
    <w:rPr>
      <w:rFonts w:ascii="Times New Roman" w:eastAsiaTheme="majorEastAsia" w:hAnsi="Times New Roman" w:cs="Times New Roman"/>
      <w:b/>
      <w:bCs/>
      <w:color w:val="000000"/>
      <w:kern w:val="0"/>
      <w:sz w:val="24"/>
      <w:szCs w:val="24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3010F8"/>
    <w:rPr>
      <w:rFonts w:ascii="Times" w:eastAsiaTheme="majorEastAsia" w:hAnsi="Times" w:cstheme="majorBidi"/>
      <w:bCs/>
      <w:i/>
      <w:color w:val="000000" w:themeColor="text1"/>
      <w:kern w:val="0"/>
      <w:sz w:val="24"/>
      <w:szCs w:val="26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3010F8"/>
    <w:rPr>
      <w:rFonts w:ascii="Times New Roman" w:eastAsiaTheme="majorEastAsia" w:hAnsi="Times New Roman" w:cstheme="majorBidi"/>
      <w:i/>
      <w:kern w:val="0"/>
      <w:sz w:val="24"/>
      <w:szCs w:val="24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3010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010F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010F8"/>
    <w:rPr>
      <w:rFonts w:ascii="Times New Roman" w:hAnsi="Times New Roman"/>
      <w:kern w:val="0"/>
      <w:sz w:val="20"/>
      <w:szCs w:val="20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10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10F8"/>
    <w:rPr>
      <w:rFonts w:ascii="Segoe UI" w:hAnsi="Segoe UI" w:cs="Segoe UI"/>
      <w:kern w:val="0"/>
      <w:sz w:val="18"/>
      <w:szCs w:val="18"/>
      <w14:ligatures w14:val="none"/>
    </w:rPr>
  </w:style>
  <w:style w:type="character" w:styleId="Emphasis">
    <w:name w:val="Emphasis"/>
    <w:basedOn w:val="DefaultParagraphFont"/>
    <w:uiPriority w:val="20"/>
    <w:qFormat/>
    <w:rsid w:val="003010F8"/>
    <w:rPr>
      <w:i/>
      <w:iCs/>
    </w:rPr>
  </w:style>
  <w:style w:type="paragraph" w:customStyle="1" w:styleId="Default">
    <w:name w:val="Default"/>
    <w:rsid w:val="003010F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10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10F8"/>
    <w:rPr>
      <w:rFonts w:ascii="Times New Roman" w:hAnsi="Times New Roman"/>
      <w:b/>
      <w:bCs/>
      <w:kern w:val="0"/>
      <w:sz w:val="20"/>
      <w:szCs w:val="20"/>
      <w14:ligatures w14:val="none"/>
    </w:rPr>
  </w:style>
  <w:style w:type="character" w:styleId="Hyperlink">
    <w:name w:val="Hyperlink"/>
    <w:basedOn w:val="DefaultParagraphFont"/>
    <w:uiPriority w:val="99"/>
    <w:unhideWhenUsed/>
    <w:rsid w:val="003010F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3010F8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3010F8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3010F8"/>
    <w:rPr>
      <w:b/>
      <w:bCs/>
    </w:rPr>
  </w:style>
  <w:style w:type="character" w:customStyle="1" w:styleId="previewtxt">
    <w:name w:val="previewtxt"/>
    <w:basedOn w:val="DefaultParagraphFont"/>
    <w:rsid w:val="003010F8"/>
  </w:style>
  <w:style w:type="character" w:customStyle="1" w:styleId="guestview">
    <w:name w:val="guestview"/>
    <w:basedOn w:val="DefaultParagraphFont"/>
    <w:rsid w:val="003010F8"/>
  </w:style>
  <w:style w:type="paragraph" w:styleId="Header">
    <w:name w:val="header"/>
    <w:basedOn w:val="Normal"/>
    <w:link w:val="HeaderChar"/>
    <w:uiPriority w:val="99"/>
    <w:unhideWhenUsed/>
    <w:rsid w:val="003010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10F8"/>
    <w:rPr>
      <w:rFonts w:ascii="Times New Roman" w:hAnsi="Times New Roman"/>
      <w:kern w:val="0"/>
      <w:sz w:val="24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3010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10F8"/>
    <w:rPr>
      <w:rFonts w:ascii="Times New Roman" w:hAnsi="Times New Roman"/>
      <w:kern w:val="0"/>
      <w:sz w:val="24"/>
      <w14:ligatures w14:val="none"/>
    </w:rPr>
  </w:style>
  <w:style w:type="character" w:customStyle="1" w:styleId="text">
    <w:name w:val="text"/>
    <w:basedOn w:val="DefaultParagraphFont"/>
    <w:rsid w:val="003010F8"/>
  </w:style>
  <w:style w:type="character" w:customStyle="1" w:styleId="author-ref">
    <w:name w:val="author-ref"/>
    <w:basedOn w:val="DefaultParagraphFont"/>
    <w:rsid w:val="003010F8"/>
  </w:style>
  <w:style w:type="character" w:customStyle="1" w:styleId="title-text">
    <w:name w:val="title-text"/>
    <w:basedOn w:val="DefaultParagraphFont"/>
    <w:rsid w:val="003010F8"/>
  </w:style>
  <w:style w:type="character" w:styleId="LineNumber">
    <w:name w:val="line number"/>
    <w:basedOn w:val="DefaultParagraphFont"/>
    <w:uiPriority w:val="99"/>
    <w:semiHidden/>
    <w:unhideWhenUsed/>
    <w:rsid w:val="003010F8"/>
  </w:style>
  <w:style w:type="paragraph" w:styleId="Revision">
    <w:name w:val="Revision"/>
    <w:hidden/>
    <w:uiPriority w:val="99"/>
    <w:semiHidden/>
    <w:rsid w:val="003010F8"/>
    <w:pPr>
      <w:spacing w:after="0" w:line="240" w:lineRule="auto"/>
    </w:pPr>
    <w:rPr>
      <w:rFonts w:ascii="Times New Roman" w:hAnsi="Times New Roman"/>
      <w:kern w:val="0"/>
      <w:sz w:val="24"/>
      <w14:ligatures w14:val="non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010F8"/>
    <w:rPr>
      <w:color w:val="605E5C"/>
      <w:shd w:val="clear" w:color="auto" w:fill="E1DFDD"/>
    </w:rPr>
  </w:style>
  <w:style w:type="character" w:customStyle="1" w:styleId="identifier">
    <w:name w:val="identifier"/>
    <w:basedOn w:val="DefaultParagraphFont"/>
    <w:rsid w:val="003010F8"/>
  </w:style>
  <w:style w:type="character" w:customStyle="1" w:styleId="id-label">
    <w:name w:val="id-label"/>
    <w:basedOn w:val="DefaultParagraphFont"/>
    <w:rsid w:val="003010F8"/>
  </w:style>
  <w:style w:type="character" w:customStyle="1" w:styleId="author">
    <w:name w:val="author"/>
    <w:basedOn w:val="DefaultParagraphFont"/>
    <w:rsid w:val="003010F8"/>
  </w:style>
  <w:style w:type="character" w:customStyle="1" w:styleId="pubyear">
    <w:name w:val="pubyear"/>
    <w:basedOn w:val="DefaultParagraphFont"/>
    <w:rsid w:val="003010F8"/>
  </w:style>
  <w:style w:type="character" w:customStyle="1" w:styleId="articletitle">
    <w:name w:val="articletitle"/>
    <w:basedOn w:val="DefaultParagraphFont"/>
    <w:rsid w:val="003010F8"/>
  </w:style>
  <w:style w:type="character" w:customStyle="1" w:styleId="vol">
    <w:name w:val="vol"/>
    <w:basedOn w:val="DefaultParagraphFont"/>
    <w:rsid w:val="003010F8"/>
  </w:style>
  <w:style w:type="character" w:customStyle="1" w:styleId="pagefirst">
    <w:name w:val="pagefirst"/>
    <w:basedOn w:val="DefaultParagraphFont"/>
    <w:rsid w:val="003010F8"/>
  </w:style>
  <w:style w:type="character" w:customStyle="1" w:styleId="pagelast">
    <w:name w:val="pagelast"/>
    <w:basedOn w:val="DefaultParagraphFont"/>
    <w:rsid w:val="003010F8"/>
  </w:style>
  <w:style w:type="paragraph" w:styleId="Caption">
    <w:name w:val="caption"/>
    <w:basedOn w:val="Normal"/>
    <w:next w:val="Normal"/>
    <w:uiPriority w:val="35"/>
    <w:unhideWhenUsed/>
    <w:qFormat/>
    <w:rsid w:val="003010F8"/>
    <w:pPr>
      <w:spacing w:line="240" w:lineRule="auto"/>
    </w:pPr>
    <w:rPr>
      <w:i/>
      <w:iCs/>
      <w:color w:val="44546A" w:themeColor="text2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3010F8"/>
    <w:pPr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  <w:lang w:eastAsia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jarishma.gokul@up.ac.z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7</Pages>
  <Words>1338</Words>
  <Characters>7633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JK Gokul</dc:creator>
  <cp:keywords/>
  <dc:description/>
  <cp:lastModifiedBy>Dr. JK Gokul</cp:lastModifiedBy>
  <cp:revision>10</cp:revision>
  <dcterms:created xsi:type="dcterms:W3CDTF">2023-10-14T06:22:00Z</dcterms:created>
  <dcterms:modified xsi:type="dcterms:W3CDTF">2025-01-23T09:19:00Z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b8f0b633-f669-498c-b89d-555e0a6d1058</vt:lpwstr>
  </property>
</Properties>
</file>