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5F18" w:rsidRPr="00F251A7" w:rsidRDefault="004F5F18" w:rsidP="004F5F18">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Supplementary File 2. Quality assessment using the Joanna Briggs Institute (JBI) critical appraisal checklist for studies reporting prevalence data</w:t>
      </w:r>
      <w:r w:rsidRPr="00F251A7">
        <w:rPr>
          <w:rFonts w:ascii="Times New Roman" w:eastAsia="Times New Roman" w:hAnsi="Times New Roman" w:cs="Times New Roman"/>
          <w:sz w:val="24"/>
          <w:szCs w:val="24"/>
        </w:rPr>
        <w:fldChar w:fldCharType="begin" w:fldLock="1"/>
      </w:r>
      <w:r w:rsidRPr="00F251A7">
        <w:rPr>
          <w:rFonts w:ascii="Times New Roman" w:eastAsia="Times New Roman" w:hAnsi="Times New Roman" w:cs="Times New Roman"/>
          <w:sz w:val="24"/>
          <w:szCs w:val="24"/>
        </w:rPr>
        <w:instrText>ADDIN CSL_CITATION {"citationItems":[{"id":"ITEM-1","itemData":{"author":[{"dropping-particle":"","family":"Munn","given":"Z","non-dropping-particle":"","parse-names":false,"suffix":""},{"dropping-particle":"","family":"Moola","given":"S","non-dropping-particle":"","parse-names":false,"suffix":""},{"dropping-particle":"","family":"Lisy","given":"K","non-dropping-particle":"","parse-names":false,"suffix":""},{"dropping-particle":"","family":"Riitano","given":"D","non-dropping-particle":"","parse-names":false,"suffix":""},{"dropping-particle":"","family":"Tufanaru","given":"C","non-dropping-particle":"","parse-names":false,"suffix":""}],"container-title":"International Journal of Evidence-Based Healthcare","id":"ITEM-1","issue":"3","issued":{"date-parts":[["2015"]]},"page":"147-153","title":"Methodological guidance for systematic reviews of observational epidemiological studies reporting prevalence and incidence data","type":"article-journal","volume":"13"},"uris":["http://www.mendeley.com/documents/?uuid=f8112c5a-7e6e-442d-8e5b-78b947e4fd43"]}],"mendeley":{"formattedCitation":"&lt;sup&gt;&lt;sup&gt;24&lt;/sup&gt;&lt;/sup&gt;","manualFormatting":"27","plainTextFormattedCitation":"24","previouslyFormattedCitation":"&lt;sup&gt;&lt;sup&gt;24&lt;/sup&gt;&lt;/sup&gt;"},"properties":{"noteIndex":0},"schema":"https://github.com/citation-style-language/schema/raw/master/csl-citation.json"}</w:instrText>
      </w:r>
      <w:r w:rsidRPr="00F251A7">
        <w:rPr>
          <w:rFonts w:ascii="Times New Roman" w:eastAsia="Times New Roman" w:hAnsi="Times New Roman" w:cs="Times New Roman"/>
          <w:sz w:val="24"/>
          <w:szCs w:val="24"/>
        </w:rPr>
        <w:fldChar w:fldCharType="separate"/>
      </w:r>
      <w:r w:rsidRPr="00F251A7">
        <w:rPr>
          <w:rFonts w:ascii="Times New Roman" w:eastAsia="Times New Roman" w:hAnsi="Times New Roman" w:cs="Times New Roman"/>
          <w:noProof/>
          <w:sz w:val="24"/>
          <w:szCs w:val="24"/>
          <w:vertAlign w:val="superscript"/>
        </w:rPr>
        <w:t>27</w:t>
      </w:r>
      <w:r w:rsidRPr="00F251A7">
        <w:rPr>
          <w:rFonts w:ascii="Times New Roman" w:eastAsia="Times New Roman" w:hAnsi="Times New Roman" w:cs="Times New Roman"/>
          <w:sz w:val="24"/>
          <w:szCs w:val="24"/>
        </w:rPr>
        <w:fldChar w:fldCharType="end"/>
      </w:r>
      <w:r w:rsidRPr="00F251A7">
        <w:rPr>
          <w:rFonts w:ascii="Times New Roman" w:eastAsia="Times New Roman" w:hAnsi="Times New Roman" w:cs="Times New Roman"/>
          <w:sz w:val="24"/>
          <w:szCs w:val="24"/>
        </w:rPr>
        <w:t xml:space="preserve">. </w:t>
      </w:r>
    </w:p>
    <w:tbl>
      <w:tblPr>
        <w:tblW w:w="13606" w:type="dxa"/>
        <w:tblLayout w:type="fixed"/>
        <w:tblLook w:val="0400" w:firstRow="0" w:lastRow="0" w:firstColumn="0" w:lastColumn="0" w:noHBand="0" w:noVBand="1"/>
      </w:tblPr>
      <w:tblGrid>
        <w:gridCol w:w="2553"/>
        <w:gridCol w:w="885"/>
        <w:gridCol w:w="885"/>
        <w:gridCol w:w="885"/>
        <w:gridCol w:w="884"/>
        <w:gridCol w:w="884"/>
        <w:gridCol w:w="884"/>
        <w:gridCol w:w="884"/>
        <w:gridCol w:w="884"/>
        <w:gridCol w:w="884"/>
        <w:gridCol w:w="884"/>
        <w:gridCol w:w="1045"/>
        <w:gridCol w:w="1165"/>
      </w:tblGrid>
      <w:tr w:rsidR="004F5F18" w:rsidRPr="00F251A7" w:rsidTr="002059CF">
        <w:tc>
          <w:tcPr>
            <w:tcW w:w="2553" w:type="dxa"/>
            <w:tcBorders>
              <w:top w:val="single" w:sz="4" w:space="0" w:color="auto"/>
              <w:bottom w:val="single" w:sz="4" w:space="0" w:color="auto"/>
            </w:tcBorders>
          </w:tcPr>
          <w:p w:rsidR="004F5F18" w:rsidRPr="00F251A7" w:rsidRDefault="004F5F18" w:rsidP="002059CF">
            <w:pPr>
              <w:spacing w:after="0" w:line="360" w:lineRule="auto"/>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Study</w:t>
            </w:r>
          </w:p>
        </w:tc>
        <w:tc>
          <w:tcPr>
            <w:tcW w:w="885"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Q1</w:t>
            </w:r>
          </w:p>
        </w:tc>
        <w:tc>
          <w:tcPr>
            <w:tcW w:w="885"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Q2</w:t>
            </w:r>
          </w:p>
        </w:tc>
        <w:tc>
          <w:tcPr>
            <w:tcW w:w="885"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Q3</w:t>
            </w:r>
          </w:p>
        </w:tc>
        <w:tc>
          <w:tcPr>
            <w:tcW w:w="884"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Q4</w:t>
            </w:r>
          </w:p>
        </w:tc>
        <w:tc>
          <w:tcPr>
            <w:tcW w:w="884"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Q5</w:t>
            </w:r>
          </w:p>
        </w:tc>
        <w:tc>
          <w:tcPr>
            <w:tcW w:w="884"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Q6</w:t>
            </w:r>
          </w:p>
        </w:tc>
        <w:tc>
          <w:tcPr>
            <w:tcW w:w="884"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Q7</w:t>
            </w:r>
          </w:p>
        </w:tc>
        <w:tc>
          <w:tcPr>
            <w:tcW w:w="884"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Q8</w:t>
            </w:r>
          </w:p>
        </w:tc>
        <w:tc>
          <w:tcPr>
            <w:tcW w:w="884"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Q9</w:t>
            </w:r>
          </w:p>
        </w:tc>
        <w:tc>
          <w:tcPr>
            <w:tcW w:w="884"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Score</w:t>
            </w:r>
          </w:p>
        </w:tc>
        <w:tc>
          <w:tcPr>
            <w:tcW w:w="1045"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Quality</w:t>
            </w:r>
          </w:p>
        </w:tc>
        <w:tc>
          <w:tcPr>
            <w:tcW w:w="1165" w:type="dxa"/>
            <w:tcBorders>
              <w:top w:val="single" w:sz="4" w:space="0" w:color="auto"/>
              <w:bottom w:val="single" w:sz="4" w:space="0" w:color="auto"/>
            </w:tcBorders>
          </w:tcPr>
          <w:p w:rsidR="004F5F18" w:rsidRPr="00F251A7" w:rsidRDefault="004F5F18" w:rsidP="002059CF">
            <w:pPr>
              <w:spacing w:after="0" w:line="360" w:lineRule="auto"/>
              <w:jc w:val="center"/>
              <w:rPr>
                <w:rFonts w:ascii="Times New Roman" w:eastAsia="Times New Roman" w:hAnsi="Times New Roman" w:cs="Times New Roman"/>
                <w:b/>
                <w:sz w:val="24"/>
                <w:szCs w:val="24"/>
              </w:rPr>
            </w:pPr>
            <w:r w:rsidRPr="00F251A7">
              <w:rPr>
                <w:rFonts w:ascii="Times New Roman" w:eastAsia="Times New Roman" w:hAnsi="Times New Roman" w:cs="Times New Roman"/>
                <w:b/>
                <w:sz w:val="24"/>
                <w:szCs w:val="24"/>
              </w:rPr>
              <w:t>Risk of bias</w:t>
            </w:r>
          </w:p>
        </w:tc>
      </w:tr>
      <w:tr w:rsidR="004F5F18" w:rsidRPr="00F251A7" w:rsidTr="002059CF">
        <w:tc>
          <w:tcPr>
            <w:tcW w:w="2553"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Cherian, 2014</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{"citationItems":[{"id":"ITEM-1","itemData":{"DOI":"10.5901/mjss.2014.v5n20p1573","ISSN":"20392117","abstract":"Substance use-alcohol in particular, is common amongst secondary school learners in the area surrounding the researched university in South Africa. This phenomenon has also been observed as occurring in the university under study (University of Utopia). The researchers became aware of alcohol use amongst students especially after events such as the ‘Freshers’ ball’, Mr. and Mrs. University of Utopia functions, festivals and other events where first year students are welcomed at the university. We were thus motivated to undertake this study on the patterns and prevalence of alcohol use amongst second year university students. A descriptive study utilising a self-reporting questionnaire developed by the World Health Organization (WHO) was carried out. A total sample of 120 Education second year students (59 females and 61 males) was randomly selected. The questionnaire addressed the following issues: information on life experience, current and past use of substances like tobacco and alcohol as well as illicit drugs such as marijuana or cannabis (called dagga in South Africa), inhalants, heroin, amphetamines, sedatives, d-Lysergic Acid Diethylamide (LSD) and cocaine. The study found that the prevalence of the use of alcohol and other substances among university students was high and that males had a higher prevalence rate than females. The study concludes by indicating that recognising early symptoms of alcohol dependence may assist in the early identification and intervention for those at risk of heavier drinking in the future.","author":[{"dropping-particle":"","family":"Cherian","given":"Lily","non-dropping-particle":"","parse-names":false,"suffix":""},{"dropping-particle":"","family":"Mboweni","given":"Mdumo","non-dropping-particle":"","parse-names":false,"suffix":""},{"dropping-particle":"","family":"Mabasa","given":"Layane","non-dropping-particle":"","parse-names":false,"suffix":""},{"dropping-particle":"","family":"Mafumo","given":"Thinavhudzulo","non-dropping-particle":"","parse-names":false,"suffix":""}],"container-title":"Mediterranean Journal of Social Sciences","id":"ITEM-1","issue":"20","issued":{"date-parts":[["2014"]]},"page":"1573-1579","title":"Patterns and prevalence of alcohol use among University of Utopia students in South Africa","type":"article-journal","volume":"5"},"uris":["http://www.mendeley.com/documents/?uuid=ed93d325-9e11-4fe3-a4c6-df9b1f644e51"]}],"mendeley":{"formattedCitation":"&lt;sup&gt;&lt;sup&gt;48&lt;/sup&gt;&lt;/sup&gt;","plainTextFormattedCitation":"48","previouslyFormattedCitation":"&lt;sup&gt;&lt;sup&gt;48&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48</w:t>
            </w:r>
            <w:r w:rsidRPr="00F251A7">
              <w:rPr>
                <w:rFonts w:ascii="Times New Roman" w:eastAsia="Times New Roman" w:hAnsi="Times New Roman" w:cs="Times New Roman"/>
                <w:i/>
                <w:sz w:val="24"/>
                <w:szCs w:val="24"/>
              </w:rPr>
              <w:fldChar w:fldCharType="end"/>
            </w:r>
          </w:p>
        </w:tc>
        <w:tc>
          <w:tcPr>
            <w:tcW w:w="885"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tcBorders>
              <w:top w:val="single" w:sz="4" w:space="0" w:color="auto"/>
            </w:tcBorders>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Dantzer</w:t>
            </w:r>
            <w:proofErr w:type="spellEnd"/>
            <w:r w:rsidRPr="00F251A7">
              <w:rPr>
                <w:rFonts w:ascii="Times New Roman" w:eastAsia="Times New Roman" w:hAnsi="Times New Roman" w:cs="Times New Roman"/>
                <w:sz w:val="24"/>
                <w:szCs w:val="24"/>
              </w:rPr>
              <w:t>, 2006</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{"citationItems":[{"id":"ITEM-1","itemData":{"DOI":"10.3200/JACH.55.2.83-90","ISSN":"07448481","abstract":"The authors studied the prevalence of heavy drinking among students in 21 developed and developing countries using an anonymous survey of 7,846 male and 9,892 female students aged 17 to 30 years. There were wide variations in the prevalence of drinking among countries, and the highest rates of heavy drinking (defined as 5 or more drinks for men and 4 or more drinks for women on at least 1 occasion over the past 2 weeks) were reported in Belgium, Colombia, Ireland, and Poland (men), and Ireland and England (women). Heavy drinking was associated with living away from home, having a wealthier family background, and having well-educated parents. Beliefs about the dangers to health of excessive consumption were negatively related to heavy drinking. Heavy drinking is a concern among students in several countries and is associated with greater affluence. Challenging beliefs concerning health risks is a crucial aspect of prevention in this population. Copyright © 2006 Heldref Publications.","author":[{"dropping-particle":"","family":"Dantzer","given":"Cecile","non-dropping-particle":"","parse-names":false,"suffix":""},{"dropping-particle":"","family":"Wardle","given":"Jane","non-dropping-particle":"","parse-names":false,"suffix":""},{"dropping-particle":"","family":"Fuller","given":"Ray","non-dropping-particle":"","parse-names":false,"suffix":""},{"dropping-particle":"","family":"Pampalone","given":"Sacha Z.","non-dropping-particle":"","parse-names":false,"suffix":""},{"dropping-particle":"","family":"Steptoe","given":"Andrew","non-dropping-particle":"","parse-names":false,"suffix":""}],"container-title":"Journal of American College Health","id":"ITEM-1","issue":"2","issued":{"date-parts":[["2006"]]},"page":"83-90","title":"International study of heavy drinking: attitudes and sociodemographic factors in university students","type":"article-journal","volume":"55"},"uris":["http://www.mendeley.com/documents/?uuid=0b786489-3582-4f83-b818-e2166f2aa2f5"]}],"mendeley":{"formattedCitation":"&lt;sup&gt;&lt;sup&gt;47&lt;/sup&gt;&lt;/sup&gt;","plainTextFormattedCitation":"47","previouslyFormattedCitation":"&lt;sup&gt;&lt;sup&gt;47&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47</w:t>
            </w:r>
            <w:r w:rsidRPr="00F251A7">
              <w:rPr>
                <w:rFonts w:ascii="Times New Roman" w:eastAsia="Times New Roman" w:hAnsi="Times New Roman" w:cs="Times New Roman"/>
                <w:i/>
                <w:sz w:val="24"/>
                <w:szCs w:val="24"/>
              </w:rPr>
              <w:fldChar w:fldCharType="end"/>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4</w:t>
            </w:r>
          </w:p>
        </w:tc>
        <w:tc>
          <w:tcPr>
            <w:tcW w:w="104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Kyei</w:t>
            </w:r>
            <w:proofErr w:type="spellEnd"/>
            <w:r w:rsidRPr="00F251A7">
              <w:rPr>
                <w:rFonts w:ascii="Times New Roman" w:eastAsia="Times New Roman" w:hAnsi="Times New Roman" w:cs="Times New Roman"/>
                <w:sz w:val="24"/>
                <w:szCs w:val="24"/>
              </w:rPr>
              <w:t>, 2013</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{"citationItems":[{"id":"ITEM-1","itemData":{"DOI":"10.1080/09718923.2013.11893175","ISSN":"0971-8923","abstract":"AbstractSubstance abuse is prevalent in South African universities because students use drugs and alcohol for many reasons, including curing depression, imitating role models, getting relief from loneliness and/or self-doubt. There are no reliable data on substance use in South Africa except information from ad hoc cross-section research studies, occasional national surveys and information on police arrest seizures. This study reports on a survey conducted at the University of Venda on the use of alcohol on campus. From 209 students interviewed the results show that over 65% use alcohol of which 49% abuse it. Chi-square tests done showed that sex, age, religion, staying on campus, family monthly income and peer pressure were the factors affecting alcohol use, but the logistic regression identified only peer pressure and religion as the main factors. Staying on campus also affects alcohol use marginally.","author":[{"dropping-particle":"","family":"Kyei","given":"Kwabena A.","non-dropping-particle":"","parse-names":false,"suffix":""},{"dropping-particle":"","family":"Ramagoma","given":"Mpho","non-dropping-particle":"","parse-names":false,"suffix":""}],"container-title":"Journal of Social Sciences","id":"ITEM-1","issue":"1","issued":{"date-parts":[["2013"]]},"page":"77-86","title":"Alcohol consumption in South African universities: prevalence and factors at the University of Venda, Limpopo Province","type":"article-journal","volume":"36"},"uris":["http://www.mendeley.com/documents/?uuid=066295f6-529f-444a-b753-d5dd0580f413"]}],"mendeley":{"formattedCitation":"&lt;sup&gt;&lt;sup&gt;77&lt;/sup&gt;&lt;/sup&gt;","plainTextFormattedCitation":"77","previouslyFormattedCitation":"&lt;sup&gt;&lt;sup&gt;77&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77</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Peltzer</w:t>
            </w:r>
            <w:proofErr w:type="spellEnd"/>
            <w:r w:rsidRPr="00F251A7">
              <w:rPr>
                <w:rFonts w:ascii="Times New Roman" w:eastAsia="Times New Roman" w:hAnsi="Times New Roman" w:cs="Times New Roman"/>
                <w:sz w:val="24"/>
                <w:szCs w:val="24"/>
              </w:rPr>
              <w:t>, 2000</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{"citationItems":[{"id":"ITEM-1","itemData":{"DOI":"10.1177/008124630003000407","ISSN":"00812463","abstract":"Four important health behaviours - dietary fat avoidance, regular exercise, smoking and alcohol consumption -were assessed by questionnaire, together with measures of risk awareness, beliefs about the importance of each behaviour for health, health status, health locus and health value. The sample included 793 Black University students from non-health courses chosen at random from the University of the North, South Africa. The students were 370 (46.7%) males and 423 (53.3%) females in the age range of 18 to 25 years (M age 21.0 years, SD=3.48). The following prevalences for healthy behaviour was found: almost half (44.7%) avoided fat and cholesterol and likewise 48% had exercised in the past 14 days. More than 90% were non-smokers and 84% were non-drinkers or drank alcohol only very occasionally. Sex emerged as an independent predictor for smoking and drinking. Men smoked and drank more than women did. The level of risk awareness about healthy behaviour seemed to be low in this sample. Risk awareness and prevalence of health behaviour was only found to have significant effects for non-smoking and not for the other health behaviours (exercise, fat intake, alcohol consumption). Beliefs were more important independent predictors of dietary fat intake and exercises than was risk awareness.","author":[{"dropping-particle":"","family":"Peltzer","given":"Karl","non-dropping-particle":"","parse-names":false,"suffix":""}],"container-title":"South African Journal of Psychology","id":"ITEM-1","issue":"4","issued":{"date-parts":[["2000"]]},"page":"46-49","title":"Health behaviour in Black South African university students","type":"article-journal","volume":"30"},"uris":["http://www.mendeley.com/documents/?uuid=1c1f0adb-e7f9-4f0d-b441-cf65f94f0d99"]}],"mendeley":{"formattedCitation":"&lt;sup&gt;&lt;sup&gt;49&lt;/sup&gt;&lt;/sup&gt;","plainTextFormattedCitation":"49","previouslyFormattedCitation":"&lt;sup&gt;&lt;sup&gt;49&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49</w:t>
            </w:r>
            <w:r w:rsidRPr="00F251A7">
              <w:rPr>
                <w:rFonts w:ascii="Times New Roman" w:eastAsia="Times New Roman" w:hAnsi="Times New Roman" w:cs="Times New Roman"/>
                <w:i/>
                <w:sz w:val="24"/>
                <w:szCs w:val="24"/>
              </w:rPr>
              <w:fldChar w:fldCharType="end"/>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Peltzer</w:t>
            </w:r>
            <w:proofErr w:type="spellEnd"/>
            <w:r w:rsidRPr="00F251A7">
              <w:rPr>
                <w:rFonts w:ascii="Times New Roman" w:eastAsia="Times New Roman" w:hAnsi="Times New Roman" w:cs="Times New Roman"/>
                <w:sz w:val="24"/>
                <w:szCs w:val="24"/>
              </w:rPr>
              <w:t>, 2002</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{"citationItems":[{"id":"ITEM-1","itemData":{"DOI":"10.2466/pr0.91.5.105-113","ISSN":"0033-2941","abstract":"The purpose of this study was to identify the relationships among sociodemographic variables, family background, religiosity, course of study, academic performance, and substance use. The sample included 799 first-year students in the age range of 16 to 49 years (M age 20.1 yr., SD = 3.2) chosen at random from the University of the North in South Africa. A Model Core Questionnaire from the WHO on Substance use was administered. Analysis indicated that women smoked tobacco or cannabis and drank less than men, while women took more stimulants and other opiate type drugs than men. Low scores on religiosity was a predictor for past-month tobacco use alcohol use, binge drinking, cannabis use, and having a drinking or drug problem now. Being a member of a Protestant denominational church or a Roman Catholic was a predictor for past-month tobacco and alcohol use. A family history of drinking or drug problems and being a social science or humanities student were predictive for a current alcohol or drug problem. Economic status, education of parents. living arrangement. and rural-urban differences were not associated with substance use. Findings have implications for prevention programmes.","author":[{"dropping-particle":"","family":"Peltzer","given":"Karl","non-dropping-particle":"","parse-names":false,"suffix":""},{"dropping-particle":"","family":"Malaka","given":"Dorothy W","non-dropping-particle":"","parse-names":false,"suffix":""},{"dropping-particle":"","family":"Phaswana","given":"Nancy","non-dropping-particle":"","parse-names":false,"suffix":""}],"container-title":"Psychological Reports","id":"ITEM-1","issue":"5","issued":{"date-parts":[["2002"]]},"page":"105","title":"Sociodemographic factors, religiosity, academic performance, and substance use among first-year university students in South Africa","type":"article-journal","volume":"91"},"uris":["http://www.mendeley.com/documents/?uuid=3435f3d3-879a-4524-8df1-e59827b143d9"]}],"mendeley":{"formattedCitation":"&lt;sup&gt;&lt;sup&gt;78&lt;/sup&gt;&lt;/sup&gt;","plainTextFormattedCitation":"78","previouslyFormattedCitation":"&lt;sup&gt;&lt;sup&gt;78&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78</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Peltzer</w:t>
            </w:r>
            <w:proofErr w:type="spellEnd"/>
            <w:r w:rsidRPr="00F251A7">
              <w:rPr>
                <w:rFonts w:ascii="Times New Roman" w:eastAsia="Times New Roman" w:hAnsi="Times New Roman" w:cs="Times New Roman"/>
                <w:sz w:val="24"/>
                <w:szCs w:val="24"/>
              </w:rPr>
              <w:t>, 2003</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{"citationItems":[{"id":"ITEM-1","itemData":{"DOI":"10.2466/pr0.2003.92.3c.1097","ISSN":"0033-2941 (Print)","PMID":"12931923","abstract":"A questionnaire was administered to 793 randomly chosen Black university students whose ages ranged from 18 to 25 years. Analysis of variance suggested the association between depressive symptoms and alcohol use but not with tobacco use; however, alcohol and tobacco use were highly correlated. Regression analysis identified drinking status as predictor for depressive symptoms.","author":[{"dropping-particle":"","family":"Peltzer","given":"Karl","non-dropping-particle":"","parse-names":false,"suffix":""}],"container-title":"Psychological reports","id":"ITEM-1","issue":"3Suppl","issued":{"date-parts":[["2003"]]},"page":"1097-1098","title":"Depressive symptoms in relation to alcohol and tobacco use in South African university students","type":"article-journal","volume":"92"},"uris":["http://www.mendeley.com/documents/?uuid=df784d64-9b08-4dd7-afe5-0418f9081e3f"]}],"mendeley":{"formattedCitation":"&lt;sup&gt;&lt;sup&gt;79&lt;/sup&gt;&lt;/sup&gt;","plainTextFormattedCitation":"79","previouslyFormattedCitation":"&lt;sup&gt;&lt;sup&gt;79&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79</w:t>
            </w:r>
            <w:r w:rsidRPr="00F251A7">
              <w:rPr>
                <w:rFonts w:ascii="Times New Roman" w:eastAsia="Times New Roman" w:hAnsi="Times New Roman" w:cs="Times New Roman"/>
                <w:i/>
                <w:sz w:val="24"/>
                <w:szCs w:val="24"/>
              </w:rPr>
              <w:fldChar w:fldCharType="end"/>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2</w:t>
            </w:r>
          </w:p>
        </w:tc>
        <w:tc>
          <w:tcPr>
            <w:tcW w:w="104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Peltzer</w:t>
            </w:r>
            <w:proofErr w:type="spellEnd"/>
            <w:r w:rsidRPr="00F251A7">
              <w:rPr>
                <w:rFonts w:ascii="Times New Roman" w:eastAsia="Times New Roman" w:hAnsi="Times New Roman" w:cs="Times New Roman"/>
                <w:sz w:val="24"/>
                <w:szCs w:val="24"/>
              </w:rPr>
              <w:t>, 2016</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{"citationItems":[{"id":"ITEM-1","itemData":{"DOI":"10.1007/s10597-015-9925-x","ISSN":"15732789","PMID":"26298475","abstract":"The aim of this study was to investigate heavy drinking and social and health correlates in university students in low, middle income and emerging economy countries. Using anonymous questionnaires, data were collected in a cross-sectional survey of 17,590 undergraduate university students (mean age 20.8, SD 2.9) from 25 universities in 24 countries across Asia, Africa and the Americas. Overall, 71.6 % were non-drinkers, 17.1 % moderate and 11.3 % heavy alcohol drinkers (14.2 % in men and 9.2 % in women) in the past 2 weeks. In a multivariate logistic regression analysis, older age, poorer family background, living in a higher income country, weak beliefs in the importance of limiting alcohol use, higher country per capita alcohol consumption, other substance use (tobacco and illicit drug use), and poor life satisfaction was associated with heavy drinking. Addressing health beliefs and co-occurring addictive behaviors may be crucial in the prevention of heavy drinking in this population.","author":[{"dropping-particle":"","family":"Peltzer","given":"Karl","non-dropping-particle":"","parse-names":false,"suffix":""},{"dropping-particle":"","family":"Pengpid","given":"Supa","non-dropping-particle":"","parse-names":false,"suffix":""}],"container-title":"Community Mental Health Journal","id":"ITEM-1","issue":"2","issued":{"date-parts":[["2016"]]},"page":"239-244","publisher":"Springer US","title":"Heavy drinking and social and health factors in university students from 24 low, middle income and emerging economy countries","type":"article-journal","volume":"52"},"uris":["http://www.mendeley.com/documents/?uuid=84061225-14c9-443a-87d8-74024048c197"]}],"mendeley":{"formattedCitation":"&lt;sup&gt;&lt;sup&gt;80&lt;/sup&gt;&lt;/sup&gt;","plainTextFormattedCitation":"80","previouslyFormattedCitation":"&lt;sup&gt;&lt;sup&gt;80&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80</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4</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Pengpid</w:t>
            </w:r>
            <w:proofErr w:type="spellEnd"/>
            <w:r w:rsidRPr="00F251A7">
              <w:rPr>
                <w:rFonts w:ascii="Times New Roman" w:eastAsia="Times New Roman" w:hAnsi="Times New Roman" w:cs="Times New Roman"/>
                <w:sz w:val="24"/>
                <w:szCs w:val="24"/>
              </w:rPr>
              <w:t>, 2013b</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{"citationItems":[{"id":"ITEM-1","itemData":{"DOI":"10.7196/SAJP.415","ISSN":"16089685","abstract":"Background. Little attention has been paid to the role of poor mental health among young people with regard to HIV risk behaviour and HIV prevention in Africa. Objective. To determine the association between mental health, substance use and HIV sexual risk behaviour among a sample of university students in South Africa. Methods. A cross-sectional survey was conducted among undergraduate students who were recruited conveniently from public campus venues at the University of Limpopo Medical University of Southern Africa (Medunsa) campus. The sample included 722 university students (57.6% men and 42.4% women) with a mean age of 21.7 years (standard deviation ±8.8). Results. Of the 722 students, 39.5% reported depression, 23.4% screened positive for post-traumatic stress disorder (PTSD), 22% reported hazardous or harmful alcohol use, 33% reported ≥2 sexual partners in the past 12 months, 50% reported inconsistent condom use, 46% reported unknown HIV status of a sexual partner and 20% reported alcohol use in the context of sex in the past 3 months. In multivariate analysis, HIV risk behaviour was associated with, among men, hazardous or harmful alcohol use and having screened positive for PTSD, and among women, being in the 4th or more year of study and current cannabis use. Conclusion. Poor mental health, including substance use, was found to be associated with HIV risk behaviour. Co-ordinated mental health and sexual and reproductive health services that meet the needs of university students would be desirable.","author":[{"dropping-particle":"","family":"Pengpid","given":"S.","non-dropping-particle":"","parse-names":false,"suffix":""},{"dropping-particle":"","family":"Peltzer","given":"K.","non-dropping-particle":"","parse-names":false,"suffix":""},{"dropping-particle":"","family":"Skaal","given":"L.","non-dropping-particle":"","parse-names":false,"suffix":""}],"container-title":"South African Journal of Psychiatry","id":"ITEM-1","issue":"2","issued":{"date-parts":[["2013"]]},"page":"25-30","title":"Mental health and HIV sexual risk behaviour among University of Limpopo students","type":"article-journal","volume":"19"},"uris":["http://www.mendeley.com/documents/?uuid=2063f05b-38fd-486a-8d27-643b33c410f5"]}],"mendeley":{"formattedCitation":"&lt;sup&gt;&lt;sup&gt;81&lt;/sup&gt;&lt;/sup&gt;","plainTextFormattedCitation":"81","previouslyFormattedCitation":"&lt;sup&gt;&lt;sup&gt;81&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81</w:t>
            </w:r>
            <w:r w:rsidRPr="00F251A7">
              <w:rPr>
                <w:rFonts w:ascii="Times New Roman" w:eastAsia="Times New Roman" w:hAnsi="Times New Roman" w:cs="Times New Roman"/>
                <w:i/>
                <w:sz w:val="24"/>
                <w:szCs w:val="24"/>
              </w:rPr>
              <w:fldChar w:fldCharType="end"/>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Pengpid</w:t>
            </w:r>
            <w:proofErr w:type="spellEnd"/>
            <w:r w:rsidRPr="00F251A7">
              <w:rPr>
                <w:rFonts w:ascii="Times New Roman" w:eastAsia="Times New Roman" w:hAnsi="Times New Roman" w:cs="Times New Roman"/>
                <w:sz w:val="24"/>
                <w:szCs w:val="24"/>
              </w:rPr>
              <w:t>, 2015</w:t>
            </w:r>
            <w:r w:rsidRPr="00F251A7">
              <w:rPr>
                <w:rFonts w:ascii="Times New Roman" w:eastAsia="Times New Roman" w:hAnsi="Times New Roman" w:cs="Times New Roman"/>
                <w:i/>
                <w:sz w:val="24"/>
                <w:szCs w:val="24"/>
              </w:rPr>
              <w:fldChar w:fldCharType="begin" w:fldLock="1"/>
            </w:r>
            <w:r w:rsidRPr="00F251A7">
              <w:rPr>
                <w:rFonts w:ascii="Times New Roman" w:eastAsia="Times New Roman" w:hAnsi="Times New Roman" w:cs="Times New Roman"/>
                <w:i/>
                <w:sz w:val="24"/>
                <w:szCs w:val="24"/>
              </w:rPr>
              <w:instrText>ADDIN CSL_CITATION {"citationItems":[{"id":"ITEM-1","itemData":{"DOI":"10.1007/s00038-015-0680-0","ISSN":"1420911X","PMID":"25926342","abstract":"Objectives: The aim of this study was to determine estimates of the prevalence and social correlates of physical inactivity among university students in 23 low-, middle- and high-income countries. Method: The International Physical Activity Questionnaire was used to collect data from 17,928 undergraduate university students (mean age 20.8, SD = 2.8) from 24 universities in 23 countries. Results: The prevalence of physical inactivity was 41.4 %, ranging from 21.9 % in Kyrgyzstan to 80.6 % in Pakistan. In multivariate logistic regression, older age (22–30 years), studying in a low- or lower middle-income country, skipping breakfast and lack of social support were associated with physical inactivity. In men, being underweight, being overweight or obese, not avoiding fat and cholesterol, not having severe depression symptoms, low beliefs in the health benefits of physical activity, low personal control and knowledge of exercise-heart link, and in women, not trying to eat fibre, low personal mastery and medium personal control were additionally associated with physical inactivity. Conclusion: Four in each ten students are physically inactive, calling for strategic interventions by relevant professionals in higher educational institutions.","author":[{"dropping-particle":"","family":"Pengpid","given":"Supa","non-dropping-particle":"","parse-names":false,"suffix":""},{"dropping-particle":"","family":"Peltzer","given":"Karl","non-dropping-particle":"","parse-names":false,"suffix":""},{"dropping-particle":"","family":"Kassean","given":"Hemant Kumar","non-dropping-particle":"","parse-names":false,"suffix":""},{"dropping-particle":"","family":"Tsala Tsala","given":"Jacques Philippe","non-dropping-particle":"","parse-names":false,"suffix":""},{"dropping-particle":"","family":"Sychareun","given":"Vanphanom","non-dropping-particle":"","parse-names":false,"suffix":""},{"dropping-particle":"","family":"Müller-Riemenschneider","given":"Falk","non-dropping-particle":"","parse-names":false,"suffix":""}],"container-title":"International Journal of Public Health","id":"ITEM-1","issue":"5","issued":{"date-parts":[["2015"]]},"page":"539-549","title":"Physical inactivity and associated factors among university students in 23 low-, middle- and high-income countries","type":"article-journal","volume":"60"},"uris":["http://www.mendeley.com/documents/?uuid=c02a50df-ee6d-4da1-94d8-8ab4655ce9cd"]}],"mendeley":{"formattedCitation":"&lt;sup&gt;&lt;sup&gt;14&lt;/sup&gt;&lt;/sup&gt;","plainTextFormattedCitation":"14","previouslyFormattedCitation":"&lt;sup&gt;&lt;sup&gt;14&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F251A7">
              <w:rPr>
                <w:rFonts w:ascii="Times New Roman" w:eastAsia="Times New Roman" w:hAnsi="Times New Roman" w:cs="Times New Roman"/>
                <w:noProof/>
                <w:sz w:val="24"/>
                <w:szCs w:val="24"/>
                <w:vertAlign w:val="superscript"/>
              </w:rPr>
              <w:t>14</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3</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Pengpid</w:t>
            </w:r>
            <w:proofErr w:type="spellEnd"/>
            <w:r w:rsidRPr="00F251A7">
              <w:rPr>
                <w:rFonts w:ascii="Times New Roman" w:eastAsia="Times New Roman" w:hAnsi="Times New Roman" w:cs="Times New Roman"/>
                <w:sz w:val="24"/>
                <w:szCs w:val="24"/>
              </w:rPr>
              <w:t>, 2021</w:t>
            </w:r>
            <w:r w:rsidRPr="00F251A7">
              <w:rPr>
                <w:rFonts w:ascii="Times New Roman" w:eastAsia="Times New Roman" w:hAnsi="Times New Roman" w:cs="Times New Roman"/>
                <w:i/>
                <w:sz w:val="24"/>
                <w:szCs w:val="24"/>
              </w:rPr>
              <w:fldChar w:fldCharType="begin" w:fldLock="1"/>
            </w:r>
            <w:r w:rsidRPr="00F251A7">
              <w:rPr>
                <w:rFonts w:ascii="Times New Roman" w:eastAsia="Times New Roman" w:hAnsi="Times New Roman" w:cs="Times New Roman"/>
                <w:i/>
                <w:sz w:val="24"/>
                <w:szCs w:val="24"/>
              </w:rPr>
              <w:instrText>ADDIN CSL_CITATION {"citationItems":[{"id":"ITEM-1","itemData":{"ISSN":"1741-3842","abstract":"Globally non-communicable diseases (NCDs) are on the increase. The goal of the study was to estimate the prevalence and correlates of multiple behavioural risk factors of NCDs among university students from 24 countries.In a cross-sectional study, the sample included 18 017 university students from countries in Africa, the Americas and Asia.indicate that prevalence of single behavioural NCD risk indicators were 38.2% for physical inactivity, 80.5% for inadequate fruit and vegetables intake, 23.1% for having overweight/obesity, 10.5% for heavy alcohol use and 11.8% for current tobacco use. Students had on average 1.6 (SD = 0.9), and 15.9% had three or more behavioural NCD risk factors. In adjusted linear regression, male sex was positively and stronger beliefs in health benefits were negatively associated with multiple behavioural NCD risk factors.A high prevalence and co-occurrence of behavioural risk factors of NCDs was discovered. Several behavioural NCD risk factors, such as male sex and low health behaviour benefits beliefs, were found that could be utilized in targeted interventions.","author":[{"dropping-particle":"","family":"Pengpid","given":"Supa","non-dropping-particle":"","parse-names":false,"suffix":""},{"dropping-particle":"","family":"Peltzer","given":"Karl","non-dropping-particle":"","parse-names":false,"suffix":""}],"container-title":"Journal of Public Health","id":"ITEM-1","issue":"4","issued":{"date-parts":[["2021"]]},"page":"857-866","title":"Prevalence and correlates of multiple behavioural risk factors of non-communicable diseases among university students from 24 countries","type":"article-journal","volume":"43"},"uris":["http://www.mendeley.com/documents/?uuid=780ea3aa-b653-4d43-9af7-5c8060a965ec"]}],"mendeley":{"formattedCitation":"&lt;sup&gt;&lt;sup&gt;32&lt;/sup&gt;&lt;/sup&gt;","plainTextFormattedCitation":"32","previouslyFormattedCitation":"&lt;sup&gt;&lt;sup&gt;32&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F251A7">
              <w:rPr>
                <w:rFonts w:ascii="Times New Roman" w:eastAsia="Times New Roman" w:hAnsi="Times New Roman" w:cs="Times New Roman"/>
                <w:noProof/>
                <w:sz w:val="24"/>
                <w:szCs w:val="24"/>
                <w:vertAlign w:val="superscript"/>
              </w:rPr>
              <w:t>32</w:t>
            </w:r>
            <w:r w:rsidRPr="00F251A7">
              <w:rPr>
                <w:rFonts w:ascii="Times New Roman" w:eastAsia="Times New Roman" w:hAnsi="Times New Roman" w:cs="Times New Roman"/>
                <w:i/>
                <w:sz w:val="24"/>
                <w:szCs w:val="24"/>
              </w:rPr>
              <w:fldChar w:fldCharType="end"/>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Steptoe, 2002</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{"citationItems":[{"id":"ITEM-1","itemData":{"DOI":"10.1046/j.1360-0443.2002.00269.x","ISSN":"09652140","PMID":"12472640","abstract":"Aims: To assess the prevalence of current tobacco smoking, associations with beliefs about the health benefits of not smoking and awareness of risks for lung cancer and heart disease in university students sampled from 23 countries, and to explore the utility of the World Health Organization (WHO) model of the world-wide tobacco epidemic in understanding differences between countries. Design: Anonymous questionnaire survey. Participants: A total of 19 298 university students (8482 men, 10 816 women) aged 17-30 years from 23 countries, studying courses unrelated to health. Measurements: Standardized measures of smoking, wish to stop smoking, ratings of beliefs in the importance of not smoking for health and awareness of the influence of smoking on lung cancer and heart disease. Findings: Prevalence varied widely, being highest in samples from South European countries and lowest in developing countries (Thailand, South Africa). The pattern of tobacco use and differences between men and women conformed largely to the WHO model. Health beliefs were associated strongly with smoking behaviour both within and between countries. Awareness of specific health risks of smoking was very variable, with particularly low levels in Asian. South American and developing country samples. Risk awareness was inconsistently related to behaviour. Conclusions: The pattern of tobacco smoking in well-educated young adults appears to conform with wider international patterns of tobacco use. Awareness of specific health risks is poor, and modifying attitudes must be a central element in modifying tobacco use world-wide.","author":[{"dropping-particle":"","family":"Steptoe","given":"Andrew","non-dropping-particle":"","parse-names":false,"suffix":""},{"dropping-particle":"","family":"Wardle","given":"Jane","non-dropping-particle":"","parse-names":false,"suffix":""},{"dropping-particle":"","family":"Cui","given":"Weiwei","non-dropping-particle":"","parse-names":false,"suffix":""},{"dropping-particle":"","family":"Baban","given":"Adriana","non-dropping-particle":"","parse-names":false,"suffix":""},{"dropping-particle":"","family":"Glass","given":"Kelli","non-dropping-particle":"","parse-names":false,"suffix":""},{"dropping-particle":"","family":"Pelzer","given":"Karl","non-dropping-particle":"","parse-names":false,"suffix":""},{"dropping-particle":"","family":"Tsuda","given":"Akira","non-dropping-particle":"","parse-names":false,"suffix":""},{"dropping-particle":"","family":"Vinck","given":"Jan","non-dropping-particle":"","parse-names":false,"suffix":""}],"container-title":"Addiction","id":"ITEM-1","issue":"12","issued":{"date-parts":[["2002"]]},"page":"1561-1571","title":"An international comparison of tobacco smoking, beliefs and risk awareness in university students from 23 countries","type":"article-journal","volume":"97"},"uris":["http://www.mendeley.com/documents/?uuid=01c67fa9-46d7-41b0-98ea-2941aff71b0f"]}],"mendeley":{"formattedCitation":"&lt;sup&gt;&lt;sup&gt;66&lt;/sup&gt;&lt;/sup&gt;","plainTextFormattedCitation":"66","previouslyFormattedCitation":"&lt;sup&gt;&lt;sup&gt;66&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66</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4</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Cronin, 2014</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{"citationItems":[{"id":"ITEM-1","itemData":{"abstract":"University sport is a professional enterprise and is seen as an effective mechanism to attract prospective students. However, along with this professionalism of sport among university students, a growing prevalence in behavioural risk factors has been found. This study examined the prevalence of behavioural risk factors, including smoking and other tobacco use, alcohol use, drug use and nutrition (eating disorders) among college-age athletes participating in a variety of elite sports at university level. A descriptive cross-sectional study was used. Data were collected using a questionnaire distributed to 50 athletes (28 male and 22 female) aged 18-25 years who participated in first team sports at a university level. The results indicated that smoking and alcohol consumption were more prevalent among male athletes compared to female athletes (29% and 85%; 18% and 85%, respectively). Both male and female athletes adopted similar nutritional habits in terms of the number of times in a week eating fruit, consuming fried foods and consuming fizzy drinks, while the use of nutritional supplements was more common among male athletes (males: 46%; females: 9%). Behavioural risk factors were found to be the most prevalent in netball for females (20%) compared to rugby for males (16%). These results reveal potential risk factors which may have a direct influence on the performance (and health) of athletes and consequently, the overall success of sport at the university. The findings may assist both student athletes and managers/coaches alike in educating both parties on the impact of these risk factors on the athletes in terms of their performance and health and in the development of initiatives and programmes to reduce the prevalence of behavioural risk factors among the student athletes.","author":[{"dropping-particle":"","family":"Cronin","given":"C J","non-dropping-particle":"","parse-names":false,"suffix":""},{"dropping-particle":"","family":"Flemming","given":"K","non-dropping-particle":"","parse-names":false,"suffix":""},{"dropping-particle":"","family":"Shaw","given":"I","non-dropping-particle":"","parse-names":false,"suffix":""},{"dropping-particle":"","family":"Shaw","given":"B S","non-dropping-particle":"","parse-names":false,"suffix":""}],"container-title":"African Journal for Physical","id":"ITEM-1","issue":"2Suppl","issued":{"date-parts":[["2014"]]},"page":"113-120","title":"Behavioural risk factors among South African student athletes","type":"article-journal","volume":"20"},"uris":["http://www.mendeley.com/documents/?uuid=cce54ae8-bf1d-420d-b796-35579cd02dab"]}],"mendeley":{"formattedCitation":"&lt;sup&gt;&lt;sup&gt;82&lt;/sup&gt;&lt;/sup&gt;","plainTextFormattedCitation":"82","previouslyFormattedCitation":"&lt;sup&gt;&lt;sup&gt;82&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82</w:t>
            </w:r>
            <w:r w:rsidRPr="00F251A7">
              <w:rPr>
                <w:rFonts w:ascii="Times New Roman" w:eastAsia="Times New Roman" w:hAnsi="Times New Roman" w:cs="Times New Roman"/>
                <w:i/>
                <w:sz w:val="24"/>
                <w:szCs w:val="24"/>
              </w:rPr>
              <w:fldChar w:fldCharType="end"/>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4</w:t>
            </w:r>
          </w:p>
        </w:tc>
        <w:tc>
          <w:tcPr>
            <w:tcW w:w="104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Janse</w:t>
            </w:r>
            <w:proofErr w:type="spellEnd"/>
            <w:r w:rsidRPr="00F251A7">
              <w:rPr>
                <w:rFonts w:ascii="Times New Roman" w:eastAsia="Times New Roman" w:hAnsi="Times New Roman" w:cs="Times New Roman"/>
                <w:sz w:val="24"/>
                <w:szCs w:val="24"/>
              </w:rPr>
              <w:t xml:space="preserve"> van </w:t>
            </w:r>
            <w:proofErr w:type="spellStart"/>
            <w:r w:rsidRPr="00F251A7">
              <w:rPr>
                <w:rFonts w:ascii="Times New Roman" w:eastAsia="Times New Roman" w:hAnsi="Times New Roman" w:cs="Times New Roman"/>
                <w:sz w:val="24"/>
                <w:szCs w:val="24"/>
              </w:rPr>
              <w:t>Rensburg</w:t>
            </w:r>
            <w:proofErr w:type="spellEnd"/>
            <w:r w:rsidRPr="00F251A7">
              <w:rPr>
                <w:rFonts w:ascii="Times New Roman" w:eastAsia="Times New Roman" w:hAnsi="Times New Roman" w:cs="Times New Roman"/>
                <w:sz w:val="24"/>
                <w:szCs w:val="24"/>
              </w:rPr>
              <w:t>, 2013</w:t>
            </w:r>
            <w:r w:rsidRPr="00F251A7">
              <w:rPr>
                <w:rFonts w:ascii="Times New Roman" w:eastAsia="Times New Roman" w:hAnsi="Times New Roman" w:cs="Times New Roman"/>
                <w:i/>
                <w:sz w:val="24"/>
                <w:szCs w:val="24"/>
              </w:rPr>
              <w:fldChar w:fldCharType="begin" w:fldLock="1"/>
            </w:r>
            <w:r w:rsidRPr="00F251A7">
              <w:rPr>
                <w:rFonts w:ascii="Times New Roman" w:eastAsia="Times New Roman" w:hAnsi="Times New Roman" w:cs="Times New Roman"/>
                <w:i/>
                <w:sz w:val="24"/>
                <w:szCs w:val="24"/>
              </w:rPr>
              <w:instrText>ADDIN CSL_CITATION {"citationItems":[{"id":"ITEM-1","itemData":{"DOI":"10.4102/hsag.v18i1.735","ISSN":"10259848","abstract":"One of the transitions from adolescence to adulthood is the admission of students to a university setting. Accompanying this transition is a new-found independence which results in university students having more autonomy over their lifestyles and behaviours. The assumption in this setting is that many students are likely to engage in unhealthy and risky lifestyle behaviours which include alcohol abuse, tobacco use, physical inactivity and unhealthy dietary practices which may adversely affect their health in the long-term. In South Africa, research with regard to health and lifestyle patterns amongst both male and female young adults remains limited. The purpose of this study was, therefore, to investigate whether male and female students differed in relation to their health and lifestyles, as well as the related consequences thereof. A convenience sampling technique was used, where questionnaires were administered to 400 students at three university campuses in the Gauteng province of South Africa. An exploratory data analysis for health factors was used in order to retrieve relevant factors from a factor and regression analysis. Differences in gender were tested by using cross-tabulation for descriptive statistics and Chi-square analysis. The study found no statistically-significant differences between genders relating to the three emerging health factors, namely Gastrointestinal, Upper Respiratory Infections and Total Health Problems. However, descriptive statistics of lifestyle habits revealed that more female students exercised, smoked and binged on food than their male counterparts. It was also found that female students reported a higher incidence of stress than male students. It was concluded that university students do indeed engage in behaviours and lifestyles that place them at risk for serious health problems. © 2013. The Authors.","author":[{"dropping-particle":"","family":"Janse van Rensburg","given":"Christine Janse","non-dropping-particle":"","parse-names":false,"suffix":""},{"dropping-particle":"","family":"Surujlal","given":"Jhalukpreya","non-dropping-particle":"","parse-names":false,"suffix":""}],"container-title":"Health SA Gesondheid (Online)","id":"ITEM-1","issue":"1","issued":{"date-parts":[["2013"]]},"title":"Gender differences related to the health and lifestyle patterns of university students","type":"article-journal","volume":"18"},"uris":["http://www.mendeley.com/documents/?uuid=2d4405e1-47af-4733-acf1-4542aba48fca"]}],"mendeley":{"formattedCitation":"&lt;sup&gt;&lt;sup&gt;2&lt;/sup&gt;&lt;/sup&gt;","plainTextFormattedCitation":"2","previouslyFormattedCitation":"&lt;sup&gt;&lt;sup&gt;2&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F251A7">
              <w:rPr>
                <w:rFonts w:ascii="Times New Roman" w:eastAsia="Times New Roman" w:hAnsi="Times New Roman" w:cs="Times New Roman"/>
                <w:noProof/>
                <w:sz w:val="24"/>
                <w:szCs w:val="24"/>
                <w:vertAlign w:val="superscript"/>
              </w:rPr>
              <w:t>2</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Mogotsi</w:t>
            </w:r>
            <w:proofErr w:type="spellEnd"/>
            <w:r w:rsidRPr="00F251A7">
              <w:rPr>
                <w:rFonts w:ascii="Times New Roman" w:eastAsia="Times New Roman" w:hAnsi="Times New Roman" w:cs="Times New Roman"/>
                <w:sz w:val="24"/>
                <w:szCs w:val="24"/>
              </w:rPr>
              <w:t>, 2014</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{"citationItems":[{"id":"ITEM-1","itemData":{"DOI":"10.1080/09766634.2014.11885623","ISSN":"0976-6634","abstract":"The excessive drinking of alcohol by students, enrolled in institutions of higher learning, is an issue which has been reported in literature globally. As South Africa has a very high alcohol consumption rate per capita, this problem is compounded. This study aimed to gain knowledge and understanding of alcohol use amongst first year students enrolled at an emerging university in South Africa. A quantitative research approach using a cross- sectional survey design was utilised. Open-ended questions were added to the survey protocol to add a holistic element to the research. Quantitative data were analysed using descriptive statistics, the Chi square test and an independent t-test. Thematic Content Analysis (TCA) was used to analyse data gleaned from open-ended questions. Results indicated that first year students aged 18-26 years (SD=3.37) used alcohol with negative academic and social consequences. Male and female students reported similar drinking patterns in terms of when, how much and the types of alcohol they drink. The majority of students acknowledged that moderate and responsible alcohol consumption is necessary. However, this does not generally translate into responsible drinking behaviours","author":[{"dropping-particle":"","family":"Mogotsi","given":"Mirriam","non-dropping-particle":"","parse-names":false,"suffix":""},{"dropping-particle":"","family":"Nel","given":"Kathryn","non-dropping-particle":"","parse-names":false,"suffix":""},{"dropping-particle":"","family":"Basson","given":"Wilna","non-dropping-particle":"","parse-names":false,"suffix":""},{"dropping-particle":"","family":"Tebele","given":"Cebile","non-dropping-particle":"","parse-names":false,"suffix":""}],"container-title":"Journal of Sociology and Social Anthropology","id":"ITEM-1","issue":"2","issued":{"date-parts":[["2014"]]},"page":"187-195","title":"Alcohol use by students at an emerging university in South Africa","type":"article-journal","volume":"5"},"uris":["http://www.mendeley.com/documents/?uuid=f1b80195-183f-45cc-9b15-9a7b58ff0c1f"]}],"mendeley":{"formattedCitation":"&lt;sup&gt;&lt;sup&gt;83&lt;/sup&gt;&lt;/sup&gt;","plainTextFormattedCitation":"83","previouslyFormattedCitation":"&lt;sup&gt;&lt;sup&gt;83&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83</w:t>
            </w:r>
            <w:r w:rsidRPr="00F251A7">
              <w:rPr>
                <w:rFonts w:ascii="Times New Roman" w:eastAsia="Times New Roman" w:hAnsi="Times New Roman" w:cs="Times New Roman"/>
                <w:i/>
                <w:sz w:val="24"/>
                <w:szCs w:val="24"/>
              </w:rPr>
              <w:fldChar w:fldCharType="end"/>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7</w:t>
            </w:r>
          </w:p>
        </w:tc>
        <w:tc>
          <w:tcPr>
            <w:tcW w:w="104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Mthabela</w:t>
            </w:r>
            <w:proofErr w:type="spellEnd"/>
            <w:r w:rsidRPr="00F251A7">
              <w:rPr>
                <w:rFonts w:ascii="Times New Roman" w:eastAsia="Times New Roman" w:hAnsi="Times New Roman" w:cs="Times New Roman"/>
                <w:sz w:val="24"/>
                <w:szCs w:val="24"/>
              </w:rPr>
              <w:t>, 2021</w:t>
            </w:r>
            <w:r w:rsidRPr="00F251A7">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{"citationItems":[{"id":"ITEM-1","itemData":{"ISSN":"20908342","abstract":"Background: Alcohol use among university students is a common aspect of student extramural activities outside the lecturing setting on campus. The increasing use of alcohol during these periods relates to harmful disorders and predicts substance related problems in later life. Purpose: The purpose of the study was to investigate the prevalence and factors of alcohol use among the undergraduate students at Sefako Mak-gatho Health Sciences University, South Africa. Methodology: A quantitative design was used to collect data through a self-administered questionnaire from 377 undergraduate students in different study professions at Sefako Makgatho Health Sciences University, South Africa. Results: The findings indicate that student’s alcohol use is moderate to heavy with a Spearman coefficient pattern indicating strong correlations between worries and stress, alcohol taste and feeling good as motives for alcohol use. Conclusion: Lack of knowledge about alcohol use, as well as absence of specific policies on alcohol use depict a concerning gap in efforts to com-bat alcohol use among undergraduate students.","author":[{"dropping-particle":"","family":"Mthabela","given":"Rosemary Thuli Hlengiwe","non-dropping-particle":"","parse-names":false,"suffix":""},{"dropping-particle":"","family":"Heever","given":"Hendry","non-dropping-particle":"van der","parse-names":false,"suffix":""}],"container-title":"Journal of Drug and Alcohol Research","id":"ITEM-1","issue":"7","issued":{"date-parts":[["2021"]]},"title":"Patterns of alcohol use amongst undergraduate students at a health science-es university, South Africa","type":"article-journal","volume":"10"},"uris":["http://www.mendeley.com/documents/?uuid=73e0d1f2-238b-47e9-891a-4b881a78c0f2"]}],"mendeley":{"formattedCitation":"&lt;sup&gt;&lt;sup&gt;84&lt;/sup&gt;&lt;/sup&gt;","plainTextFormattedCitation":"84","previouslyFormattedCitation":"&lt;sup&gt;&lt;sup&gt;84&lt;/sup&gt;&lt;/sup&gt;"},"properties":{"noteIndex":0},"schema":"https://github.com/citation-style-language/schema/raw/master/csl-citation.json"}</w:instrText>
            </w:r>
            <w:r w:rsidRPr="00F251A7">
              <w:rPr>
                <w:rFonts w:ascii="Times New Roman" w:eastAsia="Times New Roman" w:hAnsi="Times New Roman" w:cs="Times New Roman"/>
                <w:sz w:val="24"/>
                <w:szCs w:val="24"/>
              </w:rPr>
              <w:fldChar w:fldCharType="separate"/>
            </w:r>
            <w:r w:rsidRPr="0010422A">
              <w:rPr>
                <w:rFonts w:ascii="Times New Roman" w:eastAsia="Times New Roman" w:hAnsi="Times New Roman" w:cs="Times New Roman"/>
                <w:noProof/>
                <w:sz w:val="24"/>
                <w:szCs w:val="24"/>
                <w:vertAlign w:val="superscript"/>
              </w:rPr>
              <w:t>84</w:t>
            </w:r>
            <w:r w:rsidRPr="00F251A7">
              <w:rPr>
                <w:rFonts w:ascii="Times New Roman" w:eastAsia="Times New Roman" w:hAnsi="Times New Roman" w:cs="Times New Roman"/>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Nkambule</w:t>
            </w:r>
            <w:proofErr w:type="spellEnd"/>
            <w:r w:rsidRPr="00F251A7">
              <w:rPr>
                <w:rFonts w:ascii="Times New Roman" w:eastAsia="Times New Roman" w:hAnsi="Times New Roman" w:cs="Times New Roman"/>
                <w:sz w:val="24"/>
                <w:szCs w:val="24"/>
              </w:rPr>
              <w:t>, 2018</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author":[{"dropping-particle":"","family":"Nkambule","given":"NR","non-dropping-particle":"","parse-names":false,"suffix":""},{"dropping-particle":"","family":"Bhayat","given":"A","non-dropping-particle":"","parse-names":false,"suffix":""},{"dropping-particle":"","family":"Madiba","given":"TK","non-dropping-particle":"","parse-names":false,"suffix":""}],"container-title":"South African Dental Journal","id":"ITEM-1","issue":"1","issued":{"date-parts":[["2018"]]},"page":"27-30","title":"Knowledge, attitudes, and practices of alcohol and smoking among undergraduate oral health students at a South African University","type":"article-journal","volume":"73"},"uris":["http://www.mendeley.com/documents/?uuid=e5889a66-3902-4934-9ef0-6753abcce52e"]}],"mendeley":{"formattedCitation":"&lt;sup&gt;&lt;sup&gt;85&lt;/sup&gt;&lt;/sup&gt;","plainTextFormattedCitation":"85","previouslyFormattedCitation":"&lt;sup&gt;&lt;sup&gt;85&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85</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Nyandu</w:t>
            </w:r>
            <w:proofErr w:type="spellEnd"/>
            <w:r w:rsidRPr="00F251A7">
              <w:rPr>
                <w:rFonts w:ascii="Times New Roman" w:eastAsia="Times New Roman" w:hAnsi="Times New Roman" w:cs="Times New Roman"/>
                <w:sz w:val="24"/>
                <w:szCs w:val="24"/>
              </w:rPr>
              <w:t>, 2019</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{"citationItems":[{"id":"ITEM-1","itemData":{"DOI":"10.1080/02615479.2019.1661372","ISSN":"14701227","abstract":"Alcohol consumption among tertiary level students is a public health problem that can adversely affect students’ performance at university. This study therefore investigated the drinking patterns; reasons for drinking; and the perceived impact of drinking on academic performance of undergraduate social work students at a South African university. Of the 145 students who completed a group administered survey questionnaire, 88% reported using alcohol mainly for social purposes and enjoyment, with two-fifths admitting to participating in binge drinking. Despite these findings, a high proportion (78%) reported not performing poorly on a test or exam due to alcohol consumption in the preceding 12 months. Recommendations are provided for the education and support of social work students as future healthcare professionals.","author":[{"dropping-particle":"","family":"Nyandu","given":"Andiswa","non-dropping-particle":"","parse-names":false,"suffix":""},{"dropping-particle":"","family":"Ross","given":"Eleanor","non-dropping-particle":"","parse-names":false,"suffix":""}],"container-title":"Social Work Education","id":"ITEM-1","issue":"4","issued":{"date-parts":[["2019"]]},"page":"515-533","publisher":"Routledge","title":"Alcohol consumption among undergraduate social work students at a South African university","type":"article-journal","volume":"39"},"uris":["http://www.mendeley.com/documents/?uuid=07152640-f911-4420-abe1-fede0b499311"]}],"mendeley":{"formattedCitation":"&lt;sup&gt;&lt;sup&gt;58&lt;/sup&gt;&lt;/sup&gt;","plainTextFormattedCitation":"58","previouslyFormattedCitation":"&lt;sup&gt;&lt;sup&gt;58&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58</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9</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lastRenderedPageBreak/>
              <w:t>Pengpid</w:t>
            </w:r>
            <w:proofErr w:type="spellEnd"/>
            <w:r w:rsidRPr="00F251A7">
              <w:rPr>
                <w:rFonts w:ascii="Times New Roman" w:eastAsia="Times New Roman" w:hAnsi="Times New Roman" w:cs="Times New Roman"/>
                <w:sz w:val="24"/>
                <w:szCs w:val="24"/>
              </w:rPr>
              <w:t>, 2013a</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{"citationItems":[{"id":"ITEM-1","itemData":{"DOI":"10.3390/ijerph10052043","ISSN":"1660-4601 (Electronic)","PMID":"23698697","abstract":"The aim of this study was to assess the effectiveness of Screening and Brief Intervention (SBI) for alcohol problems among university students in South Africa. The study design for this efficacy study is a randomized controlled trial with 6- and 12-month follow-ups to examine the effects of a brief alcohol intervention to reduce alcohol use by hazardous and harmful drinkers in a university setting. The unit of randomization is the individual university student identified as a hazardous or harmful drinker attending public recruitment venues in a university campus. University students were screened for alcohol problems, and those identified as hazardous or harmful drinkers were randomized into an experimental or control group. The experimental group received one brief counseling session on alcohol risk reduction, while the control group received a health education leaflet. Results indicate that of the 722 screened for alcohol and who agreed to participate in the trial 152 (21.1%) tested positive for the Alcohol Use Disorder Identification Test (AUDIT) (score 8 or more). Among the 147 (96.7%) university students who also attended the 12-month follow-up session, the intervention effect on the AUDIT score was -1.5, which was statistically significant (P = 0.009). Further, the depression scores marginally significantly decreased over time across treatment groups, while other substance use (tobacco and cannabis use), self-rated health status and Posttraumatic Stress Disorder (PTSD) scores did not change over time across treatment groups. The study provides evidence of effective brief intervention by assistant nurses with hazardous and harmful drinkers in a university setting in South Africa. The short duration of the brief intervention makes it a realistic candidate for use in a university setting.","author":[{"dropping-particle":"","family":"Pengpid","given":"Supa","non-dropping-particle":"","parse-names":false,"suffix":""},{"dropping-particle":"","family":"Peltzer","given":"Karl","non-dropping-particle":"","parse-names":false,"suffix":""},{"dropping-particle":"","family":"Heever","given":"Hendry","non-dropping-particle":"van der","parse-names":false,"suffix":""},{"dropping-particle":"","family":"Skaal","given":"Linda","non-dropping-particle":"","parse-names":false,"suffix":""}],"container-title":"International journal of environmental research and public health","id":"ITEM-1","issue":"5","issued":{"date-parts":[["2013"]]},"language":"eng","page":"2043-2057","title":"Screening and brief interventions for hazardous and harmful alcohol use among university students in South Africa: results from a randomized controlled trial.","type":"article-journal","volume":"10"},"uris":["http://www.mendeley.com/documents/?uuid=d8123ff5-906e-4c11-bc4a-80ada00b1cb4"]}],"mendeley":{"formattedCitation":"&lt;sup&gt;&lt;sup&gt;29&lt;/sup&gt;&lt;/sup&gt;","plainTextFormattedCitation":"29","previouslyFormattedCitation":"&lt;sup&gt;&lt;sup&gt;29&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F251A7">
              <w:rPr>
                <w:rFonts w:ascii="Times New Roman" w:eastAsia="Times New Roman" w:hAnsi="Times New Roman" w:cs="Times New Roman"/>
                <w:noProof/>
                <w:sz w:val="24"/>
                <w:szCs w:val="24"/>
                <w:vertAlign w:val="superscript"/>
              </w:rPr>
              <w:t>29</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7</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Porter, 2009</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{"citationItems":[{"id":"ITEM-1","itemData":{"ISSN":"1529-1944","abstract":"This study examined the priority health behaviors of South African youth by administering a questionnaire to 635 undergraduate students enrolled in a large metropolitan university in South Africa. Results indicate that 65.5% of the participants tried cigarettes at least once during their lifetime, over 15.2% had their first cigarette and 31.2% had their first alcoholic drink before age 15, and over 95.4% consumed their first alcoholic drink by age 18. During the month preceding the survey, 37.0% consumed five or more alcoholic drinks on a single occasion and 10.3% carried a weapon at least once. Over 83.3% percent had at least three servings of fruits and vegetables the day before the survey, 44.3% engaged in vigorous physical activity on three or more of the seven days preceding the survey, 10% rarely or never wore a seatbelt when driving, 10% seriously considered attempting suicide, and 46.7% had sexual intercourse in their lifetime. Results were analyzed by demographic variables including sex, race and age. Recommendations for campus wellness programs addressing these issues are included.","author":[{"dropping-particle":"","family":"Porter","given":"K","non-dropping-particle":"","parse-names":false,"suffix":""},{"dropping-particle":"","family":"Johnson","given":"P H","non-dropping-particle":"","parse-names":false,"suffix":""},{"dropping-particle":"","family":"Petrillo","given":"J","non-dropping-particle":"","parse-names":false,"suffix":""}],"container-title":"International Electronic Journal of Health Education","id":"ITEM-1","issued":{"date-parts":[["2009"]]},"page":"222-243","title":"Priority health behaviors among South African undergraduate students.","type":"article-journal","volume":"12"},"uris":["http://www.mendeley.com/documents/?uuid=b58d93fb-2553-41f8-95b1-5d623ae3df99"]}],"mendeley":{"formattedCitation":"&lt;sup&gt;&lt;sup&gt;72&lt;/sup&gt;&lt;/sup&gt;","plainTextFormattedCitation":"72","previouslyFormattedCitation":"&lt;sup&gt;&lt;sup&gt;72&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72</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Reid, 2008</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{"citationItems":[{"id":"ITEM-1","itemData":{"DOI":"10.1177/008124630803800203","ISSN":"00812463","abstract":"Little is known about the sleep habits of South African students. The objectives in this study were to evaluate sleep habits and daytime behaviours of South African university students and to examine possible factors associated with their sleep quality and daytime sleepiness. Nine hundred and eighty-six undergraduate students completed a questionnaire about their sleep and lifestyle habits over the previous month, and their fatigue-related driving history. Sleep habits were similar for male and female students, although male students went to bed later and had fewer night-time awakenings. Black students went to bed significantly later than white and Asian students and woke earlier than white students during the week; consequently they were more likely to have a shorter time in bed than white students. Black students were more likely to nap than white students, possibly to supplement their overall sleep amount. Sleep quality and daytime sleepiness were not influenced by gender or ethnicity. Twenty percent of the students reported having ever fallen asleep while driving and 2% reported having had a fatigue-related accident; these findings have implications for road safety. Eighteen percent of the students reported poor sleep quality, although few students (4%) had consulted a doctor about a sleeping problem. Logistic multiple regression modeling revealed that poor sleep quality was associated with the following factors: long sleep onset latency; night-time awakenings; late bed times; use of sleep medication; not getting enough sleep; and low energy. Based on the Epworth Sleepiness Scale, 44% of the students had a high propensity for daytime sleepiness, which was associated with not getting enough sleep, consuming more caffeinated beverages, daytime napping, and having no/little energy. Daytime sleepiness and associated factors in South African students need to be investigated further and it is recommended that students be better informed about sleep problems and their consequences. First-line help-professionals such as psychologists, doctors, and healthcare workers should be better trained to support students with sleep problems.","author":[{"dropping-particle":"","family":"Reid","given":"Alison","non-dropping-particle":"","parse-names":false,"suffix":""},{"dropping-particle":"","family":"Baker","given":"Fiona C.","non-dropping-particle":"","parse-names":false,"suffix":""}],"container-title":"South African Journal of Psychology","id":"ITEM-1","issue":"2","issued":{"date-parts":[["2008"]]},"page":"287-303","title":"Perceived sleep quality and sleepiness in South African university students","type":"article-journal","volume":"38"},"uris":["http://www.mendeley.com/documents/?uuid=c4312799-3f8b-46fa-86f5-256be2a24531"]}],"mendeley":{"formattedCitation":"&lt;sup&gt;&lt;sup&gt;86&lt;/sup&gt;&lt;/sup&gt;","plainTextFormattedCitation":"86","previouslyFormattedCitation":"&lt;sup&gt;&lt;sup&gt;86&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86</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4</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Steyn, 2016</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{"citationItems":[{"id":"ITEM-1","itemData":{"DOI":"10.4102/sajpsychiatry.v22i1.760","ISSN":"20786786","abstract":"Background: Methylphenidate hydrochloride (MPH) is used in the treatment of attention deficit hyperactivity disorder (ADHD). The non-medical use of MPH by learners and students has been reported by numerous studies from abroad. The practice stems from beliefs about the benefits of MPH in achieving academic success. Little is known about the use of MPH in South African student populations. Objectives: The study set out to determine (1) the extent and dynamics associated with MPH use and (2) poly-substance use among undergraduate students attending a South African university. Methods: 818 students took part in a written, group-administered survey. Data analysis resulted in descriptive results regarding MPH use and tests of association identified differences in MPH and poly-substance use among respondents. Results: One in six respondents (17.2%) has used MPH in the past, although only 2.9% have been diagnosed with ADHD. Nearly a third (31.7%) of users obtained MPH products illegally. The majority (69.1%) used MPH only during periods of academic stress. A significant association (p &lt; 0.001) was found between MPH use and the frequency of using alcohol, tobacco, cannabis, hard drugs (e.g. cocaine) and prescription medication. Conclusion: MPH use among students appears similar to experiences abroad, especially in the absence of clinical diagnosis for ADHD. Institutions of higher education should inform parents and students about the health risks associated with the illicit use of MPH. Prescribers and dispensers of MPH products should pay close attention to practices of stockpiling medication and poly-substance use among students who use MPH.","author":[{"dropping-particle":"","family":"Steyn","given":"Francois","non-dropping-particle":"","parse-names":false,"suffix":""}],"container-title":"South African Journal of Psychiatry","id":"ITEM-1","issue":"1","issued":{"date-parts":[["2016"]]},"page":"1-4","title":"Methylphenidate use and poly-substance use among undergraduate students attending a South African university","type":"article-journal","volume":"22"},"uris":["http://www.mendeley.com/documents/?uuid=a9978d9b-026b-4fc4-bbf1-456d72843dbf"]}],"mendeley":{"formattedCitation":"&lt;sup&gt;&lt;sup&gt;87&lt;/sup&gt;&lt;/sup&gt;","plainTextFormattedCitation":"87","previouslyFormattedCitation":"&lt;sup&gt;&lt;sup&gt;87&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87</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4</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Viljoen</w:t>
            </w:r>
            <w:proofErr w:type="spellEnd"/>
            <w:r w:rsidRPr="00F251A7">
              <w:rPr>
                <w:rFonts w:ascii="Times New Roman" w:eastAsia="Times New Roman" w:hAnsi="Times New Roman" w:cs="Times New Roman"/>
                <w:sz w:val="24"/>
                <w:szCs w:val="24"/>
              </w:rPr>
              <w:t>, 2018</w:t>
            </w:r>
            <w:r w:rsidRPr="00F251A7">
              <w:rPr>
                <w:rFonts w:ascii="Times New Roman" w:eastAsia="Times New Roman" w:hAnsi="Times New Roman" w:cs="Times New Roman"/>
                <w:i/>
                <w:sz w:val="24"/>
                <w:szCs w:val="24"/>
                <w:vertAlign w:val="superscript"/>
              </w:rPr>
              <w:fldChar w:fldCharType="begin" w:fldLock="1"/>
            </w:r>
            <w:r w:rsidRPr="00F251A7">
              <w:rPr>
                <w:rFonts w:ascii="Times New Roman" w:eastAsia="Times New Roman" w:hAnsi="Times New Roman" w:cs="Times New Roman"/>
                <w:i/>
                <w:sz w:val="24"/>
                <w:szCs w:val="24"/>
                <w:vertAlign w:val="superscript"/>
              </w:rPr>
              <w:instrText>ADDIN CSL_CITATION {"citationItems":[{"id":"ITEM-1","itemData":{"DOI":"10.1111/ijcs.12465","ISSN":"14706431","abstract":"There is worldwide concern that higher education students are increasingly engaging in unhealthy eating and lifestyle practices. A total of 488 white students participated in a study aimed at investigating the current food consumption and related lifestyle patterns of students at a South African residential university. The respondents’ self-reported weight and height was used to calculate their body mass index (BMI). Closed and open-ended questions measured aspects of the respondents’ usual eating patterns and lifestyles. The meal patterns and composition confirmed Western-orientated food practices, as the majority consumed three meals a day, with in-between meal snacking, and a different meal pattern over weekends. Respondents’ food intake was further characterized by a low intake of fruit, vegetables, and dairy products and frequent consumption of foods high in fat, sugar, and sodium. Although the majority (66.8%) of the study group were classified as normal weight according to their BMI, when comparing males and females, more males than females were overweight and obese. Only 54% of the males had a normal weight compared to 82% of the females. There was, however, no statistically significant difference (p = 0.149) between how males and females in the different BMI groups felt about their weight. The study also explored the relationships between the respondents’ BMI, gender, food consumption patterns, and type of residence. The features of the food consumption patterns were depicted according to whether breakfast was eaten or not; snacking activity between meals; the consumption of ready-prepared convenience meals, fast foods; home-cooked meals; and eating out. There were no statistical significant differences between the BMI categories of males and females regarding their habit to eat breakfast or not; and to snack between meals either during the morning, in the afternoon or after supper. Similarly, no statistical significant differences were noted when relating the BMI categories of the gender groups to the frequency of consumption of ready-prepared, convenience type meals, fast foods, and home-cooked meals. However, a statistical significant difference (p-value 0.006) was found between BMI categories per gender and general frequency of eating out. No statistical differences was noted between BMI categories, gender and place of residence irrespective of the type, whether the student lived with parents, independently in a flat or apartment, or a hous…","author":[{"dropping-particle":"","family":"Viljoen","given":"Annemarie T.","non-dropping-particle":"","parse-names":false,"suffix":""},{"dropping-particle":"","family":"Spuy","given":"Esther","non-dropping-particle":"van der","parse-names":false,"suffix":""},{"dropping-particle":"","family":"Rand","given":"Gerrie E.","non-dropping-particle":"du","parse-names":false,"suffix":""}],"container-title":"International Journal of Consumer Studies","id":"ITEM-1","issue":"5","issued":{"date-parts":[["2018"]]},"page":"533-546","title":"Food consumption, lifestyle patterns, and body mass index of a group of white South African students","type":"article-journal","volume":"42"},"uris":["http://www.mendeley.com/documents/?uuid=a16d7b40-12e1-4a69-8ed3-0ef5eb56fdfb"]}],"mendeley":{"formattedCitation":"&lt;sup&gt;&lt;sup&gt;1&lt;/sup&gt;&lt;/sup&gt;","plainTextFormattedCitation":"1","previouslyFormattedCitation":"&lt;sup&gt;&lt;sup&gt;1&lt;/sup&gt;&lt;/sup&gt;"},"properties":{"noteIndex":0},"schema":"https://github.com/citation-style-language/schema/raw/master/csl-citation.json"}</w:instrText>
            </w:r>
            <w:r w:rsidRPr="00F251A7">
              <w:rPr>
                <w:rFonts w:ascii="Times New Roman" w:eastAsia="Times New Roman" w:hAnsi="Times New Roman" w:cs="Times New Roman"/>
                <w:i/>
                <w:sz w:val="24"/>
                <w:szCs w:val="24"/>
                <w:vertAlign w:val="superscript"/>
              </w:rPr>
              <w:fldChar w:fldCharType="separate"/>
            </w:r>
            <w:r w:rsidRPr="00F251A7">
              <w:rPr>
                <w:rFonts w:ascii="Times New Roman" w:eastAsia="Times New Roman" w:hAnsi="Times New Roman" w:cs="Times New Roman"/>
                <w:noProof/>
                <w:sz w:val="24"/>
                <w:szCs w:val="24"/>
                <w:vertAlign w:val="superscript"/>
              </w:rPr>
              <w:t>1</w:t>
            </w:r>
            <w:r w:rsidRPr="00F251A7">
              <w:rPr>
                <w:rFonts w:ascii="Times New Roman" w:eastAsia="Times New Roman" w:hAnsi="Times New Roman" w:cs="Times New Roman"/>
                <w:i/>
                <w:sz w:val="24"/>
                <w:szCs w:val="24"/>
                <w:vertAlign w:val="superscript"/>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4</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Gresse</w:t>
            </w:r>
            <w:proofErr w:type="spellEnd"/>
            <w:r w:rsidRPr="00F251A7">
              <w:rPr>
                <w:rFonts w:ascii="Times New Roman" w:eastAsia="Times New Roman" w:hAnsi="Times New Roman" w:cs="Times New Roman"/>
                <w:sz w:val="24"/>
                <w:szCs w:val="24"/>
              </w:rPr>
              <w:t>, 2015</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{"citationItems":[{"id":"ITEM-1","itemData":{"DOI":"10.1080/16070658.2015.11734555","ISSN":"16070658","abstract":"Objectives: Students studying towards a qualification in Health Sciences should have more knowledge of a healthy lifestyle than other university students. However, it has been questioned whether or not these students apply such knowledge. While studies have been conducted on the lifestyle habits of students in general, few have compared the practices of Health Science students with those of other students. The objectives of this study were to compare the eating patterns, alcohol consumption and physical activity of Health Science students with those of other students. Design: A cross-sectional study design that utilised an electronic self-administered survey was applied. Data were analysed using SPSS® and Pearson’s chi-square test (p-value &lt; 0.050). Subjects and setting: A convenience sample (n = 619), consisting of registered students at Nelson Mandela Metropolitan University, participated, after providing informed consent. Outcomes measures: Dietary patterns and frequency of intake, alcohol consumption and physical activity were measured. Results: A statistical difference was not reported between the eating patterns, alcohol consumption and physical activity of Health Science students and those of other students. Most of the students exhibited poor dietary behaviour. For example, 65% of Health Science students and 67% of students in other faculties consumed less than one fruit per day, 70% of Health Science students and 64% of other students consumed less than one vegetable per day, while 91% of Health Science students and 93% of students in other faculties consumed less than two glasses of milk per day. Although not significant, fewer Health Science students (4%) than students of other faculties (9%) consumed alcohol more than twice a week. Binge drinking was more common in Health Science students. Forty-eight per cent of the Health Science students indicated that they were physically inactive, compared to 49% of students in other faculties. Conclusion: Students studying Health Science do not have a healthier lifestyle than other students. Further theory-based intervention studies to determine the reasons for this behaviour need to be undertaken. Strategies should be developed to encourage behavioural change.","author":[{"dropping-particle":"","family":"Gresse","given":"Annelie","non-dropping-particle":"","parse-names":false,"suffix":""},{"dropping-particle":"","family":"Steenkamp","given":"L.","non-dropping-particle":"","parse-names":false,"suffix":""},{"dropping-particle":"","family":"Pietersen","given":"J.","non-dropping-particle":"","parse-names":false,"suffix":""}],"container-title":"South African Journal of Clinical Nutrition","id":"ITEM-1","issue":"4","issued":{"date-parts":[["2015"]]},"page":"154-159","title":"Eating, drinking and physical activity in faculty of health science students compared to other students at a South African university","type":"article-journal","volume":"28"},"uris":["http://www.mendeley.com/documents/?uuid=85ee49d0-a22f-4977-af32-0267a79b9a3a"]}],"mendeley":{"formattedCitation":"&lt;sup&gt;&lt;sup&gt;89&lt;/sup&gt;&lt;/sup&gt;","plainTextFormattedCitation":"89","previouslyFormattedCitation":"&lt;sup&gt;&lt;sup&gt;89&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89</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7</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Mandeya</w:t>
            </w:r>
            <w:proofErr w:type="spellEnd"/>
            <w:r w:rsidRPr="00F251A7">
              <w:rPr>
                <w:rFonts w:ascii="Times New Roman" w:eastAsia="Times New Roman" w:hAnsi="Times New Roman" w:cs="Times New Roman"/>
                <w:sz w:val="24"/>
                <w:szCs w:val="24"/>
              </w:rPr>
              <w:t>, 2019</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{"citationItems":[{"id":"ITEM-1","itemData":{"DOI":"10.2174/1874944501912010455","ISBN":"0798572280","ISSN":"1874-9445","abstract":"Background: While many studies exist on the prevalence of alcohol use among South African university students, such information is scant for universities in the Eastern Cape Province. This study examines the prevalence of alcohol use among students at one university in the Eastern Cape, the relationship between such use and the knowledge of alcohol-attributable health conditions and biographical characteristics. Methods: The cross-sectional study involved 213 students enrolled in a statistics service course. A self-administered questionnaire was used to collect information on various biographical characteristics, alcohol use and health knowledge. The English version of the Alcohol Use Disorders Identification Test (AUDIT) questionnaire was used to measure alcohol use. The Mann-Whitney and Kruskal-Wallis tests were used to compare health knowledge across levels of alcohol use and biographical variables. Multiple logistic regression was applied to determine patterns of association between alcohol use and health knowledge, and biographical variables. Results: The prevalence rates of alcohol use and risky alcohol use were 58.2% and 42.7%, respectively. Health knowledge was generally low and significantly higher among alcohol users (Z=-2.7; p=0.0074) and those whose fathers had a post-matric education X 2 =6.4; p=0.0410) and/or employment (Z=-2.7; p=0.0064). Males, returning students and those with employed fathers were found to have a higher chance of alcohol use. Conclusion: Alcohol use among students was high and knowledge of alcohol-attributable diseases was low. These results suggest a need for health promotion interventions for the general student population and/or risk reduction interventions for risky alcohol users.","author":[{"dropping-particle":"","family":"Mandeya","given":"Andrew","non-dropping-particle":"","parse-names":false,"suffix":""},{"dropping-particle":"","family":"Goon","given":"Daniel","non-dropping-particle":"Ter","parse-names":false,"suffix":""}],"container-title":"The Open Public Health Journal","id":"ITEM-1","issue":"1","issued":{"date-parts":[["2019"]]},"page":"455-464","title":"The relationship between patterns of alcohol use and knowledge of alcohol-attributable health conditions: a survey among students at a South African university","type":"article-journal","volume":"12"},"uris":["http://www.mendeley.com/documents/?uuid=dfb8105f-554a-4e05-bfec-266520415ef1"]}],"mendeley":{"formattedCitation":"&lt;sup&gt;&lt;sup&gt;54&lt;/sup&gt;&lt;/sup&gt;","plainTextFormattedCitation":"54","previouslyFormattedCitation":"&lt;sup&gt;&lt;sup&gt;54&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54</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Maphisa</w:t>
            </w:r>
            <w:proofErr w:type="spellEnd"/>
            <w:r w:rsidRPr="00F251A7">
              <w:rPr>
                <w:rFonts w:ascii="Times New Roman" w:eastAsia="Times New Roman" w:hAnsi="Times New Roman" w:cs="Times New Roman"/>
                <w:sz w:val="24"/>
                <w:szCs w:val="24"/>
              </w:rPr>
              <w:t>, 2018</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{"citationItems":[{"id":"ITEM-1","itemData":{"DOI":"10.1016/j.addbeh.2018.02.016","ISSN":"18736327","PMID":"29486329","author":[{"dropping-particle":"","family":"Maphisa","given":"J. Maphisa","non-dropping-particle":"","parse-names":false,"suffix":""},{"dropping-particle":"","family":"Young","given":"Charles","non-dropping-particle":"","parse-names":false,"suffix":""}],"container-title":"Addictive Behaviors","id":"ITEM-1","issued":{"date-parts":[["2018"]]},"page":"44-49","publisher":"Elsevier","title":"Risk of alcohol use disorder among South African university students: the role of drinking motives","type":"article-journal","volume":"82"},"uris":["http://www.mendeley.com/documents/?uuid=f8d5cb6b-a208-4c50-bc97-f95eee9b4538"]}],"mendeley":{"formattedCitation":"&lt;sup&gt;&lt;sup&gt;90&lt;/sup&gt;&lt;/sup&gt;","plainTextFormattedCitation":"90","previouslyFormattedCitation":"&lt;sup&gt;&lt;sup&gt;90&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90</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Osuafor</w:t>
            </w:r>
            <w:proofErr w:type="spellEnd"/>
            <w:r w:rsidRPr="00F251A7">
              <w:rPr>
                <w:rFonts w:ascii="Times New Roman" w:eastAsia="Times New Roman" w:hAnsi="Times New Roman" w:cs="Times New Roman"/>
                <w:sz w:val="24"/>
                <w:szCs w:val="24"/>
              </w:rPr>
              <w:t>, 2017</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{"citationItems":[{"id":"ITEM-1","itemData":{"author":[{"dropping-particle":"","family":"Osuafor","given":"Godswill N","non-dropping-particle":"","parse-names":false,"suffix":""},{"dropping-particle":"","family":"Maputle","given":"Sonto M","non-dropping-particle":"","parse-names":false,"suffix":""},{"dropping-particle":"","family":"Netshikweta","given":"Lizzy","non-dropping-particle":"","parse-names":false,"suffix":""}],"container-title":"African Journal of Drug and Alcohol Studies","id":"ITEM-1","issue":"2","issued":{"date-parts":[["2017"]]},"page":"69-81","title":"Religiosity as a protective factor against alcohol and substance use among first-year students in a South African university","type":"article-journal","volume":"16"},"uris":["http://www.mendeley.com/documents/?uuid=9aa1642e-c648-4791-98a4-719d695293cf"]}],"mendeley":{"formattedCitation":"&lt;sup&gt;&lt;sup&gt;52&lt;/sup&gt;&lt;/sup&gt;","plainTextFormattedCitation":"52","previouslyFormattedCitation":"&lt;sup&gt;&lt;sup&gt;52&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52</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Shumba</w:t>
            </w:r>
            <w:proofErr w:type="spellEnd"/>
            <w:r w:rsidRPr="00F251A7">
              <w:rPr>
                <w:rFonts w:ascii="Times New Roman" w:eastAsia="Times New Roman" w:hAnsi="Times New Roman" w:cs="Times New Roman"/>
                <w:sz w:val="24"/>
                <w:szCs w:val="24"/>
              </w:rPr>
              <w:t>, 2011</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{"citationItems":[{"id":"ITEM-1","itemData":{"DOI":"10.1080/14330237.2011.10820435","ISSN":"14330237","abstract":"This study sought to investigate aspects of alcohol use by students attending a South African university. A convenience sample of 40 students (20 male, 20 female; aged 20–30 years.) participated. Data were collected using a self-administered questionnaire and interviews in this study and were described and summarized using descriptive statistics. A significant minority of the students who used alcohol indicated that they were introduced to alcohol use by a friend or relative. Others were self-initiators. A minority proportion believed their academic life was adversely affected by alcohol use. Alcohol drinking impacted the wellbeing of the university students. © 2011 Taylor &amp; Francis Group, LLC. All rights reserved.","author":[{"dropping-particle":"","family":"Shumba","given":"Almon","non-dropping-particle":"","parse-names":false,"suffix":""},{"dropping-particle":"","family":"Ncube","given":"Sikhululekile","non-dropping-particle":"","parse-names":false,"suffix":""}],"container-title":"Journal of Psychology in Africa","id":"ITEM-1","issue":"1","issued":{"date-parts":[["2011"]]},"page":"111-114","title":"Aspects of alcohol use at a South African university campus","type":"article-journal","volume":"21"},"uris":["http://www.mendeley.com/documents/?uuid=e0381914-4e52-4be5-b990-a8553718cd12"]}],"mendeley":{"formattedCitation":"&lt;sup&gt;&lt;sup&gt;56&lt;/sup&gt;&lt;/sup&gt;","plainTextFormattedCitation":"56","previouslyFormattedCitation":"&lt;sup&gt;&lt;sup&gt;56&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56</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Van den Berg, 2012</w:t>
            </w:r>
            <w:r w:rsidRPr="00F251A7">
              <w:rPr>
                <w:rFonts w:ascii="Times New Roman" w:eastAsia="Times New Roman" w:hAnsi="Times New Roman" w:cs="Times New Roman"/>
                <w:i/>
                <w:sz w:val="24"/>
                <w:szCs w:val="24"/>
              </w:rPr>
              <w:fldChar w:fldCharType="begin" w:fldLock="1"/>
            </w:r>
            <w:r w:rsidRPr="00F251A7">
              <w:rPr>
                <w:rFonts w:ascii="Times New Roman" w:eastAsia="Times New Roman" w:hAnsi="Times New Roman" w:cs="Times New Roman"/>
                <w:i/>
                <w:sz w:val="24"/>
                <w:szCs w:val="24"/>
              </w:rPr>
              <w:instrText>ADDIN CSL_CITATION {"citationItems":[{"id":"ITEM-1","itemData":{"DOI":"10.4102/phcfm.v4i1.323","ISSN":"2071-2936","abstract":"Background: Health care workers need to be equipped to deal with the increasing obesity and obesity-related morbidity occurring in developing countries.Objectives: To assess weight status, eating practices and nutritional knowledge amongst nursing students at the University of Fort Hare, Eastern Cape.Method: A cross-sectional descriptive survey was conducted on 161 undergraduate (51 male and 110 female) students of the Department of Nursing Sciences at the University of Fort Hare. Body mass index, waist and hip circumferences and waist hip ratio were determined. Nutritional knowledge and eating practices were investigated by structured intervieweradministered questionnaires.Results: Statically, 49.7% were overweight or obese (58.2% of the females; 31.4% of the males) and 65.2% had waist circumferences putting them at risk for non-communicable diseases. Most did not meet the recommendations for intakes from the vegetable group (97.5% ate &lt;3 servings per day), the fruit group (42.2% ate &lt;2 servings per day), and the dairy group (92.6% ate &lt;2 servings per day); whilst 78.3% ate ≥4 serving per day of sugar or sweets. Most consumed margarine, oil or fat (68.3%), sugar (59.0%) and bread (55.9%) daily, but few reported daily intakes of vegetables (12.4%), fruit (23.6%), fruit juice (21.2%) and milk (15.6%). Fewer than 50% knew the recommended intakes for vegetables, fruit, dairy, starchy foods and meat or meat alternatives.Conclusions: These nursing students had a high prevalence of overweight and obesity, poor eating habits and inadequate knowledge on key nutrition issues, which may impact negatively on their efficacy as future health ambassadors to the public.","author":[{"dropping-particle":"","family":"Berg","given":"V L","non-dropping-particle":"Van den","parse-names":false,"suffix":""},{"dropping-particle":"","family":"Okeyo","given":"Alice P","non-dropping-particle":"","parse-names":false,"suffix":""},{"dropping-particle":"","family":"Dannhauser","given":"Andre","non-dropping-particle":"","parse-names":false,"suffix":""},{"dropping-particle":"","family":"Nel","given":"Mariette","non-dropping-particle":"","parse-names":false,"suffix":""}],"container-title":"African Journal of Primary Health Care &amp; Family Medicine","id":"ITEM-1","issue":"1","issued":{"date-parts":[["2012"]]},"page":"323-331","title":"Body weight, eating practices and nutritional knowledge amongst university nursing students, Eastern Cape, South Africa","type":"article-journal","volume":"4"},"uris":["http://www.mendeley.com/documents/?uuid=dea97ad4-ce55-40d8-be46-b8cf95f0761a"]}],"mendeley":{"formattedCitation":"&lt;sup&gt;&lt;sup&gt;33&lt;/sup&gt;&lt;/sup&gt;","plainTextFormattedCitation":"33","previouslyFormattedCitation":"&lt;sup&gt;&lt;sup&gt;33&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F251A7">
              <w:rPr>
                <w:rFonts w:ascii="Times New Roman" w:eastAsia="Times New Roman" w:hAnsi="Times New Roman" w:cs="Times New Roman"/>
                <w:noProof/>
                <w:sz w:val="24"/>
                <w:szCs w:val="24"/>
                <w:vertAlign w:val="superscript"/>
              </w:rPr>
              <w:t>33</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7</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Walter, 2011</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{"citationItems":[{"id":"ITEM-1","itemData":{"DOI":"10.4102/hsag.v16i1.538","ISSN":"10259848","abstract":"Increased health risks associated with physical inactivity in the Black population have been reported in recent years. Black women, suffering the highest levels of inactivity, overweight and obesity, are at greatest risk of developing chronic diseases of lifestyle. This explorative-descriptive study investigated the physical activity patterns and health status of two generations of Black professional women, reflecting pre-democracy and post-democracy age groups. Quantitative measures were used, including the ActiGraph GT1M accelerometer, the Global Physical Activity Questionnaire and the Health-Promoting Lifestyle Profile. Sample groups comprised teachers, nurses, social workers and public sector managers. Participants aged between 35 and 45 years were allocated to the older generation group (n = 111), whilst those aged between 18 and 21 years (students in the mentioned professional fields) were allocated to the younger generation group (n = 69). The results indicated that these women displayed lower levels of health-promoting behavioural practices than expected, significantly lower levels of physical activity and significantly higher levels of overweight and obesity than the South African norms. The observation that the younger group appeared to be replicating the patterns of the older women is a cause of concern. Greater compliance to health-promoting behaviours was expected in this group owing to participants' professional involvement in health, education and social development fields. Wide-ranging initiatives are necessary to promote physical activity and health amongst the Black female population in South Africa. © 2011. The Authors.","author":[{"dropping-particle":"","family":"Walter","given":"Cheryl M.","non-dropping-particle":"","parse-names":false,"suffix":""},{"dropping-particle":"","family":"Randt","given":"Rosa","non-dropping-particle":"du","parse-names":false,"suffix":""},{"dropping-particle":"","family":"Venter","given":"Daniel J.L.","non-dropping-particle":"","parse-names":false,"suffix":""}],"container-title":"Health SA Gesondheid","id":"ITEM-1","issue":"1","issued":{"date-parts":[["2011"]]},"title":"The physical activity and health status of two generations of Black South African professional women","type":"article-journal","volume":"16"},"uris":["http://www.mendeley.com/documents/?uuid=8cb05090-09f9-4b3b-bb48-b3ca437b7bb3"]}],"mendeley":{"formattedCitation":"&lt;sup&gt;&lt;sup&gt;91&lt;/sup&gt;&lt;/sup&gt;","plainTextFormattedCitation":"91","previouslyFormattedCitation":"&lt;sup&gt;&lt;sup&gt;91&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91</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Young, 2009</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{"citationItems":[{"id":"ITEM-1","itemData":{"DOI":"10.4314/ajdas.v7i2.46367","ISSN":"1531-4065","abstract":"While alcohol continues to be abused on university campuses around the world, the precise situation on South African campuses is unknown. This paper attempts to address this gap by reporting the results of two annual surveys of alcohol consumption amongst students at Rhodes University, the smallest tertiary institution in South Africa, with an annual intake of approximately 6000 students. The results of a survey using the Alcohol Use Disorders\\r\\nIdentification Test (AUDIT) suggests that alcohol consumption amongst these students is a public health concern, and likely to result in serious medical and social consequences.\\r\\n\\r\\nKEYWORDS: Alcohol use, binge drinking, South Africa, university students, AUDIT","author":[{"dropping-particle":"","family":"Young","given":"C","non-dropping-particle":"","parse-names":false,"suffix":""},{"dropping-particle":"","family":"Klerk","given":"V","non-dropping-particle":"De","parse-names":false,"suffix":""}],"container-title":"African Journal of Drug and Alcohol Studies","id":"ITEM-1","issue":"2","issued":{"date-parts":[["2009"]]},"title":"Patterns of alcohol use on a South African university campus: the findings of two annual drinking surveys","type":"article-journal","volume":"7"},"uris":["http://www.mendeley.com/documents/?uuid=300d7b54-480b-416c-947d-fb66449fe395"]}],"mendeley":{"formattedCitation":"&lt;sup&gt;&lt;sup&gt;55&lt;/sup&gt;&lt;/sup&gt;","plainTextFormattedCitation":"55","previouslyFormattedCitation":"&lt;sup&gt;&lt;sup&gt;55&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55</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Young, 2010</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{"citationItems":[{"id":"ITEM-1","itemData":{"DOI":"10.2989/17280583.2010.493659","ISSN":"17280583","abstract":"Objective: The objective of this research is to obtain accurate drinking norms for students living in the university residences in preparation for future social norms interventions that would allow individual students to compare their drinking to an appropriate reference group. Method: Random cluster sampling was used to obtain data from 318 residence students who completed the Alcohol Use Disorders Identification Test (AUDIT), a brief, reliable and valid screening measure designed by the World Health Organisation (Babor et al. 2001). Results: The Cronbach alpha coefficient of 0.83 reported for this multicultural sample is high, suggesting that the AUDIT may be reliably used in this and similar contexts. Normative scores are reported in the form of percentiles. Comparisons between the portions of students drinking safely and hazardously according to race and gender indicate that while male students are drinking no more hazardously than female students, white students drink far more hazardously than black students. Conclusions: These differences suggest that both race- and gender-specific norms would be essential for an effective social norms intervention in this multicultural South African context. Finally, the racialised drinking patterns might reflect an informal segregation of social space at Rhodes University. Copyright © NISC Pty Ltd.","author":[{"dropping-particle":"","family":"Young","given":"Charles","non-dropping-particle":"","parse-names":false,"suffix":""},{"dropping-particle":"","family":"Mayson","given":"Tamara","non-dropping-particle":"","parse-names":false,"suffix":""}],"container-title":"Journal of Child and Adolescent Mental Health","id":"ITEM-1","issue":"1","issued":{"date-parts":[["2010"]]},"page":"15-23","title":"The Alcohol Use Disorders Identification Scale (AUDIT) normative scores for a multiracial sample of Rhodes University residence students","type":"article-journal","volume":"22"},"uris":["http://www.mendeley.com/documents/?uuid=e2a5decb-b2d3-4078-a104-d7aa502d4aee"]}],"mendeley":{"formattedCitation":"&lt;sup&gt;&lt;sup&gt;59&lt;/sup&gt;&lt;/sup&gt;","plainTextFormattedCitation":"59","previouslyFormattedCitation":"&lt;sup&gt;&lt;sup&gt;59&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59</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9</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Bloemhoff</w:t>
            </w:r>
            <w:proofErr w:type="spellEnd"/>
            <w:r w:rsidRPr="00F251A7">
              <w:rPr>
                <w:rFonts w:ascii="Times New Roman" w:eastAsia="Times New Roman" w:hAnsi="Times New Roman" w:cs="Times New Roman"/>
                <w:sz w:val="24"/>
                <w:szCs w:val="24"/>
              </w:rPr>
              <w:t>, 2010</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{"citationItems":[{"id":"ITEM-1","itemData":{"DOI":"10.4314/ajpherd.v16i4.64253","ISSN":"1117-4315","abstract":"Physical inactivity and the resultant chronic diseases are becoming a global epidemic. This article reflects on physical activity levels of undergraduate students at a university in South Africa. Gender and race differences in relation to these levels were investigated. A self-reported measure of physical activity suitable to facilitate cross-cultural comparisons of physical activity levels, the International Physical Activity Questionnaire (IPAQ), was distributed to 413 third-year students at a university campus to determine the physical activity levels of students at a South African university. An analysis of covariance was applied to check for gender and racial differences in relation to physical activity levels. Results revealed that 33% of students are inactive, irrespective of race and gender. Gender is a consistent and strong correlate of overall physical activity. Males are highly significantly (p&lt;0.01) more physically active than females and this difference becomes more evident in vigorous exercise. In contrast to previous studies, this research found that black students demonstrate significantly higher (p&lt;0.05) levels of physical activity than white students and that black males have significantly higher (p&lt;0.05) physical activity levels than their white counterparts. White female students demonstrated the lowest physical activity (42.4%). Further research focussing on environmental determinants and the role of physical activity specialists in higher education, as well as intervention studies rather than descriptive studies, are recommended.","author":[{"dropping-particle":"","family":"Bloemhoff","given":"HJ","non-dropping-particle":"","parse-names":false,"suffix":""}],"container-title":"African Journal for Physical, Health Education, Recreation and Dance","id":"ITEM-1","issue":"4","issued":{"date-parts":[["2010"]]},"page":"25-35","title":"Gender- and race-related physical activity levels of South African university students","type":"article-journal","volume":"16"},"uris":["http://www.mendeley.com/documents/?uuid=52201f3a-264c-46e7-bec0-1100902304bc"]}],"mendeley":{"formattedCitation":"&lt;sup&gt;&lt;sup&gt;92&lt;/sup&gt;&lt;/sup&gt;","plainTextFormattedCitation":"92","previouslyFormattedCitation":"&lt;sup&gt;&lt;sup&gt;92&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92</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Smit, 2009</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{"citationItems":[{"id":"ITEM-1","itemData":{"DOI":"10.4102/sajpsychiatry.v15i1.184","ISSN":"16089685","abstract":"Objectives. To investigate undergraduate medical students' knowledge of at-risk drinking behaviour and their own patterns of alcohol intake. The use of non-alcoholic psychoactive substances was also investigated. Design. A cross-sectional study design was used. Participants completed a self-administered anonymous questionnaire designed using the US Department of Health and Human Services guidelines for identifying at-risk drinking. Setting. The School of Medicine, University of the Free State, Bloemfontein. Subjects. Participants included first-, fourth- and fifth-year medical students enrolled in 2006. Results. Of 408 questionnaires, 371 (90.9%) were returned. Of students who repeated an academic year, 10% ascribed it to substance use. The majority of students conservatively estimated the maximum daily and weekly safe levels of alcohol consumption for both men and women as notably lower than set by the guidelines. Nevertheless, 32% of students admitted to alcohol intake exceeding these limits, and 55.3% were identified as at-risk drinkers. Marijuana was the most common non-alcoholic substance used by medical students (14.6%) in the preceding 3 years. Alcohol and other substances were most frequently used during social activities with friends. Conclusions. Both medical students' knowledge of levels of alcohol intake associated with increased risks and their own drinking patterns could potentially influence their approach to patients with alcohol-related problems. Education regarding at-risk drinking behaviour therefore needs to be addressed.","author":[{"dropping-particle":"","family":"Smit","given":"P.","non-dropping-particle":"","parse-names":false,"suffix":""},{"dropping-particle":"","family":"Pretorius","given":"P. J.","non-dropping-particle":"","parse-names":false,"suffix":""},{"dropping-particle":"","family":"Joubert","given":"G.","non-dropping-particle":"","parse-names":false,"suffix":""}],"container-title":"South African Journal of Psychiatry","id":"ITEM-1","issue":"1","issued":{"date-parts":[["2009"]]},"page":"13-18","title":"University of the free state medical students' view of at-risk drinking behaviour and psychoactive substance use","type":"article-journal","volume":"15"},"uris":["http://www.mendeley.com/documents/?uuid=86f3a943-15aa-41c8-b272-7338965911e5"]}],"mendeley":{"formattedCitation":"&lt;sup&gt;&lt;sup&gt;50&lt;/sup&gt;&lt;/sup&gt;","plainTextFormattedCitation":"50","previouslyFormattedCitation":"&lt;sup&gt;&lt;sup&gt;50&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50</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Van den Berg, 2013</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{"citationItems":[{"id":"ITEM-1","itemData":{"DOI":"10.1080/20786204.2013.10874394","ISSN":"20786204","abstract":"Objectives: This study aimed to evaluate the lifestyle habits of South African students preparing for careers in health care that could influence the efficacy of their counselling practices on risk factors for noncommunicable diseases (NCDs) as future healthcare professionals. Design: Cross-sectional descriptive study. Setting and subjects: One hundred and sixty-one students (median age 21.5 years, 75.8% women) enrolled in the Faculty of Health Sciences at the University of the Free State. Outcome measures: Anthropometry was measured and structured questionnaires administered to assess dietary and lifestyle habits. Results: Many students were at risk of NCDs, with 19.8% being overweight or obese (body mass index &gt; 25 kg/m2), 11.8% had a waist circumferences above gender-specific cut-off points, 98.1% consumed &lt; 3 servings of vegetables/day, 58.4% consumed &lt; 2 servings of fruit/day, 83% consumed &lt; 2 servings of dairy products/day, 60% did not eat a beta-carotenerich fruit or vegetable daily, 31% did not eat a vitamin C-rich fruit or vegetable daily, 62% never consumed legumes, 43% reported a high intake of fats and sweets, 11% smoked a median of 3.5 cigarettes/day and 63% consumed a median of three drinks of alcohol/day on a median of four days (95% weekend days) per month. Fifty-nine per cent were active and 39% were very active owing to busy class schedules, but only 32% participated in formal exercise and sports. Conclusion: The poor dietary and lifestyle habits of most participants highlight the need to not just educate, but better empower these students to deal with the growing public health problem of obesity and related NCDs in the country. © SAAFP.","author":[{"dropping-particle":"","family":"Berg","given":"V L","non-dropping-particle":"Van den","parse-names":false,"suffix":""},{"dropping-particle":"","family":"Abera","given":"B M M","non-dropping-particle":"","parse-names":false,"suffix":""},{"dropping-particle":"","family":"Nel","given":"M","non-dropping-particle":"","parse-names":false,"suffix":""},{"dropping-particle":"","family":"Walsh","given":"C M","non-dropping-particle":"","parse-names":false,"suffix":""}],"container-title":"South African Family Practice","id":"ITEM-1","issue":"5","issued":{"date-parts":[["2013"]]},"page":"445-452","title":"Nutritional status of undergraduate healthcare students at the University of the Free State","type":"article-journal","volume":"55"},"uris":["http://www.mendeley.com/documents/?uuid=9c6130b0-6a58-4f11-ba1e-344b9ff217d2"]}],"mendeley":{"formattedCitation":"&lt;sup&gt;&lt;sup&gt;93&lt;/sup&gt;&lt;/sup&gt;","plainTextFormattedCitation":"93","previouslyFormattedCitation":"&lt;sup&gt;&lt;sup&gt;93&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93</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 xml:space="preserve">Van </w:t>
            </w:r>
            <w:proofErr w:type="spellStart"/>
            <w:r w:rsidRPr="00F251A7">
              <w:rPr>
                <w:rFonts w:ascii="Times New Roman" w:eastAsia="Times New Roman" w:hAnsi="Times New Roman" w:cs="Times New Roman"/>
                <w:sz w:val="24"/>
                <w:szCs w:val="24"/>
              </w:rPr>
              <w:t>Zyl</w:t>
            </w:r>
            <w:proofErr w:type="spellEnd"/>
            <w:r w:rsidRPr="00F251A7">
              <w:rPr>
                <w:rFonts w:ascii="Times New Roman" w:eastAsia="Times New Roman" w:hAnsi="Times New Roman" w:cs="Times New Roman"/>
                <w:sz w:val="24"/>
                <w:szCs w:val="24"/>
              </w:rPr>
              <w:t>, 2015</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{"citationItems":[{"id":"ITEM-1","itemData":{"DOI":"10.2989/17280583.2015.1084310","ISSN":"17280591","PMID":"26357918","abstract":"Objective: This study was conducted to determine the prevalence of hazardous, harmful and dependent drinking among hostel-dwelling students on the main campus of the University of the Free State (UFS), and the influence of sex and academic year on the habit. Method: A quarter of all hostel-dwelling students of UFS were selected by systematic random sampling. Willing participants completed a questionnaire comprising a demographic section and the Alcohol Use Disorders Identification Test (AUDIT). Results: Of the 339 participants with total AUDIT scores, 15.6% exhibited hazardous drinking, 4.1% harmful drinking and 5.6% alcohol dependence. Male students had a statistically significant higher prevalence (32.8%) of hazardous, harmful or dependent drinking than female students (18.9%). Women, however, are biologically more vulnerable to the ill effects of alcohol due to altered pharmacokinetics and pharmacodynamics of alcohol. In addition, intoxicated women suffer more biological and social risks. When the cut-off point for hazardous drinking was adapted to account for the increased biological vulnerability of women, the difference between female and male participants was no longer significant. First year male students were less likely to engage in unsafe drinking than senior students. Female students in the alcohol dependent category showed an increasing trend over advancing academic year. Conclusions: Follow-up studies are needed to confirm whether a significant difference in hazardous drinking of first year male students compared to seniors reflects the influence of university policy or merely precedes drinking acculturation.","author":[{"dropping-particle":"","family":"Zyl","given":"Paulina","non-dropping-particle":"Van","parse-names":false,"suffix":""},{"dropping-particle":"","family":"Botha","given":"Julie","non-dropping-particle":"","parse-names":false,"suffix":""},{"dropping-particle":"","family":"Wyk","given":"Michelle","non-dropping-particle":"Van","parse-names":false,"suffix":""},{"dropping-particle":"","family":"Breytenbach","given":"Jaco","non-dropping-particle":"","parse-names":false,"suffix":""},{"dropping-particle":"","family":"Nel","given":"Christiaan","non-dropping-particle":"","parse-names":false,"suffix":""},{"dropping-particle":"","family":"Niekerk","given":"Michael","non-dropping-particle":"Van","parse-names":false,"suffix":""},{"dropping-particle":"","family":"Breytenbach","given":"Wilma","non-dropping-particle":"","parse-names":false,"suffix":""}],"container-title":"Journal of Child and Adolescent Mental Health","id":"ITEM-1","issue":"2","issued":{"date-parts":[["2015"]]},"page":"125-133","title":"Hazardous, harmful and dependent drinking in hostel-dwelling students at the University of the Free State, Bloemfontein: a cross-sectional study","type":"article-journal","volume":"27"},"uris":["http://www.mendeley.com/documents/?uuid=a8f5a27f-9bad-4201-a90b-876cfdd6928d"]}],"mendeley":{"formattedCitation":"&lt;sup&gt;&lt;sup&gt;51&lt;/sup&gt;&lt;/sup&gt;","plainTextFormattedCitation":"51","previouslyFormattedCitation":"&lt;sup&gt;&lt;sup&gt;51&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51</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Vorster, 2019a</w:t>
            </w:r>
            <w:r w:rsidRPr="00F251A7">
              <w:rPr>
                <w:rFonts w:ascii="Times New Roman" w:eastAsia="Times New Roman" w:hAnsi="Times New Roman" w:cs="Times New Roman"/>
                <w:i/>
                <w:sz w:val="24"/>
                <w:szCs w:val="24"/>
              </w:rPr>
              <w:fldChar w:fldCharType="begin" w:fldLock="1"/>
            </w:r>
            <w:r w:rsidRPr="00F251A7">
              <w:rPr>
                <w:rFonts w:ascii="Times New Roman" w:eastAsia="Times New Roman" w:hAnsi="Times New Roman" w:cs="Times New Roman"/>
                <w:i/>
                <w:sz w:val="24"/>
                <w:szCs w:val="24"/>
              </w:rPr>
              <w:instrText>ADDIN CSL_CITATION {"citationItems":[{"id":"ITEM-1","itemData":{"author":[{"dropping-particle":"","family":"Vorster","given":"Annelize","non-dropping-particle":"","parse-names":false,"suffix":""},{"dropping-particle":"","family":"Merwe","given":"Lynette J","non-dropping-particle":"van der","parse-names":false,"suffix":""},{"dropping-particle":"","family":"Gerber","given":"Anthonie M","non-dropping-particle":"","parse-names":false,"suffix":""},{"dropping-particle":"","family":"Zyl","given":"Sanet","non-dropping-particle":"van","parse-names":false,"suffix":""}],"container-title":"Africa Journal of Nursing and Midwifery","id":"ITEM-1","issue":"1","issued":{"date-parts":[["2019"]]},"title":"Second-year nursing students’ self-reported alcohol and substance use and academic performance","type":"article-journal","volume":"21"},"uris":["http://www.mendeley.com/documents/?uuid=4f817f93-dad5-4bd4-9ae6-1e4a02cb8d1a"]}],"mendeley":{"formattedCitation":"&lt;sup&gt;&lt;sup&gt;16&lt;/sup&gt;&lt;/sup&gt;","plainTextFormattedCitation":"16","previouslyFormattedCitation":"&lt;sup&gt;&lt;sup&gt;16&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F251A7">
              <w:rPr>
                <w:rFonts w:ascii="Times New Roman" w:eastAsia="Times New Roman" w:hAnsi="Times New Roman" w:cs="Times New Roman"/>
                <w:noProof/>
                <w:sz w:val="24"/>
                <w:szCs w:val="24"/>
                <w:vertAlign w:val="superscript"/>
              </w:rPr>
              <w:t>16</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Vorster, 2019b</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{"citationItems":[{"id":"ITEM-1","itemData":{"DOI":"10.4102/hsag.v24i0.1041","ISSN":"20719736","abstract":"Background: Health professional students frequently use alcohol and narcotics. The potential impact on academic performance and professional behaviour is concerning. Aim: This study aimed to determine self-reported use of alcohol, illicit substances (e.g. cannabis, lysergic acid diethylamide [LSD], magic mushroom, cocaine, crack, ecstasy, methamphetamine and heroin), prescription medication and smoking habits, correlating academic performance. Setting: Faculty of Health Sciences, University of the Free State. Methods: An observational, descriptive, cross-sectional study design was used. Information was obtained using a self-administered questionnaire, capturing demographics, self-reported academic performance, drinking and smoking habits, and substance use. Coded responses were analysed using the Remark Office OMR 8 Software System. Descriptive statistics were calculated for categorical variables. Results: Completed questionnaires comprised 171 students. A total of 78.4% of second year and 82.8% of third year students reported using alcohol. Twenty-two per cent of second year and 24.1% of third year students reported cannabis use. In the second year group, three (2.7%) students reported using magic mushroom, two (1.8%) reported cocaine, two (1.8%) reported ecstasy and one (0.9%) reported using methamphetamine. Only third year students reported using LSD or ‘crack’. Cigarette smoking was common – 31.5% and 35.1% in both groups, respectively. Smokeless tobacco devices were used by 8.5% of second year and 7.1% of third year students. Almost 40% of both groups reported that they had smoked a water pipe. Academic performance achieved was mostly 60% – 69% (38.9%) among second year students and 70% – 79% (46.6%) among third year students. Conclusion: Self-reported use of alcohol and drugs and smoking among medical students is alarming. Additional student support, early identification and referral for management and/ or rehabilitation should be a priority at tertiary institutions responsible for training future healthcare professionals.","author":[{"dropping-particle":"","family":"Vorster","given":"Annelize","non-dropping-particle":"","parse-names":false,"suffix":""},{"dropping-particle":"","family":"Gerber","given":"Anthonie M.","non-dropping-particle":"","parse-names":false,"suffix":""},{"dropping-particle":"","family":"Merwe","given":"Lynette J.","non-dropping-particle":"van der","parse-names":false,"suffix":""},{"dropping-particle":"","family":"Zyl","given":"Sanet","non-dropping-particle":"van","parse-names":false,"suffix":""}],"container-title":"Health SA Gesondheid","id":"ITEM-1","issued":{"date-parts":[["2019"]]},"page":"a1041","title":"Second and third year medical students’ self-reported alcohol and substance use, smoking habits and academic performance at a South African medical school","type":"article-journal","volume":"24"},"uris":["http://www.mendeley.com/documents/?uuid=3a1a549d-cfb0-4d0c-b465-b878ac0f8687"]}],"mendeley":{"formattedCitation":"&lt;sup&gt;&lt;sup&gt;57&lt;/sup&gt;&lt;/sup&gt;","plainTextFormattedCitation":"57","previouslyFormattedCitation":"&lt;sup&gt;&lt;sup&gt;57&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57</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Cilliers</w:t>
            </w:r>
            <w:proofErr w:type="spellEnd"/>
            <w:r w:rsidRPr="00F251A7">
              <w:rPr>
                <w:rFonts w:ascii="Times New Roman" w:eastAsia="Times New Roman" w:hAnsi="Times New Roman" w:cs="Times New Roman"/>
                <w:sz w:val="24"/>
                <w:szCs w:val="24"/>
              </w:rPr>
              <w:t>, 2006</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{"citationItems":[{"id":"ITEM-1","itemData":{"DOI":"10.1079/phn2005846","ISSN":"1368-9800","PMID":"16571178","abstract":"OBJECTIVE: To investigate the association between the weight status of first-year female students (FYFS) and various weight management-related characteristics to identify possible components of a weight management programme for students. DESIGN: Cross-sectional study. SETTING: Female residences at a South African university. SUBJECTS: A total of 360 FYFS. RESULTS: Mean (+/-standard deviation (SD)) body mass index (BMI) of the FYFS was 21.8 +/- 2.6 kg m(-2), with 7.2% being underweight, 81.9% normal-weight, 10.0% overweight and 0.8% obese. Underweight, normal-weight and overweight students differed with regard to their perception of their weight (P &lt; 0.001), weight goals (P &lt; 0.001) and previous weight-loss practices (P &lt; 0.001). Mean+/-SD score on the 26-item Eating Attitudes Test (EAT-26) was 8.5 +/- 9.0 with 8.4% classified as high scorers. Mean+/-SD score on the 34-item Body Shape Questionnaire (BSQ) was 87.7 +/- 32.2, with 76.1% classified as low, 11.9% as medium and 11.9% as high scorers. The self-concept questionnaire indicated that 36.7% had a high, 43.9% a medium and 19.4% a low self-concept. Higher BMI correlated with a higher BSQ score (P &lt; 0.001), a lower self-concept (P = 0.029) and a higher EAT-26 score (P &lt; 0.001). Smoking was prevalent amongst 13.1% of students, and 51.2% used vitamin and/or mineral supplements. Students who quitted smoking had higher (P = 0.006) BMI (22.7 +/- 2.9 kg m(-2)) than those who never smoked before (21.6 +/- 2.5 kg m(-2)). Normal-weight students were more physically active than underweight or overweight students (P = 0.038). CONCLUSIONS: The specific weight management-related needs of FYFS include information about supplement use, smoking, realistic weight goals, safe and sound weight-loss methods, weight cycling, body-shape perceptions, eating attitudes and behaviours, self-concept and physical activity. Interventions aimed at correcting these problems should target all students, regardless of their BMI.","author":[{"dropping-particle":"","family":"Cilliers","given":"Janetta","non-dropping-particle":"","parse-names":false,"suffix":""},{"dropping-particle":"","family":"Senekal","given":"Marjanne","non-dropping-particle":"","parse-names":false,"suffix":""},{"dropping-particle":"","family":"Kunneke","given":"Ernesta","non-dropping-particle":"","parse-names":false,"suffix":""}],"container-title":"Public Health Nutrition","id":"ITEM-1","issue":"2","issued":{"date-parts":[["2006"]]},"page":"234-243","title":"The association between the body mass index of first-year female university students and their weight-related perceptions and practices, psychological health, physical activity and other physical health indicators","type":"article-journal","volume":"9"},"uris":["http://www.mendeley.com/documents/?uuid=68876b60-54c9-4e63-bd94-115c50af395c"]}],"mendeley":{"formattedCitation":"&lt;sup&gt;&lt;sup&gt;94&lt;/sup&gt;&lt;/sup&gt;","plainTextFormattedCitation":"94","previouslyFormattedCitation":"&lt;sup&gt;&lt;sup&gt;94&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94</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lastRenderedPageBreak/>
              <w:t>Kruger, 2016</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{"citationItems":[{"id":"ITEM-1","itemData":{"DOI":"10.5993/AJHB.40.4.3","ISSN":"19457359","PMID":"27338988","abstract":"Objective: Cigarette smoking in South Africa decreased sharply since the early 1990s. Waterpipe smoking increased, especially among students. We estimate the prevalence of waterpipe and cigarette smoking and associated characteristics among university students in the Western Cape. Methods: An anonymous self-administered online questionnaire was sent to all registered students at 4 public Western Cape universities. The 4578 valid responses were weighted to represent the Western Cape's university student population. We present descriptive statistics and logistic regressions. Results: We found that 63% of Western Cape university students ever smoked waterpipe, 9.9% of students smoked waterpipe in the past 30 days and 17.7% of students smoked cigarettes in the past 30 days. Waterpipe smoking has a strong socialization aspect. Controlling for confounders, current waterpipe smoking is associated with alcohol consumption (positively), age (negatively), population group (mixed-race and Indian students smoke more), religion (Muslims smoke more), faculty (medical students smoke less), and spending money (positively). Current cigarette smoking is associated with similar covariates, but not with age. Conclusion: Waterpipe smoking in the Western Cape is widespread, but less than cigarette smoking. Because all tobacco products are harmful, the government has an obligation to impose appropriate regulatory measures to reduce waterpipe consumption.","author":[{"dropping-particle":"","family":"Kruger","given":"Lara","non-dropping-particle":"","parse-names":false,"suffix":""},{"dropping-particle":"","family":"Walbeek","given":"Corné","non-dropping-particle":"Van","parse-names":false,"suffix":""},{"dropping-particle":"","family":"Vellios","given":"Nicole","non-dropping-particle":"","parse-names":false,"suffix":""}],"container-title":"American Journal of Health Behavior","id":"ITEM-1","issue":"4","issued":{"date-parts":[["2016"]]},"page":"416-426","title":"Waterpipe and cigarette smoking among university students in the Western Cape, South Africa","type":"article-journal","volume":"40"},"uris":["http://www.mendeley.com/documents/?uuid=5e9b651e-f8f3-47bb-9306-c0ba4723e75e"]}],"mendeley":{"formattedCitation":"&lt;sup&gt;&lt;sup&gt;95&lt;/sup&gt;&lt;/sup&gt;","plainTextFormattedCitation":"95","previouslyFormattedCitation":"&lt;sup&gt;&lt;sup&gt;95&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95</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Smith, 2009</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{"citationItems":[{"id":"ITEM-1","itemData":{"ISSN":"19951892","PMID":"19575082","abstract":"We determined selected risk factors for the metabolic syndrome and assessed the metabolic risk status (using IDF criteria) of third-year physiology students at Stellenbosch University (88 males and 178 females). Outcome measures included anthropometry [body mass index (BMI), waist circumference, waist-to-hip ratio], blood pressure (BP), resting pulse rate, and fasting blood glucose, total cholesterol and triglyceride levels. In addition, students completed a lifestyle questionnaire. A number of gender-based differences were found, with male students displaying a greater incidence of risk factors for the metabolic syndrome: 6% of males versus 3% of females displayed a cluster of three risk factors. Twenty-five per cent of female students (but only 14% of males) exhibited waist circumferences above the accepted range, which was positively correlated, for males and females, with both systolic and diastolic BP, and in females only, also with total cholesterol levels. Male students on average exercised more than their female counterparts, but also exhibited poorer eating habits. Average blood triglyceride levels for both male and female students exceeded the accepted threshold (1.85 ± 1.62 mmol/l and 2.15 ± 1.79 mmol/l, respectively). We concluded that metabolic risk factors were evident in a much younger population than commonly expected. Moreover, the gender-specific differences observed may impact on future risk assessment and preventative measures adopted.","author":[{"dropping-particle":"","family":"Smith","given":"Carine","non-dropping-particle":"","parse-names":false,"suffix":""},{"dropping-particle":"","family":"Essop","given":"M. Faadiel","non-dropping-particle":"","parse-names":false,"suffix":""}],"container-title":"Cardiovascular Journal of Africa","id":"ITEM-1","issue":"3","issued":{"date-parts":[["2009"]]},"page":"178-182","title":"Gender differences in metabolic risk factor prevalence in a South African student population","type":"article-journal","volume":"20"},"uris":["http://www.mendeley.com/documents/?uuid=bf234d80-9bfd-45b2-afaa-8e54cfea54b6"]}],"mendeley":{"formattedCitation":"&lt;sup&gt;&lt;sup&gt;96&lt;/sup&gt;&lt;/sup&gt;","plainTextFormattedCitation":"96","previouslyFormattedCitation":"&lt;sup&gt;&lt;sup&gt;96&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96</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Steyl</w:t>
            </w:r>
            <w:proofErr w:type="spellEnd"/>
            <w:r w:rsidRPr="00F251A7">
              <w:rPr>
                <w:rFonts w:ascii="Times New Roman" w:eastAsia="Times New Roman" w:hAnsi="Times New Roman" w:cs="Times New Roman"/>
                <w:sz w:val="24"/>
                <w:szCs w:val="24"/>
              </w:rPr>
              <w:t>, 2011</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{"citationItems":[{"id":"ITEM-1","itemData":{"ISSN":"16806905","PMID":"22275920","abstract":"Background: Substance use among youth is a worldwide epidemic that impacts negatively on the health sector as well as the family and society. Early student life is a time of tremendously high motivation to conform to the behaviours, values, and attitudes that are valued by the youth culture. They observe their peers' behavior and alter their own behaviour with their peers' norms and expectations. This compliance with perceived peer norms can however lead to increased smoking, alcohol and drug use. Objectives: To determine and analyze risky and health promoting behaviour of health science students at a university in the Western Cape, South Africa. In this paper the association between actual risk and perceived risk for substance is discussed. Methods: A self-administered questionnaire containing items from both the NCHRBS and the ACHA-NCHA were administered to 201 health science students at a South African university. Results: When perceptions of typical student behaviour were compared to actual reported behaviour, overestimated consumption patterns for the typical student was found for smoking, alcohol and drug use. Conclusion: The misperceptions of peer norms have important educational or prevention program implications. These findings clearly indicate that educational and awareness programs regarding alcohol and drug use should take perceptions of peer alcohol and drug use into consideration.","author":[{"dropping-particle":"","family":"Steyl","given":"T.","non-dropping-particle":"","parse-names":false,"suffix":""},{"dropping-particle":"","family":"Phillips","given":"J.","non-dropping-particle":"","parse-names":false,"suffix":""}],"container-title":"African Health Sciences","id":"ITEM-1","issue":"3","issued":{"date-parts":[["2011"]]},"page":"329-333","title":"Actual and perceived substance use of health science students at a university in the Western Cape, South Africa","type":"article-journal","volume":"11"},"uris":["http://www.mendeley.com/documents/?uuid=9bd5e9f9-53b0-486e-a3e3-c5a40978dec3"]}],"mendeley":{"formattedCitation":"&lt;sup&gt;&lt;sup&gt;97&lt;/sup&gt;&lt;/sup&gt;","plainTextFormattedCitation":"97","previouslyFormattedCitation":"&lt;sup&gt;&lt;sup&gt;97&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97</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7</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Visser</w:t>
            </w:r>
            <w:proofErr w:type="spellEnd"/>
            <w:r w:rsidRPr="00F251A7">
              <w:rPr>
                <w:rFonts w:ascii="Times New Roman" w:eastAsia="Times New Roman" w:hAnsi="Times New Roman" w:cs="Times New Roman"/>
                <w:sz w:val="24"/>
                <w:szCs w:val="24"/>
              </w:rPr>
              <w:t>, 2019</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{"citationItems":[{"id":"ITEM-1","itemData":{"DOI":"10.1080/20786190.2019.1621047","ISSN":"20786204","abstract":"Background: Vitamin D deficiency is fast emerging as a global pandemic. In South Africa few studies have been conducted to determine the vitamin D status of the healthy population. Methods: This prospective study with an analytical component investigated vitamin D status of healthy undergraduate students at two time points (winter and summer) at Stellenbosch University. Serum 25(OH)D was determined, anthropometric measurements taken and dietary vitamin D intake estimated (food-frequency questionnaire). Skin tone was determined (Fitzpatrick skin type classification), and a skin reflectometry device used to measure dermal melanin content. Results: Results of 242 students indicated a mean serum 25(OH)D of 63.80 ± 41.35 ng/ml and a high prevalence of vitamin D sufficiency (88%). Significantly more females experienced suboptimal vitamin D levels than males (18 vs. 5%; p &lt; 0.01). Participants with lighter skin tones had higher levels of 25(OH)D than those with darker skin tones (chi-square = 24.02; p = 0.02). The majority (60.74%) had a normal BMI, although there was no significant relationship between BMI and serum 25(OH)D (Spearman’s r = –0.11; p = 0.09). Total mean dietary vitamin D intake was 7.99 ± 13.81 mcg, with 87.2% having inadequate intake (&lt; 15 mcg). The relationship between total vitamin D intake and serum 25(OH)D was found to be significant in winter (p &lt; 0.001) and summer (p = 0.01). Serum vitamin D levels were significantly higher in the winter phase (p &lt; 0.001). Conclusions: A low prevalence of vitamin D deficiency was found amongst healthy young adults, despite low dietary vitamin D intakes. Significant relationships were found between serum 25(OH)D and gender, skin tone and vitamin D intake. Further studies need to be conducted, especially in high-risk groups, before results are applied to the greater South African public.","author":[{"dropping-particle":"","family":"Visser","given":"J.","non-dropping-particle":"","parse-names":false,"suffix":""},{"dropping-particle":"","family":"Knight","given":"K.","non-dropping-particle":"","parse-names":false,"suffix":""},{"dropping-particle":"","family":"Philips","given":"L.","non-dropping-particle":"","parse-names":false,"suffix":""},{"dropping-particle":"","family":"Visser","given":"W.","non-dropping-particle":"","parse-names":false,"suffix":""},{"dropping-particle":"","family":"Wallace","given":"M.","non-dropping-particle":"","parse-names":false,"suffix":""},{"dropping-particle":"","family":"Nel","given":"D. G.","non-dropping-particle":"","parse-names":false,"suffix":""},{"dropping-particle":"","family":"Blaauw","given":"R.","non-dropping-particle":"","parse-names":false,"suffix":""}],"container-title":"South African Family Practice","id":"ITEM-1","issue":"4","issued":{"date-parts":[["2019"]]},"page":"150-158","publisher":"Taylor &amp; Francis","title":"Determinants of serum 25-hydroxyvitamin D levels in healthy young adults living in the Western Cape, South Africa","type":"article-journal","volume":"61"},"uris":["http://www.mendeley.com/documents/?uuid=8818c9f2-5dab-4484-a7ad-2e4dd54f9e81"]}],"mendeley":{"formattedCitation":"&lt;sup&gt;&lt;sup&gt;98&lt;/sup&gt;&lt;/sup&gt;","plainTextFormattedCitation":"98","previouslyFormattedCitation":"&lt;sup&gt;&lt;sup&gt;98&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98</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Ina</w:t>
            </w:r>
            <w:r w:rsidRPr="00F251A7">
              <w:rPr>
                <w:rFonts w:ascii="Times New Roman" w:hAnsi="Times New Roman" w:cs="Times New Roman"/>
                <w:sz w:val="24"/>
                <w:szCs w:val="24"/>
              </w:rPr>
              <w:t>ç</w:t>
            </w:r>
            <w:proofErr w:type="spellEnd"/>
            <w:r w:rsidRPr="00F251A7">
              <w:rPr>
                <w:rFonts w:ascii="Times New Roman" w:hAnsi="Times New Roman" w:cs="Times New Roman"/>
                <w:sz w:val="24"/>
                <w:szCs w:val="24"/>
              </w:rPr>
              <w:t>, 2021</w:t>
            </w:r>
            <w:r w:rsidRPr="00F251A7">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{"citationItems":[{"id":"ITEM-1","itemData":{"DOI":"10.4314/ahs.v21i1.17","ISSN":"16806905","PMID":"34394289","abstract":"Background: Previous studies have associated certain risk factors with hazardous drinking in students. However, big cultural and geographical differences exist regarding alcohol use. Objectives: To determine whether or not there was a difference in hazardous drinking between Belgian and South African university students and to establish the risk factors that contribute to hazardous drinking in university students (calculated using the AUDIT-C) from a developing country (South Africa) and a developed country (Belgium). Methods: An online survey assessing hazardous drinking among university students in South Africa (University of KwaZu-lu-Natal, UKZN) and Belgium (University of Antwerp, UoA) was conducted, using the shortened version of the Alcohol Use Disorder Identification Test (AUDIT-C). Risk factors in males and females for hazardous drinking were explored using multivariate logistic regression analysis. Results: In total, 499 students were included in the study (250 UoA and 249 UKZN students). A significant higher amount of male (94.8%) as well as female (92.4%) UoA students drank alcohol in the last year compared to the male (66.2%) and female (67.8%) UKZN students (p&lt;0.001). Additionally, a significant higher amount of UoA students were hazardous drinkers, compared to the UKZN students (p&lt;0.001). Multivaiate analysis showed that male UoA students were almost 6 times more likely to be hazardous drinkers than male UKZN students (OR=5.611, p=0.005). Female UoA students were more than twice as likely to be hazardous drinkers than female UKZN students (OR=2.371, p=0.016). Conclusion: This study found a significant difference in hazardous drinking between Belgian and South African university students.","author":[{"dropping-particle":"","family":"Inaç","given":"Yasemin","non-dropping-particle":"","parse-names":false,"suffix":""},{"dropping-particle":"","family":"Larivière","given":"Ynke","non-dropping-particle":"","parse-names":false,"suffix":""},{"dropping-particle":"","family":"Hoque","given":"Muhammad","non-dropping-particle":"","parse-names":false,"suffix":""},{"dropping-particle":"","family":"Hal","given":"Guido","non-dropping-particle":"Van","parse-names":false,"suffix":""}],"container-title":"African Health Sciences","id":"ITEM-1","issue":"1","issued":{"date-parts":[["2021"]]},"page":"123-131","title":"Risk factors for hazardous drinking in university students from South Africa and Belgium: a cross-cultural comparison study","type":"article-journal","volume":"21"},"uris":["http://www.mendeley.com/documents/?uuid=73d1c005-7773-4a42-ba7f-c51bf7fa1ab0"]}],"mendeley":{"formattedCitation":"&lt;sup&gt;&lt;sup&gt;99&lt;/sup&gt;&lt;/sup&gt;","plainTextFormattedCitation":"99","previouslyFormattedCitation":"&lt;sup&gt;&lt;sup&gt;99&lt;/sup&gt;&lt;/sup&gt;"},"properties":{"noteIndex":0},"schema":"https://github.com/citation-style-language/schema/raw/master/csl-citation.json"}</w:instrText>
            </w:r>
            <w:r w:rsidRPr="00F251A7">
              <w:rPr>
                <w:rFonts w:ascii="Times New Roman" w:hAnsi="Times New Roman" w:cs="Times New Roman"/>
                <w:sz w:val="24"/>
                <w:szCs w:val="24"/>
              </w:rPr>
              <w:fldChar w:fldCharType="separate"/>
            </w:r>
            <w:r w:rsidRPr="004A5E3A">
              <w:rPr>
                <w:rFonts w:ascii="Times New Roman" w:hAnsi="Times New Roman" w:cs="Times New Roman"/>
                <w:noProof/>
                <w:sz w:val="24"/>
                <w:szCs w:val="24"/>
                <w:vertAlign w:val="superscript"/>
              </w:rPr>
              <w:t>99</w:t>
            </w:r>
            <w:r w:rsidRPr="00F251A7">
              <w:rPr>
                <w:rFonts w:ascii="Times New Roman" w:hAnsi="Times New Roman" w:cs="Times New Roman"/>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Hoque</w:t>
            </w:r>
            <w:proofErr w:type="spellEnd"/>
            <w:r w:rsidRPr="00F251A7">
              <w:rPr>
                <w:rFonts w:ascii="Times New Roman" w:eastAsia="Times New Roman" w:hAnsi="Times New Roman" w:cs="Times New Roman"/>
                <w:sz w:val="24"/>
                <w:szCs w:val="24"/>
              </w:rPr>
              <w:t>, 2011</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{"citationItems":[{"id":"ITEM-1","itemData":{"DOI":"10.4102/phcfm.v3i1.281","ISSN":"20712936","abstract":"Background: In South Africa, youths aged 15-24 years are at a higher risk of HIV infections than other age groups, and female youths are at a greater risk than their male counterparts. An essential step in controlling the pandemic of HIV and other sexually transmitted infections (STIs) is to help adolescents to reduce or avoid unsafe sexual practices. Objective: This study was designed to establish risky sexual practices amongst female undergraduate students. Method: This was a descriptive cross-sectional study carried out in September 2009 amongst full-time female undergraduate students. A multi-stage sampling method was used to recruit 391 students for the study. Results: The mean age of the students was 21.4 ± 3.2 years (range 17-45 years). More than half (52.4%) of the students were sexually active. The median age at first sexual intercourse was 19.0 years (range 12-24 years). Participants who had multiple sexual partners had a median of 2 (range, 2-4) sexual partners. The majority (89.3%) of the students used contraceptives. Almost half (41.5%), sometimes or rarely, used contraceptives during sex. With regard to substance use, 57.5% and 6.9% respectively drank alcohol and used drugs. Sexually active students had 1.5 times (OR = 1.5, p = 0.04), (OR = Odds Ratio), more chances of consuming alcohol than those who were not sexually active. Students with multiple sexual partners were 7 times more likely to consume alcohol compared to those who did not have multiple partners (OR = 6.9, p = 0.004). Students with multiple sexual partners had 3.5 times more chances of taking drugs compared to students with one steady partner (OR = 3.5, p = 0.038). Conclusion: A large number of female university students are engaging in risky sexual practices. University Management should concentrate on developing and implementing policies to promote safer sexual practices, in particular targeting consequences of STIs and HIV and methods to minimise the risk. © 2011. The Authors.","author":[{"dropping-particle":"","family":"Hoque","given":"Muhammad Ehsanul","non-dropping-particle":"","parse-names":false,"suffix":""}],"container-title":"African Journal of Primary Health Care and Family Medicine","id":"ITEM-1","issue":"1","issued":{"date-parts":[["2011"]]},"title":"Reported risky sexual practices amongst female undergraduate students in KwaZulu-Natal, South Africa","type":"article-journal","volume":"3"},"uris":["http://www.mendeley.com/documents/?uuid=22f0f0ba-c3c6-4e2f-982d-77bb36a3faec"]}],"mendeley":{"formattedCitation":"&lt;sup&gt;&lt;sup&gt;100&lt;/sup&gt;&lt;/sup&gt;","plainTextFormattedCitation":"100","previouslyFormattedCitation":"&lt;sup&gt;&lt;sup&gt;100&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100</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7</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Kamanzi</w:t>
            </w:r>
            <w:proofErr w:type="spellEnd"/>
            <w:r w:rsidRPr="00F251A7">
              <w:rPr>
                <w:rFonts w:ascii="Times New Roman" w:eastAsia="Times New Roman" w:hAnsi="Times New Roman" w:cs="Times New Roman"/>
                <w:sz w:val="24"/>
                <w:szCs w:val="24"/>
              </w:rPr>
              <w:t>, 2005</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{"citationItems":[{"id":"ITEM-1","itemData":{"author":[{"dropping-particle":"","family":"Kamanzi","given":"D","non-dropping-particle":"","parse-names":false,"suffix":""}],"container-title":"Africa Journal of Nursing and Midwifery","id":"ITEM-1","issue":"2","issued":{"date-parts":[["2005"]]},"page":"76-88","title":"Knowledge and practices of smoking among students in a South African university residence","type":"article-journal","volume":"7"},"uris":["http://www.mendeley.com/documents/?uuid=c636a5bc-2804-4f03-840c-0fa396d6bc5d"]}],"mendeley":{"formattedCitation":"&lt;sup&gt;&lt;sup&gt;73&lt;/sup&gt;&lt;/sup&gt;","plainTextFormattedCitation":"73","previouslyFormattedCitation":"&lt;sup&gt;&lt;sup&gt;73&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73</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7</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Kazi</w:t>
            </w:r>
            <w:proofErr w:type="spellEnd"/>
            <w:r w:rsidRPr="00F251A7">
              <w:rPr>
                <w:rFonts w:ascii="Times New Roman" w:eastAsia="Times New Roman" w:hAnsi="Times New Roman" w:cs="Times New Roman"/>
                <w:sz w:val="24"/>
                <w:szCs w:val="24"/>
              </w:rPr>
              <w:t>, 2010</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{"citationItems":[{"id":"ITEM-1","itemData":{"DOI":"10.4314/ajpherd.v16i4.64270","ISSN":"1117-4315","abstract":"Overweight and obesity among students as a specific sub-group, is an area of concern. Lifestyle factors such as cigarette smoking, drinking of alcoholic beverages and poor dietary habits are inextricably linked to overweight and obesity. Little is known about trends in smoking, drinking, dietary habits and physical activity levels of university students in South Africa. This paper compares the prevalence of overweight, obesity and selected lifestyle habits between a cohort of sport science students and general students in the Faculty of Education at the University of KwaZulu-Natal located on the Edgewood Campus, South Africa. A total of 259 students, consisting of 116 sport science students and 143 students from the general education group participated in the study. Anthropometric measurements were performed using standard procedures. A structured health and physical activity questionnaire was administered to all participants. Criteria for overweight and obesity were estimated according to the guidelines of the National Institute of Health (NIH, 1998). The results indicated that 19% of the students were overweight and 6% were obese. Surprisingly, it was observed that the prevalence of overweight was higher among males (22%) than females (17%), which however was not significant (p=0.32). However, with respect to obesity females (7%) had higher incidence than males (5%). The comparison between sport science and general students showed that 28.3% of male sport science students were overweight whereas 16% of the other male students were overweight. Seven and half percent of male sport science students were obese while 1.8% of the male general students were obese. Comparison between female sport science students and other female students showed that 15.9% of female sport science students were overweight compared to 17.5% of the female students. Obesity among general female students (17%) was not significantly higher much higher than female sport science students (11%) (p=0.35). Forty three percent of the students had a history of cigarette smoking and 22% of the sport science students were smokers as compared to 25% of the general group. With regard to frequency of exercise (3-4 times per week), sports science students (17%) were significantly more active (p=0,00), than the general student group (10%). . Physical activity levels for most students did not meet the minimum guidelines. ABSTRACT FROM AUTHOR","author":[{"dropping-particle":"","family":"Kazi","given":"HA","non-dropping-particle":"","parse-names":false,"suffix":""},{"dropping-particle":"","family":"Coopoo","given":"Y","non-dropping-particle":"","parse-names":false,"suffix":""}],"container-title":"African Journal for Physical, Health Education, Recreation and Dance","id":"ITEM-1","issue":"4","issued":{"date-parts":[["2010"]]},"page":"104-118","title":"Physical activity, alcohol use, smoking and dietary profiles of a cohort of university students","type":"article-journal","volume":"16"},"uris":["http://www.mendeley.com/documents/?uuid=16002b6b-ba60-4bf5-a9b3-240cf8ed0d29"]}],"mendeley":{"formattedCitation":"&lt;sup&gt;&lt;sup&gt;76&lt;/sup&gt;&lt;/sup&gt;","plainTextFormattedCitation":"76","previouslyFormattedCitation":"&lt;sup&gt;&lt;sup&gt;76&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76</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3</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Morar</w:t>
            </w:r>
            <w:proofErr w:type="spellEnd"/>
            <w:r w:rsidRPr="00F251A7">
              <w:rPr>
                <w:rFonts w:ascii="Times New Roman" w:eastAsia="Times New Roman" w:hAnsi="Times New Roman" w:cs="Times New Roman"/>
                <w:sz w:val="24"/>
                <w:szCs w:val="24"/>
              </w:rPr>
              <w:t>, 1998</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{"citationItems":[{"id":"ITEM-1","itemData":{"DOI":"10.1097/00043798-199810000-00005","ISSN":"13506277","PMID":"9920002","abstract":"Background Coronary heart disease (CHD) has reached ‘epidemic’ proportions in South Africa. CHD is uncommon in the black population of South Africa, yet the prevalence of hypertension in the adult black population is high. Design This study compared the blood pressure profile in 154 medical students of which 83 were Indians (I), 71 were black (B), 87 were male (50 I, 37 B), and 67 were female (33I, 34 B) age 21 (SD+ 1.6), using the cuff method and 24 h ambulatory blood pressure monitoring (ABPM). Methods All students underwent ABPM. Biochemical studies for CHD risk factors were done. Electrocardiography (ECG) was performed in all participants and echocardiography in 90. Results ABPM showed that black students had higher systolic and diastolic blood pressure throughout the day, night and critical time periods compared with the Indian students. Blood pressure load was higher in black (40.8%) than in Indian participants (29.6%; P &lt; 0.05) and there was less dipping at night. Left ventricular mass was significantly higher in black than in Indian participants (29.6%; P &lt; 0.05) and there was less dipping at night. Left ventricular mass was significantly higher in black than in Indian participants. Risk factors leading to CHD were more common in Indian than in black participants. Those with borderline hypertension (blood pressure ≥ 130/85 and ≤ 140/90 mmHg) had statistically higher serum triglyceride and left ventricular mass than normotensives. Conclusions Young black people had higher blood pressure readings than young Indian participants in the absence of metabolic abnormalities and had greater cardiac involvement. Borderline hypertension is not innocuous. Metabolic risk factors for CHD in Indian people are apparent at an early age. This study emphasizes the need for prevention of risk factors leading to CHD at an early age. © 1998 Lippincott Williams &amp; Wilkins.","author":[{"dropping-particle":"","family":"Morar","given":"Nilesh","non-dropping-particle":"","parse-names":false,"suffix":""},{"dropping-particle":"","family":"Seedat","given":"Yackoob K.","non-dropping-particle":"","parse-names":false,"suffix":""},{"dropping-particle":"","family":"Naidoo","given":"Datshana P.","non-dropping-particle":"","parse-names":false,"suffix":""},{"dropping-particle":"","family":"Desai","given":"Dushyant K.","non-dropping-particle":"","parse-names":false,"suffix":""}],"container-title":"Journal of Cardiovascular Risk","id":"ITEM-1","issue":"5","issued":{"date-parts":[["1998"]]},"page":"313-318","title":"Ambulatory blood pressure and risk factors for coronary heart disease in black and Indian medical students","type":"article-journal","volume":"5"},"uris":["http://www.mendeley.com/documents/?uuid=2e01e446-31df-4a2a-b7c8-92a7bf9da603"]}],"mendeley":{"formattedCitation":"&lt;sup&gt;&lt;sup&gt;101&lt;/sup&gt;&lt;/sup&gt;","plainTextFormattedCitation":"101","previouslyFormattedCitation":"&lt;sup&gt;&lt;sup&gt;101&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101</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Osuafor</w:t>
            </w:r>
            <w:proofErr w:type="spellEnd"/>
            <w:r w:rsidRPr="00F251A7">
              <w:rPr>
                <w:rFonts w:ascii="Times New Roman" w:eastAsia="Times New Roman" w:hAnsi="Times New Roman" w:cs="Times New Roman"/>
                <w:sz w:val="24"/>
                <w:szCs w:val="24"/>
              </w:rPr>
              <w:t>, 2016</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{"citationItems":[{"id":"ITEM-1","itemData":{"abstract":"The aim of this study was to examine the pattern of substance use among university students in South Africa. A cross-sectional study of randomly selected 416 students was conducted. Data were analysed using descriptive statistics and binary logistic regression. The result of the study indicated that current alcohol use was reported by 67.5%, Cigarette, 21.4%, cannabis, 17.3% and glue 2.9%. Alcohol consumption was associated with sex, age, religious affiliation, home language, family influence, and substance experimentation. Sex and substance experimentation were predictors of cigarette smoking. Cannabis use was associated with respondent’s sociocultural group and family influence. There is need to strengthen the family structure of homes as present substance use is rooted in family influences. Educational programmes that emphasise the dangers of experimenting with substance to young people may have great potential in minimizing substance use.","author":[{"dropping-particle":"","family":"Osuafor","given":"Godswill N","non-dropping-particle":"","parse-names":false,"suffix":""},{"dropping-particle":"","family":"Ayiga","given":"Natal","non-dropping-particle":"","parse-names":false,"suffix":""}],"container-title":"African Journal of Drug and Alcohol Studies","id":"ITEM-1","issue":"2","issued":{"date-parts":[["2016"]]},"page":"111-121","title":"Patterns of substance use and its predictors among North-West University students Mafikeng campus","type":"article-journal","volume":"15"},"uris":["http://www.mendeley.com/documents/?uuid=47763cb8-0ec1-4751-a199-6515e0454975"]}],"mendeley":{"formattedCitation":"&lt;sup&gt;&lt;sup&gt;53&lt;/sup&gt;&lt;/sup&gt;","plainTextFormattedCitation":"53","previouslyFormattedCitation":"&lt;sup&gt;&lt;sup&gt;53&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10422A">
              <w:rPr>
                <w:rFonts w:ascii="Times New Roman" w:eastAsia="Times New Roman" w:hAnsi="Times New Roman" w:cs="Times New Roman"/>
                <w:noProof/>
                <w:sz w:val="24"/>
                <w:szCs w:val="24"/>
                <w:vertAlign w:val="superscript"/>
              </w:rPr>
              <w:t>53</w:t>
            </w:r>
            <w:r w:rsidRPr="00F251A7">
              <w:rPr>
                <w:rFonts w:ascii="Times New Roman" w:eastAsia="Times New Roman" w:hAnsi="Times New Roman" w:cs="Times New Roman"/>
                <w:i/>
                <w:sz w:val="24"/>
                <w:szCs w:val="24"/>
              </w:rPr>
              <w:fldChar w:fldCharType="end"/>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5</w:t>
            </w:r>
          </w:p>
        </w:tc>
        <w:tc>
          <w:tcPr>
            <w:tcW w:w="104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shd w:val="clear" w:color="auto" w:fill="F2F2F2" w:themeFill="background1" w:themeFillShade="F2"/>
          </w:tcPr>
          <w:p w:rsidR="004F5F18" w:rsidRPr="00F251A7" w:rsidRDefault="004F5F18" w:rsidP="002059CF">
            <w:pPr>
              <w:spacing w:after="0" w:line="360" w:lineRule="auto"/>
              <w:jc w:val="both"/>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Steyn, 2000</w:t>
            </w:r>
            <w:r w:rsidRPr="00F251A7">
              <w:rPr>
                <w:rFonts w:ascii="Times New Roman" w:eastAsia="Times New Roman" w:hAnsi="Times New Roman" w:cs="Times New Roman"/>
                <w:i/>
                <w:sz w:val="24"/>
                <w:szCs w:val="24"/>
              </w:rPr>
              <w:fldChar w:fldCharType="begin" w:fldLock="1"/>
            </w:r>
            <w:r>
              <w:rPr>
                <w:rFonts w:ascii="Times New Roman" w:eastAsia="Times New Roman" w:hAnsi="Times New Roman" w:cs="Times New Roman"/>
                <w:i/>
                <w:sz w:val="24"/>
                <w:szCs w:val="24"/>
              </w:rPr>
              <w:instrText>ADDIN CSL_CITATION {"citationItems":[{"id":"ITEM-1","itemData":{"ISSN":"02569574","PMID":"10745969","abstract":"Objective. To examine black female students for the occurrence of risk factors associated with chronic diseases of lifestyle, namely obesity, hypertension, nicotine usage, dyslipidaemia and compromised mental health (depression). Design. A cross-sectional analytical study design was used. All participants were examined within a period of 3 months during 1994. Weight, height, and hip and waist measurements were taken. Body mass index (BMI), waist-hip ratio (WHR) and waist circumference (WC) were calculated for each subject. Two systolic and diastolic blood pressure readings were taken for each participant. Questionnaires were used to determine specific risk factors related to lifestyle. The Beck Depression Inventory (BDI) was used to measure psychological well-being. Fasting blood samples were collected and analysed for serum lipids and iron status. Setting. The University of the North in the Northern Province of South Africa. Subjects. A complete data set of sociodemographic information, anthropometric measurements and blood pressure readings, as well as a psychological health test and a medical questionnaire, were obtained from 231 of the 431 first-year female students who attended the university orientation programme. Only students with a complete data set were included in the sample. Results. Eighteen per cent of students were overweight (BMI 25-29.9), 6.5% were obese (BMI ≥ 30), and 26.8% were underweight. Mean blood pressure, BMI, WHR and WC increased significantly with age and were highest among the ≥ 24-year-olds. Only 1.6% of students had elevated blood pressure, 1.0% smoked and 4.4% took snuff. BMI, WC and WHR were positively correlated with blood pressure and age. Few students had dyslipidaemia (3.8% cholesterol &gt; 5.2 mmol/l). However 14.5% were anaemic (Hb &lt; 11.5 g/dl) and 24.6% had microcytosis (&lt; 80 fl). Nearly one-fifth of students (17.7%) were classified as being moderately to severely depressed. Conclusions. Black female students younger than 24 years exhibited few risk factors associated with chronic diseases of lifestyle. However in older women (≥ 24 years) there were significant increases in BMI, WHR, WC and blood pressure. A large number of students of all ages exhibited moderate to severe depression and anaemia was prevalent.","author":[{"dropping-particle":"","family":"Steyn","given":"N. P.","non-dropping-particle":"","parse-names":false,"suffix":""},{"dropping-particle":"","family":"Senekal","given":"M.","non-dropping-particle":"","parse-names":false,"suffix":""},{"dropping-particle":"","family":"Brits","given":"S.","non-dropping-particle":"","parse-names":false,"suffix":""},{"dropping-particle":"","family":"Alberts","given":"M.","non-dropping-particle":"","parse-names":false,"suffix":""},{"dropping-particle":"","family":"Mashego","given":"T.","non-dropping-particle":"","parse-names":false,"suffix":""},{"dropping-particle":"","family":"Nel","given":"J. H.","non-dropping-particle":"","parse-names":false,"suffix":""}],"container-title":"South African Medical Journal","id":"ITEM-1","issue":"2","issued":{"date-parts":[["2000"]]},"page":"146-152","title":"Weight and health status of black female students","type":"article-journal","volume":"90"},"uris":["http://www.mendeley.com/documents/?uuid=3588d5bd-9f0d-48e1-af8a-37a2b3fba27e"]}],"mendeley":{"formattedCitation":"&lt;sup&gt;&lt;sup&gt;102&lt;/sup&gt;&lt;/sup&gt;","plainTextFormattedCitation":"102","previouslyFormattedCitation":"&lt;sup&gt;&lt;sup&gt;102&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4A5E3A">
              <w:rPr>
                <w:rFonts w:ascii="Times New Roman" w:eastAsia="Times New Roman" w:hAnsi="Times New Roman" w:cs="Times New Roman"/>
                <w:noProof/>
                <w:sz w:val="24"/>
                <w:szCs w:val="24"/>
                <w:vertAlign w:val="superscript"/>
              </w:rPr>
              <w:t>102</w:t>
            </w:r>
            <w:r w:rsidRPr="00F251A7">
              <w:rPr>
                <w:rFonts w:ascii="Times New Roman" w:eastAsia="Times New Roman" w:hAnsi="Times New Roman" w:cs="Times New Roman"/>
                <w:i/>
                <w:sz w:val="24"/>
                <w:szCs w:val="24"/>
              </w:rPr>
              <w:fldChar w:fldCharType="end"/>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N</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6</w:t>
            </w:r>
          </w:p>
        </w:tc>
        <w:tc>
          <w:tcPr>
            <w:tcW w:w="104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Medium</w:t>
            </w:r>
          </w:p>
        </w:tc>
        <w:tc>
          <w:tcPr>
            <w:tcW w:w="1165" w:type="dxa"/>
            <w:shd w:val="clear" w:color="auto" w:fill="F2F2F2" w:themeFill="background1" w:themeFillShade="F2"/>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Moderate</w:t>
            </w:r>
          </w:p>
        </w:tc>
      </w:tr>
      <w:tr w:rsidR="004F5F18" w:rsidRPr="00F251A7" w:rsidTr="002059CF">
        <w:tc>
          <w:tcPr>
            <w:tcW w:w="2553" w:type="dxa"/>
            <w:tcBorders>
              <w:bottom w:val="single" w:sz="4" w:space="0" w:color="auto"/>
            </w:tcBorders>
            <w:shd w:val="clear" w:color="auto" w:fill="auto"/>
          </w:tcPr>
          <w:p w:rsidR="004F5F18" w:rsidRPr="00F251A7" w:rsidRDefault="004F5F18" w:rsidP="002059CF">
            <w:pPr>
              <w:spacing w:after="0" w:line="360" w:lineRule="auto"/>
              <w:jc w:val="both"/>
              <w:rPr>
                <w:rFonts w:ascii="Times New Roman" w:eastAsia="Times New Roman" w:hAnsi="Times New Roman" w:cs="Times New Roman"/>
                <w:sz w:val="24"/>
                <w:szCs w:val="24"/>
              </w:rPr>
            </w:pPr>
            <w:proofErr w:type="spellStart"/>
            <w:r w:rsidRPr="00F251A7">
              <w:rPr>
                <w:rFonts w:ascii="Times New Roman" w:eastAsia="Times New Roman" w:hAnsi="Times New Roman" w:cs="Times New Roman"/>
                <w:sz w:val="24"/>
                <w:szCs w:val="24"/>
              </w:rPr>
              <w:t>Senkubuge</w:t>
            </w:r>
            <w:proofErr w:type="spellEnd"/>
            <w:r w:rsidRPr="00F251A7">
              <w:rPr>
                <w:rFonts w:ascii="Times New Roman" w:eastAsia="Times New Roman" w:hAnsi="Times New Roman" w:cs="Times New Roman"/>
                <w:sz w:val="24"/>
                <w:szCs w:val="24"/>
              </w:rPr>
              <w:t>, 2012</w:t>
            </w:r>
            <w:r w:rsidRPr="00F251A7">
              <w:rPr>
                <w:rFonts w:ascii="Times New Roman" w:eastAsia="Times New Roman" w:hAnsi="Times New Roman" w:cs="Times New Roman"/>
                <w:i/>
                <w:sz w:val="24"/>
                <w:szCs w:val="24"/>
              </w:rPr>
              <w:fldChar w:fldCharType="begin" w:fldLock="1"/>
            </w:r>
            <w:r w:rsidRPr="00F251A7">
              <w:rPr>
                <w:rFonts w:ascii="Times New Roman" w:eastAsia="Times New Roman" w:hAnsi="Times New Roman" w:cs="Times New Roman"/>
                <w:i/>
                <w:sz w:val="24"/>
                <w:szCs w:val="24"/>
              </w:rPr>
              <w:instrText>ADDIN CSL_CITATION {"citationItems":[{"id":"ITEM-1","itemData":{"DOI":"10.1093/ntr/ntr211","ISSN":"1469994X","PMID":"22039073","abstract":"Introduction: This study sought to determine the sociodemographic and behavioral factors associated with water pipe and smokeless tobacco (SLT) use among a population of medical students in the Pretoria area, South Africa. Methods: Undergraduate medical students (N = 722) in their 2nd and 6th year of study in 2 medical schools in South Africa completed a self-administered questionnaire during 2008. Information on ever and current use of water pipe and SLT was obtained along with information on sociodemographic variables, alcohol use, and cigarette smoking status. Multiple logistic regression analysis were used to determine factors associated with current use of water pipe and SLT. Results: The mean age of study participants was 23 years. Of the participants, 53% were female and 55% were self-identified as Black Africans. Of the study participants, 18.6% were current water pipe users, 3.1% were current SLT users, while 17.3% were current cigarette smokers. Factors independently associated with current water pipe use were having an alcohol drinking-problem (odds ratio [OR] = 2.43; 95% CI = 1.48-3.40), currently smoking cigarettes (3.40; 2.04-5.67), and reporting exposure to smoking in places other than home (2.51; 1.29-4.90). Compared with Black students, White medical students were more likely to have smoked a water pipe in the past month (3.14; 1.74-5.70) but less likely to have ever used SLT (0.37; 0.19-0.73). Conclusions: These findings suggest that the use of alternative tobacco products is common among South African medical students and may form part of a pattern of risk-taking behavior. Furthermore, there appear to be cultural differences in the use of certain tobacco products. © The Author 2011. Published by Oxford University Press on behalf of the Society for Research on Nicotine and Tobacco. All rights reserved.","author":[{"dropping-particle":"","family":"Senkubuge","given":"Flavia","non-dropping-particle":"","parse-names":false,"suffix":""},{"dropping-particle":"","family":"Ayo-yusuf","given":"Olalekan A.","non-dropping-particle":"","parse-names":false,"suffix":""},{"dropping-particle":"","family":"Louwagie","given":"Goedele M.C.","non-dropping-particle":"","parse-names":false,"suffix":""},{"dropping-particle":"","family":"Okuyemi","given":"Kolawole S.","non-dropping-particle":"","parse-names":false,"suffix":""}],"container-title":"Nicotine and Tobacco Research","id":"ITEM-1","issue":"6","issued":{"date-parts":[["2012"]]},"page":"755-760","title":"Water pipe and smokeless tobacco use among medical students in South Africa","type":"article-journal","volume":"14"},"uris":["http://www.mendeley.com/documents/?uuid=4819c5cd-5a0a-49fb-b85b-66d2bb247b7f"]}],"mendeley":{"formattedCitation":"&lt;sup&gt;&lt;sup&gt;15&lt;/sup&gt;&lt;/sup&gt;","plainTextFormattedCitation":"15","previouslyFormattedCitation":"&lt;sup&gt;&lt;sup&gt;15&lt;/sup&gt;&lt;/sup&gt;"},"properties":{"noteIndex":0},"schema":"https://github.com/citation-style-language/schema/raw/master/csl-citation.json"}</w:instrText>
            </w:r>
            <w:r w:rsidRPr="00F251A7">
              <w:rPr>
                <w:rFonts w:ascii="Times New Roman" w:eastAsia="Times New Roman" w:hAnsi="Times New Roman" w:cs="Times New Roman"/>
                <w:i/>
                <w:sz w:val="24"/>
                <w:szCs w:val="24"/>
              </w:rPr>
              <w:fldChar w:fldCharType="separate"/>
            </w:r>
            <w:r w:rsidRPr="00F251A7">
              <w:rPr>
                <w:rFonts w:ascii="Times New Roman" w:eastAsia="Times New Roman" w:hAnsi="Times New Roman" w:cs="Times New Roman"/>
                <w:noProof/>
                <w:sz w:val="24"/>
                <w:szCs w:val="24"/>
                <w:vertAlign w:val="superscript"/>
              </w:rPr>
              <w:t>15</w:t>
            </w:r>
            <w:r w:rsidRPr="00F251A7">
              <w:rPr>
                <w:rFonts w:ascii="Times New Roman" w:eastAsia="Times New Roman" w:hAnsi="Times New Roman" w:cs="Times New Roman"/>
                <w:i/>
                <w:sz w:val="24"/>
                <w:szCs w:val="24"/>
              </w:rPr>
              <w:fldChar w:fldCharType="end"/>
            </w:r>
          </w:p>
        </w:tc>
        <w:tc>
          <w:tcPr>
            <w:tcW w:w="885"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5"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U</w:t>
            </w:r>
          </w:p>
        </w:tc>
        <w:tc>
          <w:tcPr>
            <w:tcW w:w="884"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Y</w:t>
            </w:r>
          </w:p>
        </w:tc>
        <w:tc>
          <w:tcPr>
            <w:tcW w:w="884"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b/>
                <w:i/>
                <w:sz w:val="24"/>
                <w:szCs w:val="24"/>
              </w:rPr>
            </w:pPr>
            <w:r w:rsidRPr="00F251A7">
              <w:rPr>
                <w:rFonts w:ascii="Times New Roman" w:eastAsia="Times New Roman" w:hAnsi="Times New Roman" w:cs="Times New Roman"/>
                <w:b/>
                <w:i/>
                <w:sz w:val="24"/>
                <w:szCs w:val="24"/>
              </w:rPr>
              <w:t>8</w:t>
            </w:r>
          </w:p>
        </w:tc>
        <w:tc>
          <w:tcPr>
            <w:tcW w:w="1045"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High</w:t>
            </w:r>
          </w:p>
        </w:tc>
        <w:tc>
          <w:tcPr>
            <w:tcW w:w="1165" w:type="dxa"/>
            <w:tcBorders>
              <w:bottom w:val="single" w:sz="4" w:space="0" w:color="auto"/>
            </w:tcBorders>
            <w:shd w:val="clear" w:color="auto" w:fill="auto"/>
          </w:tcPr>
          <w:p w:rsidR="004F5F18" w:rsidRPr="00F251A7" w:rsidRDefault="004F5F18" w:rsidP="002059CF">
            <w:pPr>
              <w:spacing w:after="0" w:line="360" w:lineRule="auto"/>
              <w:jc w:val="center"/>
              <w:rPr>
                <w:rFonts w:ascii="Times New Roman" w:eastAsia="Times New Roman" w:hAnsi="Times New Roman" w:cs="Times New Roman"/>
                <w:sz w:val="24"/>
                <w:szCs w:val="24"/>
              </w:rPr>
            </w:pPr>
            <w:r w:rsidRPr="00F251A7">
              <w:rPr>
                <w:rFonts w:ascii="Times New Roman" w:eastAsia="Times New Roman" w:hAnsi="Times New Roman" w:cs="Times New Roman"/>
                <w:sz w:val="24"/>
                <w:szCs w:val="24"/>
              </w:rPr>
              <w:t>Low</w:t>
            </w:r>
          </w:p>
        </w:tc>
      </w:tr>
    </w:tbl>
    <w:p w:rsidR="004F5F18" w:rsidRPr="00F251A7" w:rsidRDefault="004F5F18" w:rsidP="004F5F18">
      <w:pPr>
        <w:spacing w:after="0" w:line="360" w:lineRule="auto"/>
        <w:jc w:val="both"/>
      </w:pPr>
      <w:r w:rsidRPr="00F251A7">
        <w:rPr>
          <w:rFonts w:ascii="Times New Roman" w:eastAsia="Times New Roman" w:hAnsi="Times New Roman" w:cs="Times New Roman"/>
          <w:sz w:val="24"/>
          <w:szCs w:val="24"/>
        </w:rPr>
        <w:t>Items: Q1, Was the sample frame appropriate to address the target population?; Q2, Were study participants recruited in an appropriate way?; Q3, Was the sample size adequate?; Q4, Were the study subjects and setting described in detail?; Q5, Was data analysis conducted with sufficient coverage of the identified sample?; Q6, Were valid methods used for the identification of the condition?; Q7, Was the condition measured in a standard, reliable way for all participants?; Q8, Was there appropriate statistical analysis?; Q9, Was the response rate adequate, and if not, was the low response rate managed appropriately?; No, no; Y, yes (1 point); U, unclear (0 points).</w:t>
      </w:r>
    </w:p>
    <w:p w:rsidR="006071CD" w:rsidRPr="004F5F18" w:rsidRDefault="006071CD" w:rsidP="004F5F18">
      <w:bookmarkStart w:id="0" w:name="_GoBack"/>
      <w:bookmarkEnd w:id="0"/>
    </w:p>
    <w:sectPr w:rsidR="006071CD" w:rsidRPr="004F5F18" w:rsidSect="009039C8">
      <w:pgSz w:w="16838" w:h="11906" w:orient="landscape"/>
      <w:pgMar w:top="1440" w:right="1440" w:bottom="1440" w:left="1440" w:header="708" w:footer="708"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5281E"/>
    <w:multiLevelType w:val="multilevel"/>
    <w:tmpl w:val="7CA2E2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48052E3"/>
    <w:multiLevelType w:val="multilevel"/>
    <w:tmpl w:val="260ABC0C"/>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1E2775E"/>
    <w:multiLevelType w:val="multilevel"/>
    <w:tmpl w:val="4490D3E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58B60CB"/>
    <w:multiLevelType w:val="hybridMultilevel"/>
    <w:tmpl w:val="F0581E72"/>
    <w:lvl w:ilvl="0" w:tplc="726C01FE">
      <w:start w:val="2"/>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6B330C6"/>
    <w:multiLevelType w:val="multilevel"/>
    <w:tmpl w:val="901C0C4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D192693"/>
    <w:multiLevelType w:val="multilevel"/>
    <w:tmpl w:val="602A8C58"/>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DAA6B2D"/>
    <w:multiLevelType w:val="hybridMultilevel"/>
    <w:tmpl w:val="135E7740"/>
    <w:lvl w:ilvl="0" w:tplc="5A5E4980">
      <w:start w:val="1"/>
      <w:numFmt w:val="bullet"/>
      <w:lvlText w:val="-"/>
      <w:lvlJc w:val="left"/>
      <w:pPr>
        <w:ind w:left="720" w:hanging="360"/>
      </w:pPr>
      <w:rPr>
        <w:rFonts w:ascii="Times New Roman" w:eastAsia="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45E23124"/>
    <w:multiLevelType w:val="multilevel"/>
    <w:tmpl w:val="FD12433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C1A12EA"/>
    <w:multiLevelType w:val="hybridMultilevel"/>
    <w:tmpl w:val="246C8748"/>
    <w:lvl w:ilvl="0" w:tplc="3B3CFB9C">
      <w:start w:val="2"/>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6894FDC"/>
    <w:multiLevelType w:val="multilevel"/>
    <w:tmpl w:val="D6DC45B0"/>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8A8553A"/>
    <w:multiLevelType w:val="multilevel"/>
    <w:tmpl w:val="B84830CE"/>
    <w:lvl w:ilvl="0">
      <w:start w:val="1"/>
      <w:numFmt w:val="lowerRoman"/>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6C8444FC"/>
    <w:multiLevelType w:val="multilevel"/>
    <w:tmpl w:val="99084C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E9C18FC"/>
    <w:multiLevelType w:val="multilevel"/>
    <w:tmpl w:val="5B88DD8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4"/>
  </w:num>
  <w:num w:numId="3">
    <w:abstractNumId w:val="0"/>
  </w:num>
  <w:num w:numId="4">
    <w:abstractNumId w:val="10"/>
  </w:num>
  <w:num w:numId="5">
    <w:abstractNumId w:val="9"/>
  </w:num>
  <w:num w:numId="6">
    <w:abstractNumId w:val="11"/>
  </w:num>
  <w:num w:numId="7">
    <w:abstractNumId w:val="1"/>
  </w:num>
  <w:num w:numId="8">
    <w:abstractNumId w:val="5"/>
  </w:num>
  <w:num w:numId="9">
    <w:abstractNumId w:val="8"/>
  </w:num>
  <w:num w:numId="10">
    <w:abstractNumId w:val="3"/>
  </w:num>
  <w:num w:numId="11">
    <w:abstractNumId w:val="6"/>
  </w:num>
  <w:num w:numId="12">
    <w:abstractNumId w:val="7"/>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5E8"/>
    <w:rsid w:val="002B2D2E"/>
    <w:rsid w:val="004F5F18"/>
    <w:rsid w:val="006071CD"/>
    <w:rsid w:val="00C51070"/>
    <w:rsid w:val="00CE35E8"/>
    <w:rsid w:val="00DC1959"/>
    <w:rsid w:val="00E93623"/>
    <w:rsid w:val="00F251A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CE5840-64C4-4CFD-9C55-471F105BD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35E8"/>
    <w:rPr>
      <w:rFonts w:ascii="Calibri" w:eastAsia="Calibri" w:hAnsi="Calibri" w:cs="Calibri"/>
      <w:lang w:eastAsia="en-ZA"/>
    </w:rPr>
  </w:style>
  <w:style w:type="paragraph" w:styleId="Heading1">
    <w:name w:val="heading 1"/>
    <w:basedOn w:val="Normal"/>
    <w:next w:val="Normal"/>
    <w:link w:val="Heading1Char"/>
    <w:qFormat/>
    <w:rsid w:val="00DC1959"/>
    <w:pPr>
      <w:keepNext/>
      <w:keepLines/>
      <w:spacing w:before="480" w:after="120"/>
      <w:outlineLvl w:val="0"/>
    </w:pPr>
    <w:rPr>
      <w:b/>
      <w:sz w:val="48"/>
      <w:szCs w:val="48"/>
    </w:rPr>
  </w:style>
  <w:style w:type="paragraph" w:styleId="Heading2">
    <w:name w:val="heading 2"/>
    <w:basedOn w:val="Normal1"/>
    <w:next w:val="Normal1"/>
    <w:link w:val="Heading2Char"/>
    <w:qFormat/>
    <w:rsid w:val="00DC1959"/>
    <w:pPr>
      <w:keepNext/>
      <w:keepLines/>
      <w:spacing w:before="200" w:after="0"/>
      <w:outlineLvl w:val="1"/>
    </w:pPr>
    <w:rPr>
      <w:rFonts w:ascii="Calibri" w:eastAsia="Calibri" w:hAnsi="Calibri" w:cs="Calibri"/>
      <w:b/>
      <w:color w:val="4F81BD"/>
      <w:sz w:val="26"/>
      <w:szCs w:val="26"/>
    </w:rPr>
  </w:style>
  <w:style w:type="paragraph" w:styleId="Heading3">
    <w:name w:val="heading 3"/>
    <w:basedOn w:val="Normal"/>
    <w:next w:val="Normal"/>
    <w:link w:val="Heading3Char"/>
    <w:qFormat/>
    <w:rsid w:val="00DC1959"/>
    <w:pPr>
      <w:keepNext/>
      <w:keepLines/>
      <w:spacing w:before="280" w:after="80"/>
      <w:outlineLvl w:val="2"/>
    </w:pPr>
    <w:rPr>
      <w:b/>
      <w:sz w:val="28"/>
      <w:szCs w:val="28"/>
    </w:rPr>
  </w:style>
  <w:style w:type="paragraph" w:styleId="Heading4">
    <w:name w:val="heading 4"/>
    <w:basedOn w:val="Normal"/>
    <w:next w:val="Normal"/>
    <w:link w:val="Heading4Char"/>
    <w:qFormat/>
    <w:rsid w:val="00DC1959"/>
    <w:pPr>
      <w:keepNext/>
      <w:keepLines/>
      <w:spacing w:before="240" w:after="40"/>
      <w:outlineLvl w:val="3"/>
    </w:pPr>
    <w:rPr>
      <w:b/>
      <w:sz w:val="24"/>
      <w:szCs w:val="24"/>
    </w:rPr>
  </w:style>
  <w:style w:type="paragraph" w:styleId="Heading5">
    <w:name w:val="heading 5"/>
    <w:basedOn w:val="Normal"/>
    <w:next w:val="Normal"/>
    <w:link w:val="Heading5Char"/>
    <w:qFormat/>
    <w:rsid w:val="00DC1959"/>
    <w:pPr>
      <w:keepNext/>
      <w:keepLines/>
      <w:spacing w:before="220" w:after="40"/>
      <w:outlineLvl w:val="4"/>
    </w:pPr>
    <w:rPr>
      <w:b/>
    </w:rPr>
  </w:style>
  <w:style w:type="paragraph" w:styleId="Heading6">
    <w:name w:val="heading 6"/>
    <w:basedOn w:val="Normal"/>
    <w:next w:val="Normal"/>
    <w:link w:val="Heading6Char"/>
    <w:qFormat/>
    <w:rsid w:val="00DC1959"/>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C1959"/>
    <w:rPr>
      <w:rFonts w:ascii="Calibri" w:eastAsia="Calibri" w:hAnsi="Calibri" w:cs="Calibri"/>
      <w:b/>
      <w:sz w:val="48"/>
      <w:szCs w:val="48"/>
      <w:lang w:eastAsia="en-ZA"/>
    </w:rPr>
  </w:style>
  <w:style w:type="character" w:customStyle="1" w:styleId="Heading2Char">
    <w:name w:val="Heading 2 Char"/>
    <w:basedOn w:val="DefaultParagraphFont"/>
    <w:link w:val="Heading2"/>
    <w:rsid w:val="00DC1959"/>
    <w:rPr>
      <w:rFonts w:ascii="Calibri" w:eastAsia="Calibri" w:hAnsi="Calibri" w:cs="Calibri"/>
      <w:b/>
      <w:color w:val="4F81BD"/>
      <w:sz w:val="26"/>
      <w:szCs w:val="26"/>
      <w:lang w:val="en-GB" w:eastAsia="nl-NL"/>
    </w:rPr>
  </w:style>
  <w:style w:type="character" w:customStyle="1" w:styleId="Heading3Char">
    <w:name w:val="Heading 3 Char"/>
    <w:basedOn w:val="DefaultParagraphFont"/>
    <w:link w:val="Heading3"/>
    <w:rsid w:val="00DC1959"/>
    <w:rPr>
      <w:rFonts w:ascii="Calibri" w:eastAsia="Calibri" w:hAnsi="Calibri" w:cs="Calibri"/>
      <w:b/>
      <w:sz w:val="28"/>
      <w:szCs w:val="28"/>
      <w:lang w:eastAsia="en-ZA"/>
    </w:rPr>
  </w:style>
  <w:style w:type="character" w:customStyle="1" w:styleId="Heading4Char">
    <w:name w:val="Heading 4 Char"/>
    <w:basedOn w:val="DefaultParagraphFont"/>
    <w:link w:val="Heading4"/>
    <w:rsid w:val="00DC1959"/>
    <w:rPr>
      <w:rFonts w:ascii="Calibri" w:eastAsia="Calibri" w:hAnsi="Calibri" w:cs="Calibri"/>
      <w:b/>
      <w:sz w:val="24"/>
      <w:szCs w:val="24"/>
      <w:lang w:eastAsia="en-ZA"/>
    </w:rPr>
  </w:style>
  <w:style w:type="character" w:customStyle="1" w:styleId="Heading5Char">
    <w:name w:val="Heading 5 Char"/>
    <w:basedOn w:val="DefaultParagraphFont"/>
    <w:link w:val="Heading5"/>
    <w:rsid w:val="00DC1959"/>
    <w:rPr>
      <w:rFonts w:ascii="Calibri" w:eastAsia="Calibri" w:hAnsi="Calibri" w:cs="Calibri"/>
      <w:b/>
      <w:lang w:eastAsia="en-ZA"/>
    </w:rPr>
  </w:style>
  <w:style w:type="character" w:customStyle="1" w:styleId="Heading6Char">
    <w:name w:val="Heading 6 Char"/>
    <w:basedOn w:val="DefaultParagraphFont"/>
    <w:link w:val="Heading6"/>
    <w:rsid w:val="00DC1959"/>
    <w:rPr>
      <w:rFonts w:ascii="Calibri" w:eastAsia="Calibri" w:hAnsi="Calibri" w:cs="Calibri"/>
      <w:b/>
      <w:sz w:val="20"/>
      <w:szCs w:val="20"/>
      <w:lang w:eastAsia="en-ZA"/>
    </w:rPr>
  </w:style>
  <w:style w:type="numbering" w:customStyle="1" w:styleId="NoList1">
    <w:name w:val="No List1"/>
    <w:next w:val="NoList"/>
    <w:uiPriority w:val="99"/>
    <w:semiHidden/>
    <w:unhideWhenUsed/>
    <w:rsid w:val="00DC1959"/>
  </w:style>
  <w:style w:type="paragraph" w:styleId="Title">
    <w:name w:val="Title"/>
    <w:basedOn w:val="Normal"/>
    <w:next w:val="Normal"/>
    <w:link w:val="TitleChar"/>
    <w:qFormat/>
    <w:rsid w:val="00DC1959"/>
    <w:pPr>
      <w:keepNext/>
      <w:keepLines/>
      <w:spacing w:before="480" w:after="120"/>
    </w:pPr>
    <w:rPr>
      <w:b/>
      <w:sz w:val="72"/>
      <w:szCs w:val="72"/>
    </w:rPr>
  </w:style>
  <w:style w:type="character" w:customStyle="1" w:styleId="TitleChar">
    <w:name w:val="Title Char"/>
    <w:basedOn w:val="DefaultParagraphFont"/>
    <w:link w:val="Title"/>
    <w:rsid w:val="00DC1959"/>
    <w:rPr>
      <w:rFonts w:ascii="Calibri" w:eastAsia="Calibri" w:hAnsi="Calibri" w:cs="Calibri"/>
      <w:b/>
      <w:sz w:val="72"/>
      <w:szCs w:val="72"/>
      <w:lang w:eastAsia="en-ZA"/>
    </w:rPr>
  </w:style>
  <w:style w:type="paragraph" w:customStyle="1" w:styleId="Normal1">
    <w:name w:val="Normal1"/>
    <w:rsid w:val="00DC1959"/>
    <w:pPr>
      <w:spacing w:after="200" w:line="276" w:lineRule="auto"/>
    </w:pPr>
    <w:rPr>
      <w:rFonts w:ascii="Cambria" w:eastAsia="Cambria" w:hAnsi="Cambria" w:cs="Cambria"/>
      <w:lang w:val="en-GB" w:eastAsia="nl-NL"/>
    </w:rPr>
  </w:style>
  <w:style w:type="paragraph" w:styleId="ListParagraph">
    <w:name w:val="List Paragraph"/>
    <w:basedOn w:val="Normal"/>
    <w:uiPriority w:val="34"/>
    <w:qFormat/>
    <w:rsid w:val="00DC1959"/>
    <w:pPr>
      <w:ind w:left="720"/>
      <w:contextualSpacing/>
    </w:pPr>
  </w:style>
  <w:style w:type="character" w:styleId="CommentReference">
    <w:name w:val="annotation reference"/>
    <w:basedOn w:val="DefaultParagraphFont"/>
    <w:uiPriority w:val="99"/>
    <w:semiHidden/>
    <w:unhideWhenUsed/>
    <w:rsid w:val="00DC1959"/>
    <w:rPr>
      <w:sz w:val="16"/>
      <w:szCs w:val="16"/>
    </w:rPr>
  </w:style>
  <w:style w:type="paragraph" w:styleId="CommentText">
    <w:name w:val="annotation text"/>
    <w:basedOn w:val="Normal"/>
    <w:link w:val="CommentTextChar"/>
    <w:uiPriority w:val="99"/>
    <w:unhideWhenUsed/>
    <w:rsid w:val="00DC1959"/>
    <w:pPr>
      <w:spacing w:line="240" w:lineRule="auto"/>
    </w:pPr>
    <w:rPr>
      <w:sz w:val="20"/>
      <w:szCs w:val="20"/>
    </w:rPr>
  </w:style>
  <w:style w:type="character" w:customStyle="1" w:styleId="CommentTextChar">
    <w:name w:val="Comment Text Char"/>
    <w:basedOn w:val="DefaultParagraphFont"/>
    <w:link w:val="CommentText"/>
    <w:uiPriority w:val="99"/>
    <w:rsid w:val="00DC1959"/>
    <w:rPr>
      <w:rFonts w:ascii="Calibri" w:eastAsia="Calibri" w:hAnsi="Calibri" w:cs="Calibri"/>
      <w:sz w:val="20"/>
      <w:szCs w:val="20"/>
      <w:lang w:eastAsia="en-ZA"/>
    </w:rPr>
  </w:style>
  <w:style w:type="paragraph" w:styleId="BalloonText">
    <w:name w:val="Balloon Text"/>
    <w:basedOn w:val="Normal"/>
    <w:link w:val="BalloonTextChar"/>
    <w:uiPriority w:val="99"/>
    <w:semiHidden/>
    <w:unhideWhenUsed/>
    <w:rsid w:val="00DC195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1959"/>
    <w:rPr>
      <w:rFonts w:ascii="Segoe UI" w:eastAsia="Calibri" w:hAnsi="Segoe UI" w:cs="Segoe UI"/>
      <w:sz w:val="18"/>
      <w:szCs w:val="18"/>
      <w:lang w:eastAsia="en-ZA"/>
    </w:rPr>
  </w:style>
  <w:style w:type="paragraph" w:styleId="CommentSubject">
    <w:name w:val="annotation subject"/>
    <w:basedOn w:val="CommentText"/>
    <w:next w:val="CommentText"/>
    <w:link w:val="CommentSubjectChar"/>
    <w:uiPriority w:val="99"/>
    <w:semiHidden/>
    <w:unhideWhenUsed/>
    <w:rsid w:val="00DC1959"/>
    <w:rPr>
      <w:b/>
      <w:bCs/>
    </w:rPr>
  </w:style>
  <w:style w:type="character" w:customStyle="1" w:styleId="CommentSubjectChar">
    <w:name w:val="Comment Subject Char"/>
    <w:basedOn w:val="CommentTextChar"/>
    <w:link w:val="CommentSubject"/>
    <w:uiPriority w:val="99"/>
    <w:semiHidden/>
    <w:rsid w:val="00DC1959"/>
    <w:rPr>
      <w:rFonts w:ascii="Calibri" w:eastAsia="Calibri" w:hAnsi="Calibri" w:cs="Calibri"/>
      <w:b/>
      <w:bCs/>
      <w:sz w:val="20"/>
      <w:szCs w:val="20"/>
      <w:lang w:eastAsia="en-ZA"/>
    </w:rPr>
  </w:style>
  <w:style w:type="paragraph" w:customStyle="1" w:styleId="Academic">
    <w:name w:val="Academic"/>
    <w:link w:val="AcademicChar"/>
    <w:qFormat/>
    <w:rsid w:val="00DC1959"/>
    <w:pPr>
      <w:spacing w:after="120" w:line="360" w:lineRule="auto"/>
      <w:jc w:val="both"/>
    </w:pPr>
    <w:rPr>
      <w:rFonts w:ascii="Times New Roman" w:eastAsia="Calibri" w:hAnsi="Times New Roman" w:cs="Times New Roman"/>
      <w:sz w:val="24"/>
      <w:szCs w:val="24"/>
      <w:lang w:val="en-GB" w:eastAsia="en-ZA"/>
    </w:rPr>
  </w:style>
  <w:style w:type="character" w:customStyle="1" w:styleId="AcademicChar">
    <w:name w:val="Academic Char"/>
    <w:basedOn w:val="DefaultParagraphFont"/>
    <w:link w:val="Academic"/>
    <w:rsid w:val="00DC1959"/>
    <w:rPr>
      <w:rFonts w:ascii="Times New Roman" w:eastAsia="Calibri" w:hAnsi="Times New Roman" w:cs="Times New Roman"/>
      <w:sz w:val="24"/>
      <w:szCs w:val="24"/>
      <w:lang w:val="en-GB" w:eastAsia="en-ZA"/>
    </w:rPr>
  </w:style>
  <w:style w:type="table" w:styleId="TableGrid">
    <w:name w:val="Table Grid"/>
    <w:basedOn w:val="TableNormal"/>
    <w:uiPriority w:val="39"/>
    <w:rsid w:val="00DC1959"/>
    <w:pPr>
      <w:spacing w:after="0" w:line="240" w:lineRule="auto"/>
    </w:pPr>
    <w:rPr>
      <w:rFonts w:ascii="Calibri" w:eastAsiaTheme="minorEastAsia" w:hAnsi="Calibri" w:cs="Calibri"/>
      <w:sz w:val="24"/>
      <w:szCs w:val="24"/>
      <w:lang w:val="pt-BR"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C1959"/>
    <w:rPr>
      <w:color w:val="0563C1" w:themeColor="hyperlink"/>
      <w:u w:val="single"/>
    </w:rPr>
  </w:style>
  <w:style w:type="character" w:customStyle="1" w:styleId="sr-only">
    <w:name w:val="sr-only"/>
    <w:basedOn w:val="DefaultParagraphFont"/>
    <w:rsid w:val="00DC1959"/>
  </w:style>
  <w:style w:type="character" w:customStyle="1" w:styleId="file-details">
    <w:name w:val="file-details"/>
    <w:basedOn w:val="DefaultParagraphFont"/>
    <w:rsid w:val="00DC1959"/>
  </w:style>
  <w:style w:type="character" w:styleId="Emphasis">
    <w:name w:val="Emphasis"/>
    <w:basedOn w:val="DefaultParagraphFont"/>
    <w:uiPriority w:val="20"/>
    <w:qFormat/>
    <w:rsid w:val="00DC1959"/>
    <w:rPr>
      <w:i/>
      <w:iCs/>
    </w:rPr>
  </w:style>
  <w:style w:type="paragraph" w:styleId="Revision">
    <w:name w:val="Revision"/>
    <w:hidden/>
    <w:uiPriority w:val="99"/>
    <w:semiHidden/>
    <w:rsid w:val="00DC1959"/>
    <w:pPr>
      <w:spacing w:after="0" w:line="240" w:lineRule="auto"/>
    </w:pPr>
    <w:rPr>
      <w:rFonts w:ascii="Calibri" w:eastAsia="Calibri" w:hAnsi="Calibri" w:cs="Calibri"/>
      <w:lang w:eastAsia="en-ZA"/>
    </w:rPr>
  </w:style>
  <w:style w:type="character" w:customStyle="1" w:styleId="text-node">
    <w:name w:val="text-node"/>
    <w:basedOn w:val="DefaultParagraphFont"/>
    <w:rsid w:val="00DC1959"/>
  </w:style>
  <w:style w:type="paragraph" w:styleId="Footer">
    <w:name w:val="footer"/>
    <w:basedOn w:val="Normal"/>
    <w:link w:val="FooterChar"/>
    <w:uiPriority w:val="99"/>
    <w:unhideWhenUsed/>
    <w:rsid w:val="00DC19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1959"/>
    <w:rPr>
      <w:rFonts w:ascii="Calibri" w:eastAsia="Calibri" w:hAnsi="Calibri" w:cs="Calibri"/>
      <w:lang w:eastAsia="en-ZA"/>
    </w:rPr>
  </w:style>
  <w:style w:type="character" w:styleId="PageNumber">
    <w:name w:val="page number"/>
    <w:basedOn w:val="DefaultParagraphFont"/>
    <w:uiPriority w:val="99"/>
    <w:semiHidden/>
    <w:unhideWhenUsed/>
    <w:rsid w:val="00DC1959"/>
  </w:style>
  <w:style w:type="paragraph" w:styleId="Header">
    <w:name w:val="header"/>
    <w:basedOn w:val="Normal"/>
    <w:link w:val="HeaderChar"/>
    <w:uiPriority w:val="99"/>
    <w:unhideWhenUsed/>
    <w:rsid w:val="00DC19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1959"/>
    <w:rPr>
      <w:rFonts w:ascii="Calibri" w:eastAsia="Calibri" w:hAnsi="Calibri" w:cs="Calibri"/>
      <w:lang w:eastAsia="en-ZA"/>
    </w:rPr>
  </w:style>
  <w:style w:type="paragraph" w:styleId="Subtitle">
    <w:name w:val="Subtitle"/>
    <w:basedOn w:val="Normal"/>
    <w:next w:val="Normal"/>
    <w:link w:val="SubtitleChar"/>
    <w:rsid w:val="00DC1959"/>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DC1959"/>
    <w:rPr>
      <w:rFonts w:ascii="Georgia" w:eastAsia="Georgia" w:hAnsi="Georgia" w:cs="Georgia"/>
      <w:i/>
      <w:color w:val="666666"/>
      <w:sz w:val="48"/>
      <w:szCs w:val="48"/>
      <w:lang w:eastAsia="en-ZA"/>
    </w:rPr>
  </w:style>
  <w:style w:type="character" w:styleId="Strong">
    <w:name w:val="Strong"/>
    <w:basedOn w:val="DefaultParagraphFont"/>
    <w:uiPriority w:val="22"/>
    <w:qFormat/>
    <w:rsid w:val="00DC1959"/>
    <w:rPr>
      <w:b/>
      <w:bCs/>
    </w:rPr>
  </w:style>
  <w:style w:type="paragraph" w:styleId="PlainText">
    <w:name w:val="Plain Text"/>
    <w:basedOn w:val="Normal"/>
    <w:link w:val="PlainTextChar"/>
    <w:uiPriority w:val="99"/>
    <w:unhideWhenUsed/>
    <w:rsid w:val="00DC1959"/>
    <w:pPr>
      <w:spacing w:after="0" w:line="240" w:lineRule="auto"/>
    </w:pPr>
    <w:rPr>
      <w:rFonts w:eastAsiaTheme="minorHAnsi" w:cstheme="minorBidi"/>
      <w:szCs w:val="21"/>
      <w:lang w:val="en-US" w:eastAsia="en-US"/>
    </w:rPr>
  </w:style>
  <w:style w:type="character" w:customStyle="1" w:styleId="PlainTextChar">
    <w:name w:val="Plain Text Char"/>
    <w:basedOn w:val="DefaultParagraphFont"/>
    <w:link w:val="PlainText"/>
    <w:uiPriority w:val="99"/>
    <w:rsid w:val="00DC1959"/>
    <w:rPr>
      <w:rFonts w:ascii="Calibri" w:hAnsi="Calibri"/>
      <w:szCs w:val="21"/>
      <w:lang w:val="en-US"/>
    </w:rPr>
  </w:style>
  <w:style w:type="character" w:styleId="LineNumber">
    <w:name w:val="line number"/>
    <w:basedOn w:val="DefaultParagraphFont"/>
    <w:uiPriority w:val="99"/>
    <w:semiHidden/>
    <w:unhideWhenUsed/>
    <w:rsid w:val="00DC1959"/>
  </w:style>
  <w:style w:type="numbering" w:customStyle="1" w:styleId="NoList11">
    <w:name w:val="No List11"/>
    <w:next w:val="NoList"/>
    <w:uiPriority w:val="99"/>
    <w:semiHidden/>
    <w:unhideWhenUsed/>
    <w:rsid w:val="00DC1959"/>
  </w:style>
  <w:style w:type="numbering" w:customStyle="1" w:styleId="NoList2">
    <w:name w:val="No List2"/>
    <w:next w:val="NoList"/>
    <w:uiPriority w:val="99"/>
    <w:semiHidden/>
    <w:unhideWhenUsed/>
    <w:rsid w:val="00F251A7"/>
  </w:style>
  <w:style w:type="table" w:customStyle="1" w:styleId="TableGrid1">
    <w:name w:val="Table Grid1"/>
    <w:basedOn w:val="TableNormal"/>
    <w:next w:val="TableGrid"/>
    <w:uiPriority w:val="39"/>
    <w:rsid w:val="00F251A7"/>
    <w:pPr>
      <w:spacing w:after="0" w:line="240" w:lineRule="auto"/>
    </w:pPr>
    <w:rPr>
      <w:rFonts w:ascii="Calibri" w:eastAsiaTheme="minorEastAsia" w:hAnsi="Calibri" w:cs="Calibri"/>
      <w:sz w:val="24"/>
      <w:szCs w:val="24"/>
      <w:lang w:val="pt-BR"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F251A7"/>
  </w:style>
  <w:style w:type="numbering" w:customStyle="1" w:styleId="NoList21">
    <w:name w:val="No List21"/>
    <w:next w:val="NoList"/>
    <w:uiPriority w:val="99"/>
    <w:semiHidden/>
    <w:unhideWhenUsed/>
    <w:rsid w:val="00F251A7"/>
  </w:style>
  <w:style w:type="numbering" w:customStyle="1" w:styleId="NoList111">
    <w:name w:val="No List111"/>
    <w:next w:val="NoList"/>
    <w:uiPriority w:val="99"/>
    <w:semiHidden/>
    <w:unhideWhenUsed/>
    <w:rsid w:val="00F251A7"/>
  </w:style>
  <w:style w:type="numbering" w:customStyle="1" w:styleId="NoList1111">
    <w:name w:val="No List1111"/>
    <w:next w:val="NoList"/>
    <w:uiPriority w:val="99"/>
    <w:semiHidden/>
    <w:unhideWhenUsed/>
    <w:rsid w:val="00F251A7"/>
  </w:style>
  <w:style w:type="paragraph" w:styleId="TOCHeading">
    <w:name w:val="TOC Heading"/>
    <w:basedOn w:val="Heading1"/>
    <w:next w:val="Normal"/>
    <w:uiPriority w:val="39"/>
    <w:unhideWhenUsed/>
    <w:qFormat/>
    <w:rsid w:val="004F5F18"/>
    <w:pPr>
      <w:spacing w:before="240" w:after="0"/>
      <w:outlineLvl w:val="9"/>
    </w:pPr>
    <w:rPr>
      <w:rFonts w:asciiTheme="majorHAnsi" w:eastAsiaTheme="majorEastAsia" w:hAnsiTheme="majorHAnsi" w:cstheme="majorBidi"/>
      <w:b w:val="0"/>
      <w:color w:val="2F5496" w:themeColor="accent1" w:themeShade="BF"/>
      <w:sz w:val="32"/>
      <w:szCs w:val="32"/>
      <w:lang w:val="en-US" w:eastAsia="en-US"/>
    </w:rPr>
  </w:style>
  <w:style w:type="paragraph" w:styleId="TOC2">
    <w:name w:val="toc 2"/>
    <w:basedOn w:val="Normal"/>
    <w:next w:val="Normal"/>
    <w:autoRedefine/>
    <w:uiPriority w:val="39"/>
    <w:unhideWhenUsed/>
    <w:rsid w:val="004F5F18"/>
    <w:pPr>
      <w:spacing w:after="100"/>
      <w:ind w:left="220"/>
    </w:pPr>
    <w:rPr>
      <w:rFonts w:asciiTheme="minorHAnsi" w:eastAsiaTheme="minorEastAsia" w:hAnsiTheme="minorHAnsi" w:cs="Times New Roman"/>
      <w:lang w:val="en-US" w:eastAsia="en-US"/>
    </w:rPr>
  </w:style>
  <w:style w:type="paragraph" w:styleId="TOC1">
    <w:name w:val="toc 1"/>
    <w:basedOn w:val="Normal"/>
    <w:next w:val="Normal"/>
    <w:autoRedefine/>
    <w:uiPriority w:val="39"/>
    <w:unhideWhenUsed/>
    <w:rsid w:val="004F5F18"/>
    <w:pPr>
      <w:spacing w:after="100"/>
    </w:pPr>
    <w:rPr>
      <w:rFonts w:asciiTheme="minorHAnsi" w:eastAsiaTheme="minorEastAsia" w:hAnsiTheme="minorHAnsi" w:cs="Times New Roman"/>
      <w:lang w:val="en-US" w:eastAsia="en-US"/>
    </w:rPr>
  </w:style>
  <w:style w:type="paragraph" w:styleId="TOC3">
    <w:name w:val="toc 3"/>
    <w:basedOn w:val="Normal"/>
    <w:next w:val="Normal"/>
    <w:autoRedefine/>
    <w:uiPriority w:val="39"/>
    <w:unhideWhenUsed/>
    <w:rsid w:val="004F5F18"/>
    <w:pPr>
      <w:spacing w:after="100"/>
      <w:ind w:left="440"/>
    </w:pPr>
    <w:rPr>
      <w:rFonts w:asciiTheme="minorHAnsi" w:eastAsiaTheme="minorEastAsia" w:hAnsiTheme="minorHAnsi" w:cs="Times New Roman"/>
      <w:lang w:val="en-US" w:eastAsia="en-US"/>
    </w:rPr>
  </w:style>
  <w:style w:type="numbering" w:customStyle="1" w:styleId="NoList11111">
    <w:name w:val="No List11111"/>
    <w:next w:val="NoList"/>
    <w:uiPriority w:val="99"/>
    <w:semiHidden/>
    <w:unhideWhenUsed/>
    <w:rsid w:val="004F5F18"/>
  </w:style>
  <w:style w:type="table" w:customStyle="1" w:styleId="TableGrid2">
    <w:name w:val="Table Grid2"/>
    <w:basedOn w:val="TableNormal"/>
    <w:next w:val="TableGrid"/>
    <w:uiPriority w:val="39"/>
    <w:rsid w:val="004F5F18"/>
    <w:pPr>
      <w:spacing w:after="0" w:line="240" w:lineRule="auto"/>
    </w:pPr>
    <w:rPr>
      <w:rFonts w:ascii="Calibri" w:eastAsia="Calibri" w:hAnsi="Calibri" w:cs="Calibri"/>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4F5F18"/>
  </w:style>
  <w:style w:type="table" w:customStyle="1" w:styleId="TableGrid3">
    <w:name w:val="Table Grid3"/>
    <w:basedOn w:val="TableNormal"/>
    <w:next w:val="TableGrid"/>
    <w:uiPriority w:val="39"/>
    <w:rsid w:val="004F5F18"/>
    <w:pPr>
      <w:spacing w:after="0" w:line="240" w:lineRule="auto"/>
    </w:pPr>
    <w:rPr>
      <w:rFonts w:ascii="Calibri" w:eastAsia="Calibri" w:hAnsi="Calibri" w:cs="Calibri"/>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33487</Words>
  <Characters>98120</Characters>
  <Application>Microsoft Office Word</Application>
  <DocSecurity>0</DocSecurity>
  <Lines>32706</Lines>
  <Paragraphs>32901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florencegabi@gmail.com</dc:creator>
  <cp:keywords/>
  <dc:description/>
  <cp:lastModifiedBy>florencegabi@gmail.com</cp:lastModifiedBy>
  <cp:revision>9</cp:revision>
  <dcterms:created xsi:type="dcterms:W3CDTF">2022-05-20T06:23:00Z</dcterms:created>
  <dcterms:modified xsi:type="dcterms:W3CDTF">2023-06-16T12:08:00Z</dcterms:modified>
</cp:coreProperties>
</file>