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D7EE6" w14:textId="77777777" w:rsidR="00E81D68" w:rsidRDefault="00E81D68" w:rsidP="00E81D68">
      <w:pPr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Supplementary figures</w:t>
      </w:r>
    </w:p>
    <w:p w14:paraId="13B9FB86" w14:textId="77777777" w:rsidR="00E81D68" w:rsidRDefault="00E81D68" w:rsidP="00E81D68">
      <w:pPr>
        <w:rPr>
          <w:rFonts w:ascii="Arial" w:hAnsi="Arial" w:cs="Arial"/>
          <w:b/>
          <w:bCs/>
          <w:sz w:val="21"/>
          <w:szCs w:val="21"/>
        </w:rPr>
      </w:pPr>
      <w:r w:rsidRPr="00550176">
        <w:rPr>
          <w:rFonts w:ascii="Arial" w:hAnsi="Arial" w:cs="Arial"/>
          <w:b/>
          <w:bCs/>
          <w:noProof/>
          <w:sz w:val="21"/>
          <w:szCs w:val="21"/>
        </w:rPr>
        <w:drawing>
          <wp:inline distT="0" distB="0" distL="0" distR="0" wp14:anchorId="5BD27664" wp14:editId="3414C27B">
            <wp:extent cx="5728335" cy="7637780"/>
            <wp:effectExtent l="0" t="0" r="0" b="0"/>
            <wp:docPr id="12358784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587846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28335" cy="763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2FF79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Supplementary </w:t>
      </w:r>
      <w:r w:rsidRPr="00E13111">
        <w:rPr>
          <w:rFonts w:ascii="Arial" w:hAnsi="Arial" w:cs="Arial"/>
          <w:b/>
          <w:bCs/>
          <w:sz w:val="21"/>
          <w:szCs w:val="21"/>
        </w:rPr>
        <w:t xml:space="preserve">Figure </w:t>
      </w:r>
      <w:r>
        <w:rPr>
          <w:rFonts w:ascii="Arial" w:hAnsi="Arial" w:cs="Arial"/>
          <w:b/>
          <w:bCs/>
          <w:sz w:val="21"/>
          <w:szCs w:val="21"/>
        </w:rPr>
        <w:t>1</w:t>
      </w:r>
      <w:r w:rsidRPr="00E13111">
        <w:rPr>
          <w:rFonts w:ascii="Arial" w:hAnsi="Arial" w:cs="Arial"/>
          <w:b/>
          <w:bCs/>
          <w:sz w:val="21"/>
          <w:szCs w:val="21"/>
        </w:rPr>
        <w:t>:</w:t>
      </w:r>
      <w:r w:rsidRPr="00E13111">
        <w:rPr>
          <w:rFonts w:ascii="Arial" w:hAnsi="Arial" w:cs="Arial"/>
          <w:sz w:val="21"/>
          <w:szCs w:val="21"/>
        </w:rPr>
        <w:t xml:space="preserve"> Meta-analysis of antibiotic resistance prevalence in STEC.</w:t>
      </w:r>
    </w:p>
    <w:p w14:paraId="653F9CD9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 w:rsidRPr="00E13111">
        <w:rPr>
          <w:rFonts w:ascii="Arial" w:hAnsi="Arial" w:cs="Arial"/>
          <w:sz w:val="21"/>
          <w:szCs w:val="21"/>
        </w:rPr>
        <w:t>The figure presents a series of subplots, each corresponding to the prevalence of resistance to a specific antibiotic in STEC samples from various studies.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Each </w:t>
      </w:r>
      <w:r>
        <w:rPr>
          <w:rFonts w:ascii="Arial" w:hAnsi="Arial" w:cs="Arial"/>
          <w:sz w:val="21"/>
          <w:szCs w:val="21"/>
        </w:rPr>
        <w:t xml:space="preserve">blue </w:t>
      </w:r>
      <w:r w:rsidRPr="00E13111">
        <w:rPr>
          <w:rFonts w:ascii="Arial" w:hAnsi="Arial" w:cs="Arial"/>
          <w:sz w:val="21"/>
          <w:szCs w:val="21"/>
        </w:rPr>
        <w:t xml:space="preserve">dot represents the proportion of </w:t>
      </w:r>
      <w:r>
        <w:rPr>
          <w:rFonts w:ascii="Arial" w:hAnsi="Arial" w:cs="Arial"/>
          <w:sz w:val="21"/>
          <w:szCs w:val="21"/>
        </w:rPr>
        <w:t>isolates</w:t>
      </w:r>
      <w:r w:rsidRPr="00E13111">
        <w:rPr>
          <w:rFonts w:ascii="Arial" w:hAnsi="Arial" w:cs="Arial"/>
          <w:sz w:val="21"/>
          <w:szCs w:val="21"/>
        </w:rPr>
        <w:t xml:space="preserve"> showing resistance in a particular study. The horizontal position of the dot indicates </w:t>
      </w:r>
      <w:r w:rsidRPr="00E13111">
        <w:rPr>
          <w:rFonts w:ascii="Arial" w:hAnsi="Arial" w:cs="Arial"/>
          <w:sz w:val="21"/>
          <w:szCs w:val="21"/>
        </w:rPr>
        <w:lastRenderedPageBreak/>
        <w:t xml:space="preserve">the percentage of </w:t>
      </w:r>
      <w:r>
        <w:rPr>
          <w:rFonts w:ascii="Arial" w:hAnsi="Arial" w:cs="Arial"/>
          <w:sz w:val="21"/>
          <w:szCs w:val="21"/>
        </w:rPr>
        <w:t>isolates</w:t>
      </w:r>
      <w:r w:rsidRPr="00E13111">
        <w:rPr>
          <w:rFonts w:ascii="Arial" w:hAnsi="Arial" w:cs="Arial"/>
          <w:sz w:val="21"/>
          <w:szCs w:val="21"/>
        </w:rPr>
        <w:t xml:space="preserve"> that were resistant, while the dot's vertical position corresponds to a specific study.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>Horizontal lines extending from each dot represent the 95% confidence interval of the resistance proportion for that study.</w:t>
      </w:r>
      <w:r>
        <w:rPr>
          <w:rFonts w:ascii="Arial" w:hAnsi="Arial" w:cs="Arial"/>
          <w:sz w:val="21"/>
          <w:szCs w:val="21"/>
        </w:rPr>
        <w:t xml:space="preserve"> </w:t>
      </w:r>
      <w:r w:rsidRPr="006429AA">
        <w:rPr>
          <w:rFonts w:ascii="Arial" w:hAnsi="Arial" w:cs="Arial"/>
          <w:sz w:val="21"/>
          <w:szCs w:val="21"/>
        </w:rPr>
        <w:t>The red dot in the first position of each subplot represents the pooled estimate of the resistance rate from a random effects model</w:t>
      </w:r>
      <w:r w:rsidRPr="00E13111">
        <w:rPr>
          <w:rFonts w:ascii="Arial" w:hAnsi="Arial" w:cs="Arial"/>
          <w:sz w:val="21"/>
          <w:szCs w:val="21"/>
        </w:rPr>
        <w:t xml:space="preserve">. </w:t>
      </w:r>
      <w:r w:rsidRPr="006429AA">
        <w:rPr>
          <w:rFonts w:ascii="Arial" w:hAnsi="Arial" w:cs="Arial"/>
          <w:sz w:val="21"/>
          <w:szCs w:val="21"/>
        </w:rPr>
        <w:t>The horizontal lines connected to the red dot indicate the 95% CIs of the pooled estimate.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Beside each </w:t>
      </w:r>
      <w:r>
        <w:rPr>
          <w:rFonts w:ascii="Arial" w:hAnsi="Arial" w:cs="Arial"/>
          <w:sz w:val="21"/>
          <w:szCs w:val="21"/>
        </w:rPr>
        <w:t xml:space="preserve">pooled estimate </w:t>
      </w:r>
      <w:r w:rsidRPr="00E13111">
        <w:rPr>
          <w:rFonts w:ascii="Arial" w:hAnsi="Arial" w:cs="Arial"/>
          <w:sz w:val="21"/>
          <w:szCs w:val="21"/>
        </w:rPr>
        <w:t>dot is a label specifying the exact resistance percentag</w:t>
      </w:r>
      <w:r>
        <w:rPr>
          <w:rFonts w:ascii="Arial" w:hAnsi="Arial" w:cs="Arial"/>
          <w:sz w:val="21"/>
          <w:szCs w:val="21"/>
        </w:rPr>
        <w:t>e and the corresponding 95% CIs</w:t>
      </w:r>
      <w:r w:rsidRPr="00E13111">
        <w:rPr>
          <w:rFonts w:ascii="Arial" w:hAnsi="Arial" w:cs="Arial"/>
          <w:sz w:val="21"/>
          <w:szCs w:val="21"/>
        </w:rPr>
        <w:t xml:space="preserve">. </w:t>
      </w:r>
    </w:p>
    <w:p w14:paraId="54710D25" w14:textId="77777777" w:rsidR="00E81D68" w:rsidRDefault="00E81D68" w:rsidP="00E81D68">
      <w:pPr>
        <w:rPr>
          <w:rFonts w:ascii="Arial" w:hAnsi="Arial" w:cs="Arial"/>
          <w:sz w:val="21"/>
          <w:szCs w:val="21"/>
        </w:rPr>
      </w:pPr>
    </w:p>
    <w:p w14:paraId="101215E4" w14:textId="77777777" w:rsidR="00E81D68" w:rsidRDefault="00E81D68" w:rsidP="00E81D68">
      <w:pPr>
        <w:spacing w:line="240" w:lineRule="auto"/>
        <w:contextualSpacing w:val="0"/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br w:type="page"/>
      </w:r>
    </w:p>
    <w:p w14:paraId="20DE9051" w14:textId="77777777" w:rsidR="00E81D68" w:rsidRDefault="00E81D68" w:rsidP="00E81D68">
      <w:pPr>
        <w:rPr>
          <w:rFonts w:ascii="Arial" w:hAnsi="Arial" w:cs="Arial"/>
          <w:sz w:val="21"/>
          <w:szCs w:val="21"/>
        </w:rPr>
      </w:pPr>
      <w:r w:rsidRPr="00550176">
        <w:rPr>
          <w:rFonts w:ascii="Arial" w:hAnsi="Arial" w:cs="Arial"/>
          <w:noProof/>
          <w:sz w:val="21"/>
          <w:szCs w:val="21"/>
        </w:rPr>
        <w:lastRenderedPageBreak/>
        <w:drawing>
          <wp:inline distT="0" distB="0" distL="0" distR="0" wp14:anchorId="1B75AE98" wp14:editId="0CB7C2C1">
            <wp:extent cx="5728335" cy="7637780"/>
            <wp:effectExtent l="0" t="0" r="0" b="0"/>
            <wp:docPr id="13406759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675942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28335" cy="763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327A7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Supplementary </w:t>
      </w:r>
      <w:r w:rsidRPr="00E13111">
        <w:rPr>
          <w:rFonts w:ascii="Arial" w:hAnsi="Arial" w:cs="Arial"/>
          <w:b/>
          <w:bCs/>
          <w:sz w:val="21"/>
          <w:szCs w:val="21"/>
        </w:rPr>
        <w:t xml:space="preserve">Figure </w:t>
      </w:r>
      <w:r>
        <w:rPr>
          <w:rFonts w:ascii="Arial" w:hAnsi="Arial" w:cs="Arial"/>
          <w:b/>
          <w:bCs/>
          <w:sz w:val="21"/>
          <w:szCs w:val="21"/>
        </w:rPr>
        <w:t>2</w:t>
      </w:r>
      <w:r w:rsidRPr="00E13111">
        <w:rPr>
          <w:rFonts w:ascii="Arial" w:hAnsi="Arial" w:cs="Arial"/>
          <w:b/>
          <w:bCs/>
          <w:sz w:val="21"/>
          <w:szCs w:val="21"/>
        </w:rPr>
        <w:t>:</w:t>
      </w:r>
      <w:r w:rsidRPr="00E13111">
        <w:rPr>
          <w:rFonts w:ascii="Arial" w:hAnsi="Arial" w:cs="Arial"/>
          <w:sz w:val="21"/>
          <w:szCs w:val="21"/>
        </w:rPr>
        <w:t xml:space="preserve"> Meta-analysis of antibiotic resistance prevalence in </w:t>
      </w:r>
      <w:r>
        <w:rPr>
          <w:rFonts w:ascii="Arial" w:hAnsi="Arial" w:cs="Arial"/>
          <w:sz w:val="21"/>
          <w:szCs w:val="21"/>
        </w:rPr>
        <w:t>ET</w:t>
      </w:r>
      <w:r w:rsidRPr="00E13111">
        <w:rPr>
          <w:rFonts w:ascii="Arial" w:hAnsi="Arial" w:cs="Arial"/>
          <w:sz w:val="21"/>
          <w:szCs w:val="21"/>
        </w:rPr>
        <w:t>EC.</w:t>
      </w:r>
    </w:p>
    <w:p w14:paraId="3224FC4C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 w:rsidRPr="00E13111">
        <w:rPr>
          <w:rFonts w:ascii="Arial" w:hAnsi="Arial" w:cs="Arial"/>
          <w:sz w:val="21"/>
          <w:szCs w:val="21"/>
        </w:rPr>
        <w:t xml:space="preserve">The figure presents a series of subplots, each corresponding to the prevalence of resistance to a specific antibiotic in </w:t>
      </w:r>
      <w:r>
        <w:rPr>
          <w:rFonts w:ascii="Arial" w:hAnsi="Arial" w:cs="Arial"/>
          <w:sz w:val="21"/>
          <w:szCs w:val="21"/>
        </w:rPr>
        <w:t>ET</w:t>
      </w:r>
      <w:r w:rsidRPr="00E13111">
        <w:rPr>
          <w:rFonts w:ascii="Arial" w:hAnsi="Arial" w:cs="Arial"/>
          <w:sz w:val="21"/>
          <w:szCs w:val="21"/>
        </w:rPr>
        <w:t>EC samples from various studies.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Each </w:t>
      </w:r>
      <w:r>
        <w:rPr>
          <w:rFonts w:ascii="Arial" w:hAnsi="Arial" w:cs="Arial"/>
          <w:sz w:val="21"/>
          <w:szCs w:val="21"/>
        </w:rPr>
        <w:t xml:space="preserve">blue </w:t>
      </w:r>
      <w:r w:rsidRPr="00E13111">
        <w:rPr>
          <w:rFonts w:ascii="Arial" w:hAnsi="Arial" w:cs="Arial"/>
          <w:sz w:val="21"/>
          <w:szCs w:val="21"/>
        </w:rPr>
        <w:t xml:space="preserve">dot represents the proportion of </w:t>
      </w:r>
      <w:r>
        <w:rPr>
          <w:rFonts w:ascii="Arial" w:hAnsi="Arial" w:cs="Arial"/>
          <w:sz w:val="21"/>
          <w:szCs w:val="21"/>
        </w:rPr>
        <w:t>isolate</w:t>
      </w:r>
      <w:r w:rsidRPr="00E13111">
        <w:rPr>
          <w:rFonts w:ascii="Arial" w:hAnsi="Arial" w:cs="Arial"/>
          <w:sz w:val="21"/>
          <w:szCs w:val="21"/>
        </w:rPr>
        <w:t xml:space="preserve">s showing resistance in a particular study. The horizontal position of the dot indicates the percentage of </w:t>
      </w:r>
      <w:r>
        <w:rPr>
          <w:rFonts w:ascii="Arial" w:hAnsi="Arial" w:cs="Arial"/>
          <w:sz w:val="21"/>
          <w:szCs w:val="21"/>
        </w:rPr>
        <w:t>resistant isolates</w:t>
      </w:r>
      <w:r w:rsidRPr="00E13111">
        <w:rPr>
          <w:rFonts w:ascii="Arial" w:hAnsi="Arial" w:cs="Arial"/>
          <w:sz w:val="21"/>
          <w:szCs w:val="21"/>
        </w:rPr>
        <w:t xml:space="preserve">, while the dot's vertical position corresponds to a specific </w:t>
      </w:r>
      <w:r w:rsidRPr="00E13111">
        <w:rPr>
          <w:rFonts w:ascii="Arial" w:hAnsi="Arial" w:cs="Arial"/>
          <w:sz w:val="21"/>
          <w:szCs w:val="21"/>
        </w:rPr>
        <w:lastRenderedPageBreak/>
        <w:t>study.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>Horizontal lines extending from each dot represent the 95% confidence interval of the resistance proportion for that study.</w:t>
      </w:r>
      <w:r>
        <w:rPr>
          <w:rFonts w:ascii="Arial" w:hAnsi="Arial" w:cs="Arial"/>
          <w:sz w:val="21"/>
          <w:szCs w:val="21"/>
        </w:rPr>
        <w:t xml:space="preserve"> </w:t>
      </w:r>
      <w:r w:rsidRPr="006429AA">
        <w:rPr>
          <w:rFonts w:ascii="Arial" w:hAnsi="Arial" w:cs="Arial"/>
          <w:sz w:val="21"/>
          <w:szCs w:val="21"/>
        </w:rPr>
        <w:t>The red dot in the first position of each subplot represents the pooled estimate of the resistance rate from a random effects model</w:t>
      </w:r>
      <w:r w:rsidRPr="00E13111">
        <w:rPr>
          <w:rFonts w:ascii="Arial" w:hAnsi="Arial" w:cs="Arial"/>
          <w:sz w:val="21"/>
          <w:szCs w:val="21"/>
        </w:rPr>
        <w:t xml:space="preserve">. </w:t>
      </w:r>
      <w:r w:rsidRPr="006429AA">
        <w:rPr>
          <w:rFonts w:ascii="Arial" w:hAnsi="Arial" w:cs="Arial"/>
          <w:sz w:val="21"/>
          <w:szCs w:val="21"/>
        </w:rPr>
        <w:t>The horizontal lines connected to the red dot indicate the 95% CIs of the pooled estimate.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Beside each </w:t>
      </w:r>
      <w:r>
        <w:rPr>
          <w:rFonts w:ascii="Arial" w:hAnsi="Arial" w:cs="Arial"/>
          <w:sz w:val="21"/>
          <w:szCs w:val="21"/>
        </w:rPr>
        <w:t xml:space="preserve">pooled estimate </w:t>
      </w:r>
      <w:r w:rsidRPr="00E13111">
        <w:rPr>
          <w:rFonts w:ascii="Arial" w:hAnsi="Arial" w:cs="Arial"/>
          <w:sz w:val="21"/>
          <w:szCs w:val="21"/>
        </w:rPr>
        <w:t>dot is a label specifying the exact resistance percentag</w:t>
      </w:r>
      <w:r>
        <w:rPr>
          <w:rFonts w:ascii="Arial" w:hAnsi="Arial" w:cs="Arial"/>
          <w:sz w:val="21"/>
          <w:szCs w:val="21"/>
        </w:rPr>
        <w:t>e and the corresponding 95% CIs</w:t>
      </w:r>
      <w:r w:rsidRPr="00E13111">
        <w:rPr>
          <w:rFonts w:ascii="Arial" w:hAnsi="Arial" w:cs="Arial"/>
          <w:sz w:val="21"/>
          <w:szCs w:val="21"/>
        </w:rPr>
        <w:t xml:space="preserve">. </w:t>
      </w:r>
    </w:p>
    <w:p w14:paraId="4FEFC627" w14:textId="77777777" w:rsidR="00E81D68" w:rsidRDefault="00E81D68" w:rsidP="00E81D68">
      <w:pPr>
        <w:rPr>
          <w:rFonts w:ascii="Arial" w:hAnsi="Arial" w:cs="Arial"/>
          <w:b/>
          <w:bCs/>
          <w:sz w:val="21"/>
          <w:szCs w:val="21"/>
        </w:rPr>
      </w:pPr>
    </w:p>
    <w:p w14:paraId="3C919824" w14:textId="77777777" w:rsidR="00E81D68" w:rsidRDefault="00E81D68" w:rsidP="00E81D68">
      <w:pPr>
        <w:rPr>
          <w:rFonts w:ascii="Arial" w:hAnsi="Arial" w:cs="Arial"/>
          <w:sz w:val="21"/>
          <w:szCs w:val="21"/>
        </w:rPr>
      </w:pPr>
      <w:r w:rsidRPr="00550176">
        <w:rPr>
          <w:rFonts w:ascii="Arial" w:hAnsi="Arial" w:cs="Arial"/>
          <w:noProof/>
          <w:sz w:val="21"/>
          <w:szCs w:val="21"/>
        </w:rPr>
        <w:lastRenderedPageBreak/>
        <w:drawing>
          <wp:inline distT="0" distB="0" distL="0" distR="0" wp14:anchorId="00B72F2C" wp14:editId="0E996249">
            <wp:extent cx="5728335" cy="7637780"/>
            <wp:effectExtent l="0" t="0" r="0" b="0"/>
            <wp:docPr id="5506750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67506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28335" cy="763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866BFA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Supplementary </w:t>
      </w:r>
      <w:r w:rsidRPr="00E13111">
        <w:rPr>
          <w:rFonts w:ascii="Arial" w:hAnsi="Arial" w:cs="Arial"/>
          <w:b/>
          <w:bCs/>
          <w:sz w:val="21"/>
          <w:szCs w:val="21"/>
        </w:rPr>
        <w:t xml:space="preserve">Figure </w:t>
      </w:r>
      <w:r>
        <w:rPr>
          <w:rFonts w:ascii="Arial" w:hAnsi="Arial" w:cs="Arial"/>
          <w:b/>
          <w:bCs/>
          <w:sz w:val="21"/>
          <w:szCs w:val="21"/>
        </w:rPr>
        <w:t>3</w:t>
      </w:r>
      <w:r w:rsidRPr="00E13111">
        <w:rPr>
          <w:rFonts w:ascii="Arial" w:hAnsi="Arial" w:cs="Arial"/>
          <w:b/>
          <w:bCs/>
          <w:sz w:val="21"/>
          <w:szCs w:val="21"/>
        </w:rPr>
        <w:t>:</w:t>
      </w:r>
      <w:r w:rsidRPr="00E13111">
        <w:rPr>
          <w:rFonts w:ascii="Arial" w:hAnsi="Arial" w:cs="Arial"/>
          <w:sz w:val="21"/>
          <w:szCs w:val="21"/>
        </w:rPr>
        <w:t xml:space="preserve"> Meta-analysis of antibiotic resistance prevalence in </w:t>
      </w:r>
      <w:r>
        <w:rPr>
          <w:rFonts w:ascii="Arial" w:hAnsi="Arial" w:cs="Arial"/>
          <w:sz w:val="21"/>
          <w:szCs w:val="21"/>
        </w:rPr>
        <w:t>EP</w:t>
      </w:r>
      <w:r w:rsidRPr="00E13111">
        <w:rPr>
          <w:rFonts w:ascii="Arial" w:hAnsi="Arial" w:cs="Arial"/>
          <w:sz w:val="21"/>
          <w:szCs w:val="21"/>
        </w:rPr>
        <w:t>EC.</w:t>
      </w:r>
    </w:p>
    <w:p w14:paraId="17E939ED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 w:rsidRPr="00E13111">
        <w:rPr>
          <w:rFonts w:ascii="Arial" w:hAnsi="Arial" w:cs="Arial"/>
          <w:sz w:val="21"/>
          <w:szCs w:val="21"/>
        </w:rPr>
        <w:t xml:space="preserve">The figure presents a series of subplots, each corresponding to the prevalence of resistance to a specific antibiotic in </w:t>
      </w:r>
      <w:r>
        <w:rPr>
          <w:rFonts w:ascii="Arial" w:hAnsi="Arial" w:cs="Arial"/>
          <w:sz w:val="21"/>
          <w:szCs w:val="21"/>
        </w:rPr>
        <w:t>EP</w:t>
      </w:r>
      <w:r w:rsidRPr="00E13111">
        <w:rPr>
          <w:rFonts w:ascii="Arial" w:hAnsi="Arial" w:cs="Arial"/>
          <w:sz w:val="21"/>
          <w:szCs w:val="21"/>
        </w:rPr>
        <w:t>EC samples from various studies.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Each </w:t>
      </w:r>
      <w:r>
        <w:rPr>
          <w:rFonts w:ascii="Arial" w:hAnsi="Arial" w:cs="Arial"/>
          <w:sz w:val="21"/>
          <w:szCs w:val="21"/>
        </w:rPr>
        <w:t xml:space="preserve">blue </w:t>
      </w:r>
      <w:r w:rsidRPr="00E13111">
        <w:rPr>
          <w:rFonts w:ascii="Arial" w:hAnsi="Arial" w:cs="Arial"/>
          <w:sz w:val="21"/>
          <w:szCs w:val="21"/>
        </w:rPr>
        <w:t xml:space="preserve">dot represents the proportion of </w:t>
      </w:r>
      <w:r>
        <w:rPr>
          <w:rFonts w:ascii="Arial" w:hAnsi="Arial" w:cs="Arial"/>
          <w:sz w:val="21"/>
          <w:szCs w:val="21"/>
        </w:rPr>
        <w:t>isolate</w:t>
      </w:r>
      <w:r w:rsidRPr="00E13111">
        <w:rPr>
          <w:rFonts w:ascii="Arial" w:hAnsi="Arial" w:cs="Arial"/>
          <w:sz w:val="21"/>
          <w:szCs w:val="21"/>
        </w:rPr>
        <w:t xml:space="preserve">s showing resistance in a particular study. The horizontal position of the dot indicates the percentage of </w:t>
      </w:r>
      <w:r>
        <w:rPr>
          <w:rFonts w:ascii="Arial" w:hAnsi="Arial" w:cs="Arial"/>
          <w:sz w:val="21"/>
          <w:szCs w:val="21"/>
        </w:rPr>
        <w:t>resistant isolates</w:t>
      </w:r>
      <w:r w:rsidRPr="00E13111">
        <w:rPr>
          <w:rFonts w:ascii="Arial" w:hAnsi="Arial" w:cs="Arial"/>
          <w:sz w:val="21"/>
          <w:szCs w:val="21"/>
        </w:rPr>
        <w:t xml:space="preserve">, while the dot's vertical position corresponds to a </w:t>
      </w:r>
      <w:r w:rsidRPr="00E13111">
        <w:rPr>
          <w:rFonts w:ascii="Arial" w:hAnsi="Arial" w:cs="Arial"/>
          <w:sz w:val="21"/>
          <w:szCs w:val="21"/>
        </w:rPr>
        <w:lastRenderedPageBreak/>
        <w:t>specific study.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>Horizontal lines extending from each dot represent the 95% confidence interval of the resistance proportion for that study.</w:t>
      </w:r>
      <w:r>
        <w:rPr>
          <w:rFonts w:ascii="Arial" w:hAnsi="Arial" w:cs="Arial"/>
          <w:sz w:val="21"/>
          <w:szCs w:val="21"/>
        </w:rPr>
        <w:t xml:space="preserve"> </w:t>
      </w:r>
      <w:r w:rsidRPr="006429AA">
        <w:rPr>
          <w:rFonts w:ascii="Arial" w:hAnsi="Arial" w:cs="Arial"/>
          <w:sz w:val="21"/>
          <w:szCs w:val="21"/>
        </w:rPr>
        <w:t>The red dot in the first position of each subplot represents the pooled estimate of the resistance rate from a random effects model</w:t>
      </w:r>
      <w:r w:rsidRPr="00E13111">
        <w:rPr>
          <w:rFonts w:ascii="Arial" w:hAnsi="Arial" w:cs="Arial"/>
          <w:sz w:val="21"/>
          <w:szCs w:val="21"/>
        </w:rPr>
        <w:t xml:space="preserve">. </w:t>
      </w:r>
      <w:r w:rsidRPr="006429AA">
        <w:rPr>
          <w:rFonts w:ascii="Arial" w:hAnsi="Arial" w:cs="Arial"/>
          <w:sz w:val="21"/>
          <w:szCs w:val="21"/>
        </w:rPr>
        <w:t>The horizontal lines connected to the red dot indicate the 95% CIs of the pooled estimate.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Beside each </w:t>
      </w:r>
      <w:r>
        <w:rPr>
          <w:rFonts w:ascii="Arial" w:hAnsi="Arial" w:cs="Arial"/>
          <w:sz w:val="21"/>
          <w:szCs w:val="21"/>
        </w:rPr>
        <w:t xml:space="preserve">pooled estimate </w:t>
      </w:r>
      <w:r w:rsidRPr="00E13111">
        <w:rPr>
          <w:rFonts w:ascii="Arial" w:hAnsi="Arial" w:cs="Arial"/>
          <w:sz w:val="21"/>
          <w:szCs w:val="21"/>
        </w:rPr>
        <w:t>dot is a label specifying the exact resistance percentag</w:t>
      </w:r>
      <w:r>
        <w:rPr>
          <w:rFonts w:ascii="Arial" w:hAnsi="Arial" w:cs="Arial"/>
          <w:sz w:val="21"/>
          <w:szCs w:val="21"/>
        </w:rPr>
        <w:t>e and the corresponding 95% CIs</w:t>
      </w:r>
      <w:r w:rsidRPr="00E13111">
        <w:rPr>
          <w:rFonts w:ascii="Arial" w:hAnsi="Arial" w:cs="Arial"/>
          <w:sz w:val="21"/>
          <w:szCs w:val="21"/>
        </w:rPr>
        <w:t xml:space="preserve">. </w:t>
      </w:r>
    </w:p>
    <w:p w14:paraId="69600659" w14:textId="77777777" w:rsidR="00E81D68" w:rsidRDefault="00E81D68" w:rsidP="00E81D68">
      <w:pPr>
        <w:rPr>
          <w:rFonts w:ascii="Arial" w:hAnsi="Arial" w:cs="Arial"/>
          <w:b/>
          <w:bCs/>
          <w:sz w:val="21"/>
          <w:szCs w:val="21"/>
        </w:rPr>
      </w:pPr>
    </w:p>
    <w:p w14:paraId="23E06897" w14:textId="77777777" w:rsidR="00E81D68" w:rsidRDefault="00E81D68" w:rsidP="00E81D68">
      <w:pPr>
        <w:spacing w:line="240" w:lineRule="auto"/>
        <w:contextualSpacing w:val="0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br w:type="page"/>
      </w:r>
    </w:p>
    <w:p w14:paraId="73191DAD" w14:textId="77777777" w:rsidR="00E81D68" w:rsidRDefault="00E81D68" w:rsidP="00E81D68">
      <w:pPr>
        <w:spacing w:line="240" w:lineRule="auto"/>
        <w:contextualSpacing w:val="0"/>
        <w:rPr>
          <w:rFonts w:ascii="Arial" w:hAnsi="Arial" w:cs="Arial"/>
          <w:sz w:val="21"/>
          <w:szCs w:val="21"/>
        </w:rPr>
      </w:pPr>
      <w:r w:rsidRPr="00550176">
        <w:rPr>
          <w:rFonts w:ascii="Arial" w:hAnsi="Arial" w:cs="Arial"/>
          <w:noProof/>
          <w:sz w:val="21"/>
          <w:szCs w:val="21"/>
        </w:rPr>
        <w:lastRenderedPageBreak/>
        <w:drawing>
          <wp:inline distT="0" distB="0" distL="0" distR="0" wp14:anchorId="2D5C3FF2" wp14:editId="470DF973">
            <wp:extent cx="5728335" cy="7637780"/>
            <wp:effectExtent l="0" t="0" r="0" b="0"/>
            <wp:docPr id="3151943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194315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28335" cy="763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4783A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Supplementary </w:t>
      </w:r>
      <w:r w:rsidRPr="00E13111">
        <w:rPr>
          <w:rFonts w:ascii="Arial" w:hAnsi="Arial" w:cs="Arial"/>
          <w:b/>
          <w:bCs/>
          <w:sz w:val="21"/>
          <w:szCs w:val="21"/>
        </w:rPr>
        <w:t xml:space="preserve">Figure </w:t>
      </w:r>
      <w:r>
        <w:rPr>
          <w:rFonts w:ascii="Arial" w:hAnsi="Arial" w:cs="Arial"/>
          <w:b/>
          <w:bCs/>
          <w:sz w:val="21"/>
          <w:szCs w:val="21"/>
        </w:rPr>
        <w:t>4</w:t>
      </w:r>
      <w:r w:rsidRPr="00E13111">
        <w:rPr>
          <w:rFonts w:ascii="Arial" w:hAnsi="Arial" w:cs="Arial"/>
          <w:b/>
          <w:bCs/>
          <w:sz w:val="21"/>
          <w:szCs w:val="21"/>
        </w:rPr>
        <w:t>:</w:t>
      </w:r>
      <w:r w:rsidRPr="00E13111">
        <w:rPr>
          <w:rFonts w:ascii="Arial" w:hAnsi="Arial" w:cs="Arial"/>
          <w:sz w:val="21"/>
          <w:szCs w:val="21"/>
        </w:rPr>
        <w:t xml:space="preserve"> Meta-analysis of antibiotic resistance prevalence in </w:t>
      </w:r>
      <w:r>
        <w:rPr>
          <w:rFonts w:ascii="Arial" w:hAnsi="Arial" w:cs="Arial"/>
          <w:sz w:val="21"/>
          <w:szCs w:val="21"/>
        </w:rPr>
        <w:t>EI</w:t>
      </w:r>
      <w:r w:rsidRPr="00E13111">
        <w:rPr>
          <w:rFonts w:ascii="Arial" w:hAnsi="Arial" w:cs="Arial"/>
          <w:sz w:val="21"/>
          <w:szCs w:val="21"/>
        </w:rPr>
        <w:t>EC.</w:t>
      </w:r>
    </w:p>
    <w:p w14:paraId="4BD4FEA5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 w:rsidRPr="00E13111">
        <w:rPr>
          <w:rFonts w:ascii="Arial" w:hAnsi="Arial" w:cs="Arial"/>
          <w:sz w:val="21"/>
          <w:szCs w:val="21"/>
        </w:rPr>
        <w:t xml:space="preserve">The figure presents a series of subplots, each corresponding to the prevalence of resistance to a specific antibiotic in </w:t>
      </w:r>
      <w:r>
        <w:rPr>
          <w:rFonts w:ascii="Arial" w:hAnsi="Arial" w:cs="Arial"/>
          <w:sz w:val="21"/>
          <w:szCs w:val="21"/>
        </w:rPr>
        <w:t>EI</w:t>
      </w:r>
      <w:r w:rsidRPr="00E13111">
        <w:rPr>
          <w:rFonts w:ascii="Arial" w:hAnsi="Arial" w:cs="Arial"/>
          <w:sz w:val="21"/>
          <w:szCs w:val="21"/>
        </w:rPr>
        <w:t>EC samples from various studies.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Each </w:t>
      </w:r>
      <w:r>
        <w:rPr>
          <w:rFonts w:ascii="Arial" w:hAnsi="Arial" w:cs="Arial"/>
          <w:sz w:val="21"/>
          <w:szCs w:val="21"/>
        </w:rPr>
        <w:t xml:space="preserve">blue </w:t>
      </w:r>
      <w:r w:rsidRPr="00E13111">
        <w:rPr>
          <w:rFonts w:ascii="Arial" w:hAnsi="Arial" w:cs="Arial"/>
          <w:sz w:val="21"/>
          <w:szCs w:val="21"/>
        </w:rPr>
        <w:t xml:space="preserve">dot represents the proportion of </w:t>
      </w:r>
      <w:r>
        <w:rPr>
          <w:rFonts w:ascii="Arial" w:hAnsi="Arial" w:cs="Arial"/>
          <w:sz w:val="21"/>
          <w:szCs w:val="21"/>
        </w:rPr>
        <w:t>isolates</w:t>
      </w:r>
      <w:r w:rsidRPr="00E13111">
        <w:rPr>
          <w:rFonts w:ascii="Arial" w:hAnsi="Arial" w:cs="Arial"/>
          <w:sz w:val="21"/>
          <w:szCs w:val="21"/>
        </w:rPr>
        <w:t xml:space="preserve"> showing resistance in a particular study. The horizontal position of the dot indicates the percentage of </w:t>
      </w:r>
      <w:r>
        <w:rPr>
          <w:rFonts w:ascii="Arial" w:hAnsi="Arial" w:cs="Arial"/>
          <w:sz w:val="21"/>
          <w:szCs w:val="21"/>
        </w:rPr>
        <w:t>resistant samples</w:t>
      </w:r>
      <w:r w:rsidRPr="00E13111">
        <w:rPr>
          <w:rFonts w:ascii="Arial" w:hAnsi="Arial" w:cs="Arial"/>
          <w:sz w:val="21"/>
          <w:szCs w:val="21"/>
        </w:rPr>
        <w:t xml:space="preserve">, while the dot's vertical position corresponds to a specific </w:t>
      </w:r>
      <w:r w:rsidRPr="00E13111">
        <w:rPr>
          <w:rFonts w:ascii="Arial" w:hAnsi="Arial" w:cs="Arial"/>
          <w:sz w:val="21"/>
          <w:szCs w:val="21"/>
        </w:rPr>
        <w:lastRenderedPageBreak/>
        <w:t>study.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>Horizontal lines extending from each dot represent the 95% confidence interval of the resistance proportion for that study.</w:t>
      </w:r>
      <w:r>
        <w:rPr>
          <w:rFonts w:ascii="Arial" w:hAnsi="Arial" w:cs="Arial"/>
          <w:sz w:val="21"/>
          <w:szCs w:val="21"/>
        </w:rPr>
        <w:t xml:space="preserve"> </w:t>
      </w:r>
      <w:r w:rsidRPr="006429AA">
        <w:rPr>
          <w:rFonts w:ascii="Arial" w:hAnsi="Arial" w:cs="Arial"/>
          <w:sz w:val="21"/>
          <w:szCs w:val="21"/>
        </w:rPr>
        <w:t>The red dot in the first position of each subplot represents the pooled estimate of the resistance rate from a random effects model</w:t>
      </w:r>
      <w:r w:rsidRPr="00E13111">
        <w:rPr>
          <w:rFonts w:ascii="Arial" w:hAnsi="Arial" w:cs="Arial"/>
          <w:sz w:val="21"/>
          <w:szCs w:val="21"/>
        </w:rPr>
        <w:t xml:space="preserve">. </w:t>
      </w:r>
      <w:r w:rsidRPr="006429AA">
        <w:rPr>
          <w:rFonts w:ascii="Arial" w:hAnsi="Arial" w:cs="Arial"/>
          <w:sz w:val="21"/>
          <w:szCs w:val="21"/>
        </w:rPr>
        <w:t>The horizontal lines connected to the red dot indicate the 95% CIs of the pooled estimate.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Beside each </w:t>
      </w:r>
      <w:r>
        <w:rPr>
          <w:rFonts w:ascii="Arial" w:hAnsi="Arial" w:cs="Arial"/>
          <w:sz w:val="21"/>
          <w:szCs w:val="21"/>
        </w:rPr>
        <w:t xml:space="preserve">pooled estimate </w:t>
      </w:r>
      <w:r w:rsidRPr="00E13111">
        <w:rPr>
          <w:rFonts w:ascii="Arial" w:hAnsi="Arial" w:cs="Arial"/>
          <w:sz w:val="21"/>
          <w:szCs w:val="21"/>
        </w:rPr>
        <w:t>dot is a label specifying the exact resistance percentag</w:t>
      </w:r>
      <w:r>
        <w:rPr>
          <w:rFonts w:ascii="Arial" w:hAnsi="Arial" w:cs="Arial"/>
          <w:sz w:val="21"/>
          <w:szCs w:val="21"/>
        </w:rPr>
        <w:t>e and the corresponding 95% CIs</w:t>
      </w:r>
      <w:r w:rsidRPr="00E13111">
        <w:rPr>
          <w:rFonts w:ascii="Arial" w:hAnsi="Arial" w:cs="Arial"/>
          <w:sz w:val="21"/>
          <w:szCs w:val="21"/>
        </w:rPr>
        <w:t xml:space="preserve">. </w:t>
      </w:r>
    </w:p>
    <w:p w14:paraId="4539D4E9" w14:textId="77777777" w:rsidR="00E81D68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br w:type="page"/>
      </w:r>
    </w:p>
    <w:p w14:paraId="56A9C7BC" w14:textId="77777777" w:rsidR="00E81D68" w:rsidRDefault="00E81D68" w:rsidP="00E81D68">
      <w:pPr>
        <w:rPr>
          <w:rFonts w:ascii="Arial" w:hAnsi="Arial" w:cs="Arial"/>
          <w:sz w:val="21"/>
          <w:szCs w:val="21"/>
        </w:rPr>
      </w:pPr>
      <w:r w:rsidRPr="00D05769">
        <w:rPr>
          <w:rFonts w:ascii="Arial" w:hAnsi="Arial" w:cs="Arial"/>
          <w:noProof/>
          <w:sz w:val="21"/>
          <w:szCs w:val="21"/>
        </w:rPr>
        <w:lastRenderedPageBreak/>
        <w:drawing>
          <wp:inline distT="0" distB="0" distL="0" distR="0" wp14:anchorId="7E277A64" wp14:editId="4B8F4D1B">
            <wp:extent cx="5728335" cy="7637780"/>
            <wp:effectExtent l="0" t="0" r="0" b="0"/>
            <wp:docPr id="20803625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362576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28335" cy="763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605003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Supplementary </w:t>
      </w:r>
      <w:r w:rsidRPr="00E13111">
        <w:rPr>
          <w:rFonts w:ascii="Arial" w:hAnsi="Arial" w:cs="Arial"/>
          <w:b/>
          <w:bCs/>
          <w:sz w:val="21"/>
          <w:szCs w:val="21"/>
        </w:rPr>
        <w:t xml:space="preserve">Figure </w:t>
      </w:r>
      <w:r>
        <w:rPr>
          <w:rFonts w:ascii="Arial" w:hAnsi="Arial" w:cs="Arial"/>
          <w:b/>
          <w:bCs/>
          <w:sz w:val="21"/>
          <w:szCs w:val="21"/>
        </w:rPr>
        <w:t>5</w:t>
      </w:r>
      <w:r w:rsidRPr="00E13111">
        <w:rPr>
          <w:rFonts w:ascii="Arial" w:hAnsi="Arial" w:cs="Arial"/>
          <w:b/>
          <w:bCs/>
          <w:sz w:val="21"/>
          <w:szCs w:val="21"/>
        </w:rPr>
        <w:t>:</w:t>
      </w:r>
      <w:r w:rsidRPr="00E13111">
        <w:rPr>
          <w:rFonts w:ascii="Arial" w:hAnsi="Arial" w:cs="Arial"/>
          <w:sz w:val="21"/>
          <w:szCs w:val="21"/>
        </w:rPr>
        <w:t xml:space="preserve"> Meta-analysis of antibiotic resistance prevalence in </w:t>
      </w:r>
      <w:r>
        <w:rPr>
          <w:rFonts w:ascii="Arial" w:hAnsi="Arial" w:cs="Arial"/>
          <w:sz w:val="21"/>
          <w:szCs w:val="21"/>
        </w:rPr>
        <w:t>EA</w:t>
      </w:r>
      <w:r w:rsidRPr="00E13111">
        <w:rPr>
          <w:rFonts w:ascii="Arial" w:hAnsi="Arial" w:cs="Arial"/>
          <w:sz w:val="21"/>
          <w:szCs w:val="21"/>
        </w:rPr>
        <w:t>EC.</w:t>
      </w:r>
    </w:p>
    <w:p w14:paraId="6BEA5F53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  <w:r w:rsidRPr="00E13111">
        <w:rPr>
          <w:rFonts w:ascii="Arial" w:hAnsi="Arial" w:cs="Arial"/>
          <w:sz w:val="21"/>
          <w:szCs w:val="21"/>
        </w:rPr>
        <w:t xml:space="preserve">The figure presents a series of subplots, each corresponding to the prevalence of resistance to a specific antibiotic in </w:t>
      </w:r>
      <w:r>
        <w:rPr>
          <w:rFonts w:ascii="Arial" w:hAnsi="Arial" w:cs="Arial"/>
          <w:sz w:val="21"/>
          <w:szCs w:val="21"/>
        </w:rPr>
        <w:t>EA</w:t>
      </w:r>
      <w:r w:rsidRPr="00E13111">
        <w:rPr>
          <w:rFonts w:ascii="Arial" w:hAnsi="Arial" w:cs="Arial"/>
          <w:sz w:val="21"/>
          <w:szCs w:val="21"/>
        </w:rPr>
        <w:t>EC samples from various studies.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Each </w:t>
      </w:r>
      <w:r>
        <w:rPr>
          <w:rFonts w:ascii="Arial" w:hAnsi="Arial" w:cs="Arial"/>
          <w:sz w:val="21"/>
          <w:szCs w:val="21"/>
        </w:rPr>
        <w:t xml:space="preserve">blue </w:t>
      </w:r>
      <w:r w:rsidRPr="00E13111">
        <w:rPr>
          <w:rFonts w:ascii="Arial" w:hAnsi="Arial" w:cs="Arial"/>
          <w:sz w:val="21"/>
          <w:szCs w:val="21"/>
        </w:rPr>
        <w:t xml:space="preserve">dot represents the proportion of </w:t>
      </w:r>
      <w:r>
        <w:rPr>
          <w:rFonts w:ascii="Arial" w:hAnsi="Arial" w:cs="Arial"/>
          <w:sz w:val="21"/>
          <w:szCs w:val="21"/>
        </w:rPr>
        <w:t>isolate</w:t>
      </w:r>
      <w:r w:rsidRPr="00E13111">
        <w:rPr>
          <w:rFonts w:ascii="Arial" w:hAnsi="Arial" w:cs="Arial"/>
          <w:sz w:val="21"/>
          <w:szCs w:val="21"/>
        </w:rPr>
        <w:t xml:space="preserve">s showing resistance in a particular study. The horizontal position of the dot indicates the percentage of samples that were resistant, while the dot's vertical position </w:t>
      </w:r>
      <w:r w:rsidRPr="00E13111">
        <w:rPr>
          <w:rFonts w:ascii="Arial" w:hAnsi="Arial" w:cs="Arial"/>
          <w:sz w:val="21"/>
          <w:szCs w:val="21"/>
        </w:rPr>
        <w:lastRenderedPageBreak/>
        <w:t>corresponds to a specific study.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>Horizontal lines extending from each dot represent the 95% confidence interval of the resistance proportion for that study.</w:t>
      </w:r>
      <w:r>
        <w:rPr>
          <w:rFonts w:ascii="Arial" w:hAnsi="Arial" w:cs="Arial"/>
          <w:sz w:val="21"/>
          <w:szCs w:val="21"/>
        </w:rPr>
        <w:t xml:space="preserve"> </w:t>
      </w:r>
      <w:r w:rsidRPr="006429AA">
        <w:rPr>
          <w:rFonts w:ascii="Arial" w:hAnsi="Arial" w:cs="Arial"/>
          <w:sz w:val="21"/>
          <w:szCs w:val="21"/>
        </w:rPr>
        <w:t>The red dot in the first position of each subplot represents the pooled estimate of the resistance rate from a random effects model</w:t>
      </w:r>
      <w:r w:rsidRPr="00E13111">
        <w:rPr>
          <w:rFonts w:ascii="Arial" w:hAnsi="Arial" w:cs="Arial"/>
          <w:sz w:val="21"/>
          <w:szCs w:val="21"/>
        </w:rPr>
        <w:t xml:space="preserve">. </w:t>
      </w:r>
      <w:r w:rsidRPr="006429AA">
        <w:rPr>
          <w:rFonts w:ascii="Arial" w:hAnsi="Arial" w:cs="Arial"/>
          <w:sz w:val="21"/>
          <w:szCs w:val="21"/>
        </w:rPr>
        <w:t>The horizontal lines connected to the red dot indicate the 95% CIs of the pooled estimate.</w:t>
      </w:r>
      <w:r>
        <w:rPr>
          <w:rFonts w:ascii="Arial" w:hAnsi="Arial" w:cs="Arial"/>
          <w:sz w:val="21"/>
          <w:szCs w:val="21"/>
        </w:rPr>
        <w:t xml:space="preserve"> </w:t>
      </w:r>
      <w:r w:rsidRPr="00E13111">
        <w:rPr>
          <w:rFonts w:ascii="Arial" w:hAnsi="Arial" w:cs="Arial"/>
          <w:sz w:val="21"/>
          <w:szCs w:val="21"/>
        </w:rPr>
        <w:t xml:space="preserve">Beside each </w:t>
      </w:r>
      <w:r>
        <w:rPr>
          <w:rFonts w:ascii="Arial" w:hAnsi="Arial" w:cs="Arial"/>
          <w:sz w:val="21"/>
          <w:szCs w:val="21"/>
        </w:rPr>
        <w:t xml:space="preserve">pooled estimate </w:t>
      </w:r>
      <w:r w:rsidRPr="00E13111">
        <w:rPr>
          <w:rFonts w:ascii="Arial" w:hAnsi="Arial" w:cs="Arial"/>
          <w:sz w:val="21"/>
          <w:szCs w:val="21"/>
        </w:rPr>
        <w:t>dot is a label specifying the exact resistance percentag</w:t>
      </w:r>
      <w:r>
        <w:rPr>
          <w:rFonts w:ascii="Arial" w:hAnsi="Arial" w:cs="Arial"/>
          <w:sz w:val="21"/>
          <w:szCs w:val="21"/>
        </w:rPr>
        <w:t>e and the corresponding 95% CIs</w:t>
      </w:r>
      <w:r w:rsidRPr="00E13111">
        <w:rPr>
          <w:rFonts w:ascii="Arial" w:hAnsi="Arial" w:cs="Arial"/>
          <w:sz w:val="21"/>
          <w:szCs w:val="21"/>
        </w:rPr>
        <w:t xml:space="preserve">. </w:t>
      </w:r>
    </w:p>
    <w:p w14:paraId="1957E3FF" w14:textId="77777777" w:rsidR="00E81D68" w:rsidRPr="00E13111" w:rsidRDefault="00E81D68" w:rsidP="00E81D68">
      <w:pPr>
        <w:rPr>
          <w:rFonts w:ascii="Arial" w:hAnsi="Arial" w:cs="Arial"/>
          <w:sz w:val="21"/>
          <w:szCs w:val="21"/>
        </w:rPr>
      </w:pPr>
    </w:p>
    <w:p w14:paraId="7CA65A00" w14:textId="77777777" w:rsidR="00417929" w:rsidRDefault="00417929"/>
    <w:sectPr w:rsidR="00417929" w:rsidSect="00E81D68">
      <w:pgSz w:w="11901" w:h="16817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9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D68"/>
    <w:rsid w:val="00004ED8"/>
    <w:rsid w:val="00010CED"/>
    <w:rsid w:val="00020922"/>
    <w:rsid w:val="000220EC"/>
    <w:rsid w:val="00023535"/>
    <w:rsid w:val="00040D41"/>
    <w:rsid w:val="00043B3E"/>
    <w:rsid w:val="000504F6"/>
    <w:rsid w:val="00051D1A"/>
    <w:rsid w:val="00060B0F"/>
    <w:rsid w:val="00062AA0"/>
    <w:rsid w:val="00065894"/>
    <w:rsid w:val="00076DB0"/>
    <w:rsid w:val="0008035E"/>
    <w:rsid w:val="00082C91"/>
    <w:rsid w:val="00083F4A"/>
    <w:rsid w:val="00084260"/>
    <w:rsid w:val="000B3748"/>
    <w:rsid w:val="000B6AE5"/>
    <w:rsid w:val="000C01E5"/>
    <w:rsid w:val="000C0284"/>
    <w:rsid w:val="000C0D93"/>
    <w:rsid w:val="000C2E7F"/>
    <w:rsid w:val="000C4839"/>
    <w:rsid w:val="000C664D"/>
    <w:rsid w:val="000F0381"/>
    <w:rsid w:val="000F4DF0"/>
    <w:rsid w:val="000F6A7B"/>
    <w:rsid w:val="000F6ADD"/>
    <w:rsid w:val="00105AB8"/>
    <w:rsid w:val="001075B2"/>
    <w:rsid w:val="0011102F"/>
    <w:rsid w:val="00133623"/>
    <w:rsid w:val="0014126F"/>
    <w:rsid w:val="0014792B"/>
    <w:rsid w:val="00185CA4"/>
    <w:rsid w:val="00193A15"/>
    <w:rsid w:val="001A186B"/>
    <w:rsid w:val="001D6A04"/>
    <w:rsid w:val="001E15F0"/>
    <w:rsid w:val="001E6BDD"/>
    <w:rsid w:val="001F7C6D"/>
    <w:rsid w:val="00200D18"/>
    <w:rsid w:val="0021080F"/>
    <w:rsid w:val="002349B2"/>
    <w:rsid w:val="002460E9"/>
    <w:rsid w:val="00253A75"/>
    <w:rsid w:val="002951A2"/>
    <w:rsid w:val="002B41B3"/>
    <w:rsid w:val="002B70D9"/>
    <w:rsid w:val="002C05CE"/>
    <w:rsid w:val="002D0FE9"/>
    <w:rsid w:val="002D526C"/>
    <w:rsid w:val="002D5EBC"/>
    <w:rsid w:val="002E0F11"/>
    <w:rsid w:val="003023EB"/>
    <w:rsid w:val="00317985"/>
    <w:rsid w:val="00320785"/>
    <w:rsid w:val="003256C6"/>
    <w:rsid w:val="00340DCF"/>
    <w:rsid w:val="00344120"/>
    <w:rsid w:val="00362A19"/>
    <w:rsid w:val="0037056F"/>
    <w:rsid w:val="003709E4"/>
    <w:rsid w:val="0038475B"/>
    <w:rsid w:val="003865E8"/>
    <w:rsid w:val="003A0D2D"/>
    <w:rsid w:val="003A5D71"/>
    <w:rsid w:val="003B1295"/>
    <w:rsid w:val="003B4B9E"/>
    <w:rsid w:val="003C0C64"/>
    <w:rsid w:val="003C3A32"/>
    <w:rsid w:val="003C6F96"/>
    <w:rsid w:val="003D5970"/>
    <w:rsid w:val="003D7A08"/>
    <w:rsid w:val="003E69CB"/>
    <w:rsid w:val="003F2728"/>
    <w:rsid w:val="003F7122"/>
    <w:rsid w:val="0040003A"/>
    <w:rsid w:val="00402288"/>
    <w:rsid w:val="00417929"/>
    <w:rsid w:val="00427D1E"/>
    <w:rsid w:val="004309F7"/>
    <w:rsid w:val="004340F7"/>
    <w:rsid w:val="00437681"/>
    <w:rsid w:val="00441B0D"/>
    <w:rsid w:val="00455B0C"/>
    <w:rsid w:val="004603D2"/>
    <w:rsid w:val="004645AA"/>
    <w:rsid w:val="00465EB1"/>
    <w:rsid w:val="0047149C"/>
    <w:rsid w:val="00477D3F"/>
    <w:rsid w:val="00477E67"/>
    <w:rsid w:val="004804BF"/>
    <w:rsid w:val="0049350B"/>
    <w:rsid w:val="00494587"/>
    <w:rsid w:val="004946A0"/>
    <w:rsid w:val="00497231"/>
    <w:rsid w:val="004B2005"/>
    <w:rsid w:val="004C041A"/>
    <w:rsid w:val="004D5201"/>
    <w:rsid w:val="004D6D91"/>
    <w:rsid w:val="005009CA"/>
    <w:rsid w:val="00505D35"/>
    <w:rsid w:val="00506EF4"/>
    <w:rsid w:val="00507C16"/>
    <w:rsid w:val="00515F7F"/>
    <w:rsid w:val="00517498"/>
    <w:rsid w:val="0053054C"/>
    <w:rsid w:val="00531F70"/>
    <w:rsid w:val="005558F8"/>
    <w:rsid w:val="00555AEB"/>
    <w:rsid w:val="00555D5F"/>
    <w:rsid w:val="00561988"/>
    <w:rsid w:val="00562A19"/>
    <w:rsid w:val="00575C46"/>
    <w:rsid w:val="00575D6E"/>
    <w:rsid w:val="005774EB"/>
    <w:rsid w:val="005942B7"/>
    <w:rsid w:val="0059493E"/>
    <w:rsid w:val="00595D4F"/>
    <w:rsid w:val="00596272"/>
    <w:rsid w:val="005B3455"/>
    <w:rsid w:val="005B64DB"/>
    <w:rsid w:val="005B6E08"/>
    <w:rsid w:val="005B71FA"/>
    <w:rsid w:val="005C1133"/>
    <w:rsid w:val="005C1765"/>
    <w:rsid w:val="005C6464"/>
    <w:rsid w:val="005C6E1A"/>
    <w:rsid w:val="005C71D5"/>
    <w:rsid w:val="005D3DAE"/>
    <w:rsid w:val="005F3623"/>
    <w:rsid w:val="0060009B"/>
    <w:rsid w:val="00600DD1"/>
    <w:rsid w:val="00601F90"/>
    <w:rsid w:val="00607E31"/>
    <w:rsid w:val="00624488"/>
    <w:rsid w:val="006305EF"/>
    <w:rsid w:val="00632D51"/>
    <w:rsid w:val="00634242"/>
    <w:rsid w:val="0063440A"/>
    <w:rsid w:val="00640A7D"/>
    <w:rsid w:val="006545C7"/>
    <w:rsid w:val="00654DF2"/>
    <w:rsid w:val="00655310"/>
    <w:rsid w:val="00657778"/>
    <w:rsid w:val="006721E1"/>
    <w:rsid w:val="00692471"/>
    <w:rsid w:val="006B4038"/>
    <w:rsid w:val="006C4C9B"/>
    <w:rsid w:val="006C5B05"/>
    <w:rsid w:val="006D2430"/>
    <w:rsid w:val="006E1D0D"/>
    <w:rsid w:val="006E7605"/>
    <w:rsid w:val="006F18DB"/>
    <w:rsid w:val="0073047F"/>
    <w:rsid w:val="00731B8E"/>
    <w:rsid w:val="00731D20"/>
    <w:rsid w:val="007321F0"/>
    <w:rsid w:val="0074440A"/>
    <w:rsid w:val="00744FCB"/>
    <w:rsid w:val="0075202E"/>
    <w:rsid w:val="00752A5C"/>
    <w:rsid w:val="0075537F"/>
    <w:rsid w:val="007564DB"/>
    <w:rsid w:val="00767CFC"/>
    <w:rsid w:val="007A3235"/>
    <w:rsid w:val="007B5FD3"/>
    <w:rsid w:val="007C6659"/>
    <w:rsid w:val="007E2D5C"/>
    <w:rsid w:val="007F3496"/>
    <w:rsid w:val="00804E54"/>
    <w:rsid w:val="008066C9"/>
    <w:rsid w:val="00810C7B"/>
    <w:rsid w:val="00813701"/>
    <w:rsid w:val="00813CC2"/>
    <w:rsid w:val="00832B7E"/>
    <w:rsid w:val="0084395B"/>
    <w:rsid w:val="00844AFB"/>
    <w:rsid w:val="00860E7D"/>
    <w:rsid w:val="00866B98"/>
    <w:rsid w:val="008764BF"/>
    <w:rsid w:val="00887A9A"/>
    <w:rsid w:val="00890C53"/>
    <w:rsid w:val="00892B9B"/>
    <w:rsid w:val="008A0282"/>
    <w:rsid w:val="008B3ABA"/>
    <w:rsid w:val="008C1784"/>
    <w:rsid w:val="008C5437"/>
    <w:rsid w:val="008E1220"/>
    <w:rsid w:val="008E3E30"/>
    <w:rsid w:val="008E41D1"/>
    <w:rsid w:val="008E4AA4"/>
    <w:rsid w:val="008E537C"/>
    <w:rsid w:val="008F370A"/>
    <w:rsid w:val="008F5532"/>
    <w:rsid w:val="00911005"/>
    <w:rsid w:val="00915934"/>
    <w:rsid w:val="00915F17"/>
    <w:rsid w:val="00920993"/>
    <w:rsid w:val="00927722"/>
    <w:rsid w:val="00932F15"/>
    <w:rsid w:val="0093382A"/>
    <w:rsid w:val="0094798F"/>
    <w:rsid w:val="0095176F"/>
    <w:rsid w:val="009600EE"/>
    <w:rsid w:val="009647A6"/>
    <w:rsid w:val="00965F2B"/>
    <w:rsid w:val="009702F4"/>
    <w:rsid w:val="009777FF"/>
    <w:rsid w:val="00986379"/>
    <w:rsid w:val="00995B43"/>
    <w:rsid w:val="009B48E0"/>
    <w:rsid w:val="009D07CA"/>
    <w:rsid w:val="009D5B82"/>
    <w:rsid w:val="009E1959"/>
    <w:rsid w:val="009E2FB6"/>
    <w:rsid w:val="009F6B25"/>
    <w:rsid w:val="00A031D5"/>
    <w:rsid w:val="00A077C8"/>
    <w:rsid w:val="00A14CC0"/>
    <w:rsid w:val="00A221AB"/>
    <w:rsid w:val="00A30356"/>
    <w:rsid w:val="00A41218"/>
    <w:rsid w:val="00A420BA"/>
    <w:rsid w:val="00A436E7"/>
    <w:rsid w:val="00A4700A"/>
    <w:rsid w:val="00A54D9B"/>
    <w:rsid w:val="00A72A74"/>
    <w:rsid w:val="00A7415A"/>
    <w:rsid w:val="00A86F17"/>
    <w:rsid w:val="00A87187"/>
    <w:rsid w:val="00A87463"/>
    <w:rsid w:val="00A90C05"/>
    <w:rsid w:val="00A90D37"/>
    <w:rsid w:val="00AC3993"/>
    <w:rsid w:val="00AD43E9"/>
    <w:rsid w:val="00AD61AC"/>
    <w:rsid w:val="00AE4DD0"/>
    <w:rsid w:val="00AF04EE"/>
    <w:rsid w:val="00AF7FAE"/>
    <w:rsid w:val="00B05F54"/>
    <w:rsid w:val="00B12CE4"/>
    <w:rsid w:val="00B13474"/>
    <w:rsid w:val="00B13618"/>
    <w:rsid w:val="00B22037"/>
    <w:rsid w:val="00B3293A"/>
    <w:rsid w:val="00B332B1"/>
    <w:rsid w:val="00B426A4"/>
    <w:rsid w:val="00B44E0E"/>
    <w:rsid w:val="00B45B8B"/>
    <w:rsid w:val="00B46DCF"/>
    <w:rsid w:val="00B555EC"/>
    <w:rsid w:val="00B62DEB"/>
    <w:rsid w:val="00B666BC"/>
    <w:rsid w:val="00B71F6A"/>
    <w:rsid w:val="00B80695"/>
    <w:rsid w:val="00B81072"/>
    <w:rsid w:val="00BA029F"/>
    <w:rsid w:val="00BA38CD"/>
    <w:rsid w:val="00BA3F61"/>
    <w:rsid w:val="00BB5C68"/>
    <w:rsid w:val="00BB6998"/>
    <w:rsid w:val="00BC20F7"/>
    <w:rsid w:val="00BC5E36"/>
    <w:rsid w:val="00BD2622"/>
    <w:rsid w:val="00BF1D76"/>
    <w:rsid w:val="00BF28CF"/>
    <w:rsid w:val="00C01E65"/>
    <w:rsid w:val="00C04E4A"/>
    <w:rsid w:val="00C07460"/>
    <w:rsid w:val="00C145EC"/>
    <w:rsid w:val="00C20155"/>
    <w:rsid w:val="00C206A6"/>
    <w:rsid w:val="00C241E6"/>
    <w:rsid w:val="00C3623C"/>
    <w:rsid w:val="00C5111D"/>
    <w:rsid w:val="00C51D9C"/>
    <w:rsid w:val="00C6184F"/>
    <w:rsid w:val="00C61E7A"/>
    <w:rsid w:val="00C62F0F"/>
    <w:rsid w:val="00C63EB9"/>
    <w:rsid w:val="00C64549"/>
    <w:rsid w:val="00C81810"/>
    <w:rsid w:val="00C86D69"/>
    <w:rsid w:val="00C95457"/>
    <w:rsid w:val="00C95D9D"/>
    <w:rsid w:val="00CB1446"/>
    <w:rsid w:val="00CB2F11"/>
    <w:rsid w:val="00CC0BE8"/>
    <w:rsid w:val="00CC27DA"/>
    <w:rsid w:val="00CD33F1"/>
    <w:rsid w:val="00CE0168"/>
    <w:rsid w:val="00CE79D3"/>
    <w:rsid w:val="00D01143"/>
    <w:rsid w:val="00D20EB8"/>
    <w:rsid w:val="00D21D54"/>
    <w:rsid w:val="00D22B72"/>
    <w:rsid w:val="00D22EC9"/>
    <w:rsid w:val="00D23D97"/>
    <w:rsid w:val="00D25F4B"/>
    <w:rsid w:val="00D275E3"/>
    <w:rsid w:val="00D35728"/>
    <w:rsid w:val="00D41881"/>
    <w:rsid w:val="00D44197"/>
    <w:rsid w:val="00D47F79"/>
    <w:rsid w:val="00D54122"/>
    <w:rsid w:val="00D61714"/>
    <w:rsid w:val="00D62F21"/>
    <w:rsid w:val="00D67314"/>
    <w:rsid w:val="00D76476"/>
    <w:rsid w:val="00D77555"/>
    <w:rsid w:val="00DA265D"/>
    <w:rsid w:val="00DA7DD4"/>
    <w:rsid w:val="00DB09FC"/>
    <w:rsid w:val="00DB3789"/>
    <w:rsid w:val="00DB44E7"/>
    <w:rsid w:val="00DB616D"/>
    <w:rsid w:val="00DD72A4"/>
    <w:rsid w:val="00DE6531"/>
    <w:rsid w:val="00DE7D6B"/>
    <w:rsid w:val="00DF4898"/>
    <w:rsid w:val="00DF5262"/>
    <w:rsid w:val="00E24E92"/>
    <w:rsid w:val="00E26CEE"/>
    <w:rsid w:val="00E3505B"/>
    <w:rsid w:val="00E3565D"/>
    <w:rsid w:val="00E62F2B"/>
    <w:rsid w:val="00E632D4"/>
    <w:rsid w:val="00E76028"/>
    <w:rsid w:val="00E76245"/>
    <w:rsid w:val="00E81D68"/>
    <w:rsid w:val="00E971C7"/>
    <w:rsid w:val="00E975CB"/>
    <w:rsid w:val="00EA37F5"/>
    <w:rsid w:val="00EB020A"/>
    <w:rsid w:val="00EB6509"/>
    <w:rsid w:val="00EF02FA"/>
    <w:rsid w:val="00EF2753"/>
    <w:rsid w:val="00F1079A"/>
    <w:rsid w:val="00F126C4"/>
    <w:rsid w:val="00F21986"/>
    <w:rsid w:val="00F2284C"/>
    <w:rsid w:val="00F23875"/>
    <w:rsid w:val="00F31CBA"/>
    <w:rsid w:val="00F3284E"/>
    <w:rsid w:val="00F37828"/>
    <w:rsid w:val="00F618C6"/>
    <w:rsid w:val="00F75346"/>
    <w:rsid w:val="00F931CD"/>
    <w:rsid w:val="00FA663C"/>
    <w:rsid w:val="00FB470B"/>
    <w:rsid w:val="00FB61BA"/>
    <w:rsid w:val="00FC37EE"/>
    <w:rsid w:val="00FF7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1CA69C"/>
  <w15:chartTrackingRefBased/>
  <w15:docId w15:val="{D5E61352-1EAF-8A42-BDB8-7A5A83548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Thesis"/>
    <w:qFormat/>
    <w:rsid w:val="00E81D68"/>
    <w:pPr>
      <w:spacing w:line="360" w:lineRule="auto"/>
      <w:contextualSpacing/>
    </w:pPr>
    <w:rPr>
      <w:rFonts w:ascii="Segoe UI" w:hAnsi="Segoe UI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663</Words>
  <Characters>4143</Characters>
  <Application>Microsoft Office Word</Application>
  <DocSecurity>0</DocSecurity>
  <Lines>59</Lines>
  <Paragraphs>13</Paragraphs>
  <ScaleCrop>false</ScaleCrop>
  <Company/>
  <LinksUpToDate>false</LinksUpToDate>
  <CharactersWithSpaces>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Ebenezer  Foster-Nyarko</cp:lastModifiedBy>
  <cp:revision>1</cp:revision>
  <dcterms:created xsi:type="dcterms:W3CDTF">2024-06-17T09:02:00Z</dcterms:created>
  <dcterms:modified xsi:type="dcterms:W3CDTF">2024-06-17T09:03:00Z</dcterms:modified>
</cp:coreProperties>
</file>