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AEEA62" w14:textId="77777777" w:rsidR="00A672D3" w:rsidRPr="00357100" w:rsidRDefault="00405646" w:rsidP="00357100">
      <w:pPr>
        <w:pStyle w:val="Title"/>
      </w:pPr>
      <w:bookmarkStart w:id="0" w:name="_GoBack"/>
      <w:bookmarkEnd w:id="0"/>
      <w:r w:rsidRPr="00357100">
        <w:t>Supplement C</w:t>
      </w:r>
      <w:r w:rsidR="00A672D3" w:rsidRPr="00357100">
        <w:t>:</w:t>
      </w:r>
    </w:p>
    <w:p w14:paraId="346277CF" w14:textId="77777777" w:rsidR="00A672D3" w:rsidRPr="00976A1E" w:rsidRDefault="00A672D3" w:rsidP="00924E26">
      <w:pPr>
        <w:pStyle w:val="Subtitle"/>
        <w:ind w:left="567"/>
      </w:pPr>
      <w:proofErr w:type="spellStart"/>
      <w:r w:rsidRPr="00976A1E">
        <w:t>Acta</w:t>
      </w:r>
      <w:proofErr w:type="spellEnd"/>
      <w:r w:rsidRPr="00976A1E">
        <w:t xml:space="preserve"> </w:t>
      </w:r>
      <w:proofErr w:type="spellStart"/>
      <w:r w:rsidRPr="00976A1E">
        <w:t>Geophysica</w:t>
      </w:r>
      <w:proofErr w:type="spellEnd"/>
    </w:p>
    <w:p w14:paraId="409B219B" w14:textId="77777777" w:rsidR="00A672D3" w:rsidRPr="00976A1E" w:rsidRDefault="00A672D3" w:rsidP="00924E26">
      <w:pPr>
        <w:pStyle w:val="Subtitle"/>
        <w:ind w:left="567"/>
      </w:pPr>
      <w:r>
        <w:t>Seismic Hazard Assessment in t</w:t>
      </w:r>
      <w:r w:rsidRPr="00976A1E">
        <w:t>he</w:t>
      </w:r>
      <w:r>
        <w:t xml:space="preserve"> Podhale Region, Poland - Zone a</w:t>
      </w:r>
      <w:r w:rsidRPr="00976A1E">
        <w:t>nd Zone-Free Approach</w:t>
      </w:r>
    </w:p>
    <w:p w14:paraId="1A65163F" w14:textId="77777777" w:rsidR="00A672D3" w:rsidRPr="00976A1E" w:rsidRDefault="00A672D3" w:rsidP="00924E26">
      <w:pPr>
        <w:pStyle w:val="Subtitle"/>
        <w:spacing w:after="0"/>
        <w:ind w:left="567"/>
        <w:rPr>
          <w:lang w:val="pl-PL"/>
        </w:rPr>
      </w:pPr>
      <w:r w:rsidRPr="00976A1E">
        <w:rPr>
          <w:lang w:val="pl-PL"/>
        </w:rPr>
        <w:t>Beata Plesiewicz</w:t>
      </w:r>
      <w:r w:rsidRPr="00976A1E">
        <w:rPr>
          <w:vertAlign w:val="superscript"/>
          <w:lang w:val="pl-PL"/>
        </w:rPr>
        <w:t>1</w:t>
      </w:r>
      <w:r w:rsidRPr="00976A1E">
        <w:rPr>
          <w:lang w:val="pl-PL"/>
        </w:rPr>
        <w:t>, Andrzej Kijko</w:t>
      </w:r>
      <w:r w:rsidRPr="00976A1E">
        <w:rPr>
          <w:vertAlign w:val="superscript"/>
          <w:lang w:val="pl-PL"/>
        </w:rPr>
        <w:t>2</w:t>
      </w:r>
      <w:r w:rsidRPr="00976A1E">
        <w:rPr>
          <w:lang w:val="pl-PL"/>
        </w:rPr>
        <w:t>, Jan Wiszniowski</w:t>
      </w:r>
      <w:r w:rsidRPr="00976A1E">
        <w:rPr>
          <w:vertAlign w:val="superscript"/>
          <w:lang w:val="pl-PL"/>
        </w:rPr>
        <w:t>1</w:t>
      </w:r>
      <w:r w:rsidRPr="00976A1E">
        <w:rPr>
          <w:lang w:val="pl-PL"/>
        </w:rPr>
        <w:t>(</w:t>
      </w:r>
      <w:hyperlink r:id="rId7" w:history="1">
        <w:r w:rsidRPr="00B37AC8">
          <w:rPr>
            <w:rStyle w:val="Hyperlink"/>
            <w:lang w:val="pl-PL"/>
          </w:rPr>
          <w:t>jwisz@igf.edu.pl</w:t>
        </w:r>
      </w:hyperlink>
      <w:r w:rsidRPr="00976A1E">
        <w:rPr>
          <w:lang w:val="pl-PL"/>
        </w:rPr>
        <w:t>)</w:t>
      </w:r>
      <w:r>
        <w:rPr>
          <w:lang w:val="pl-PL"/>
        </w:rPr>
        <w:t xml:space="preserve">, </w:t>
      </w:r>
      <w:r w:rsidRPr="00976A1E">
        <w:rPr>
          <w:lang w:val="pl-PL"/>
        </w:rPr>
        <w:t>Kamila Karkowska</w:t>
      </w:r>
      <w:r w:rsidRPr="00976A1E">
        <w:rPr>
          <w:vertAlign w:val="superscript"/>
          <w:lang w:val="pl-PL"/>
        </w:rPr>
        <w:t>3</w:t>
      </w:r>
    </w:p>
    <w:p w14:paraId="331327AF" w14:textId="77777777" w:rsidR="00A672D3" w:rsidRPr="00976A1E" w:rsidRDefault="00A672D3" w:rsidP="00924E26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1</w:t>
      </w:r>
      <w:r w:rsidRPr="00976A1E">
        <w:rPr>
          <w:szCs w:val="20"/>
        </w:rPr>
        <w:t>Institute of Geophysics Polish Academy of Sciences, Warsaw, Poland</w:t>
      </w:r>
    </w:p>
    <w:p w14:paraId="00E63247" w14:textId="77777777" w:rsidR="00A672D3" w:rsidRPr="00976A1E" w:rsidRDefault="00A672D3" w:rsidP="00924E26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2</w:t>
      </w:r>
      <w:r w:rsidRPr="00976A1E">
        <w:rPr>
          <w:szCs w:val="20"/>
        </w:rPr>
        <w:t>University of Pretoria Natural Hazard Centre, Pretoria, South Africa</w:t>
      </w:r>
    </w:p>
    <w:p w14:paraId="1A238F22" w14:textId="77777777" w:rsidR="00A672D3" w:rsidRPr="00976A1E" w:rsidRDefault="00A672D3" w:rsidP="00924E26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3</w:t>
      </w:r>
      <w:r w:rsidRPr="00976A1E">
        <w:rPr>
          <w:szCs w:val="20"/>
        </w:rPr>
        <w:t>Polish Geological Institute - National Research Institute, Warsaw, Poland</w:t>
      </w:r>
    </w:p>
    <w:p w14:paraId="6136CDD0" w14:textId="77777777" w:rsidR="001D42B8" w:rsidRPr="00A672D3" w:rsidRDefault="003C0F03" w:rsidP="00A672D3">
      <w:pPr>
        <w:pStyle w:val="Heading1"/>
      </w:pPr>
      <w:r w:rsidRPr="00A672D3">
        <w:t>The</w:t>
      </w:r>
      <w:r w:rsidR="001D4ADD" w:rsidRPr="00A672D3">
        <w:t xml:space="preserve"> PGA computed with Schenk’s GMPE</w:t>
      </w:r>
      <w:r w:rsidRPr="00A672D3">
        <w:t xml:space="preserve"> maps for Podhale</w:t>
      </w:r>
    </w:p>
    <w:p w14:paraId="0E828E54" w14:textId="77777777" w:rsidR="00A36D81" w:rsidRDefault="001D4ADD" w:rsidP="00A36D81">
      <w:pPr>
        <w:jc w:val="both"/>
        <w:rPr>
          <w:rStyle w:val="rynqvb"/>
          <w:lang w:val="en"/>
        </w:rPr>
      </w:pPr>
      <w:r>
        <w:t>For comparison of the individual treatment of the seismicity in the Podhale</w:t>
      </w:r>
      <w:r w:rsidR="003C0F03">
        <w:t>,</w:t>
      </w:r>
      <w:r>
        <w:t xml:space="preserve"> the maps of the PGA </w:t>
      </w:r>
      <w:r>
        <w:rPr>
          <w:rStyle w:val="rynqvb"/>
          <w:lang w:val="en"/>
        </w:rPr>
        <w:t>that will not be exceeded with a probability of 90% in 50, 105, and 527 years were calculated with the ground motion prediction equation by Schenk et al.</w:t>
      </w:r>
      <w:r w:rsidR="00034DFC">
        <w:rPr>
          <w:rStyle w:val="rynqvb"/>
          <w:lang w:val="en"/>
        </w:rPr>
        <w:t xml:space="preserve"> (2001)</w:t>
      </w:r>
    </w:p>
    <w:p w14:paraId="419ADB92" w14:textId="77777777" w:rsidR="00A36D81" w:rsidRPr="00E61249" w:rsidRDefault="00A36D81" w:rsidP="00A36D81">
      <w:pPr>
        <w:tabs>
          <w:tab w:val="left" w:pos="8505"/>
        </w:tabs>
        <w:ind w:firstLine="2694"/>
        <w:jc w:val="both"/>
      </w:pPr>
      <m:oMathPara>
        <m:oMath>
          <m:r>
            <m:rPr>
              <m:sty m:val="p"/>
            </m:rPr>
            <w:rPr>
              <w:rFonts w:ascii="Cambria Math" w:hAnsi="Cambria Math"/>
            </w:rPr>
            <m:t>ln</m:t>
          </m:r>
          <m:r>
            <w:rPr>
              <w:rFonts w:ascii="Cambria Math" w:hAnsi="Cambria Math"/>
            </w:rPr>
            <m:t>PGA=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m+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ln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hypo</m:t>
                  </m:r>
                </m:sub>
              </m:sSub>
              <m:r>
                <w:rPr>
                  <w:rFonts w:ascii="Cambria Math" w:hAnsi="Cambria Math"/>
                </w:rPr>
                <m:t>+d</m:t>
              </m:r>
            </m:e>
          </m:d>
          <m:r>
            <w:rPr>
              <w:rFonts w:ascii="Cambria Math" w:eastAsiaTheme="minorEastAsia" w:hAnsi="Cambria Math"/>
            </w:rPr>
            <m:t>,</m:t>
          </m:r>
        </m:oMath>
      </m:oMathPara>
    </w:p>
    <w:p w14:paraId="6CE64C93" w14:textId="77777777" w:rsidR="00A36D81" w:rsidRDefault="00A36D81" w:rsidP="00A36D81">
      <w:pPr>
        <w:jc w:val="both"/>
        <w:rPr>
          <w:rStyle w:val="rynqvb"/>
          <w:lang w:val="en"/>
        </w:rPr>
      </w:pPr>
      <w:proofErr w:type="gramStart"/>
      <w:r w:rsidRPr="00E61249">
        <w:t>where</w:t>
      </w:r>
      <w:proofErr w:type="gramEnd"/>
      <w:r w:rsidRPr="00E61249">
        <w:t xml:space="preserve"> </w:t>
      </w:r>
      <w:r w:rsidRPr="00E61249">
        <w:rPr>
          <w:i/>
          <w:iCs/>
        </w:rPr>
        <w:t>PGA</w:t>
      </w:r>
      <w:r w:rsidRPr="00E61249">
        <w:t xml:space="preserve"> is in cm/s</w:t>
      </w:r>
      <w:r w:rsidRPr="00E61249">
        <w:rPr>
          <w:vertAlign w:val="superscript"/>
        </w:rPr>
        <w:t>2</w:t>
      </w:r>
      <w:r w:rsidRPr="00E61249">
        <w:t xml:space="preserve">, </w:t>
      </w:r>
      <w:r w:rsidRPr="00E61249">
        <w:rPr>
          <w:i/>
          <w:iCs/>
        </w:rPr>
        <w:t>a</w:t>
      </w:r>
      <w:r w:rsidRPr="00E61249">
        <w:rPr>
          <w:vertAlign w:val="subscript"/>
        </w:rPr>
        <w:t>1</w:t>
      </w:r>
      <w:r>
        <w:t xml:space="preserve"> =  6.15 </w:t>
      </w:r>
      <w:r w:rsidRPr="00E61249">
        <w:rPr>
          <w:rFonts w:ascii="Symbol" w:hAnsi="Symbol"/>
        </w:rPr>
        <w:t></w:t>
      </w:r>
      <w:r>
        <w:rPr>
          <w:rFonts w:ascii="Symbol" w:hAnsi="Symbol"/>
        </w:rPr>
        <w:t></w:t>
      </w:r>
      <w:r w:rsidRPr="00E61249">
        <w:t xml:space="preserve">0.32, </w:t>
      </w:r>
      <w:r w:rsidRPr="00E61249">
        <w:rPr>
          <w:i/>
          <w:iCs/>
        </w:rPr>
        <w:t>a</w:t>
      </w:r>
      <w:r w:rsidRPr="00E61249">
        <w:rPr>
          <w:vertAlign w:val="subscript"/>
        </w:rPr>
        <w:t>2</w:t>
      </w:r>
      <w:r w:rsidRPr="00E61249">
        <w:t xml:space="preserve"> =  0.65</w:t>
      </w:r>
      <w:r>
        <w:t xml:space="preserve"> </w:t>
      </w:r>
      <w:r w:rsidRPr="00E61249">
        <w:rPr>
          <w:rFonts w:ascii="Symbol" w:hAnsi="Symbol"/>
        </w:rPr>
        <w:t></w:t>
      </w:r>
      <w:r>
        <w:rPr>
          <w:rFonts w:ascii="Symbol" w:hAnsi="Symbol"/>
        </w:rPr>
        <w:t></w:t>
      </w:r>
      <w:r w:rsidRPr="00E61249">
        <w:t xml:space="preserve">0.02, </w:t>
      </w:r>
      <w:r w:rsidRPr="00E61249">
        <w:rPr>
          <w:i/>
          <w:iCs/>
        </w:rPr>
        <w:t>a</w:t>
      </w:r>
      <w:r w:rsidRPr="00E61249">
        <w:rPr>
          <w:vertAlign w:val="subscript"/>
        </w:rPr>
        <w:t>3</w:t>
      </w:r>
      <w:r>
        <w:t xml:space="preserve"> =  -1.3 </w:t>
      </w:r>
      <w:r w:rsidRPr="00E61249">
        <w:rPr>
          <w:rFonts w:ascii="Symbol" w:hAnsi="Symbol"/>
        </w:rPr>
        <w:t></w:t>
      </w:r>
      <w:r>
        <w:rPr>
          <w:rFonts w:ascii="Symbol" w:hAnsi="Symbol"/>
        </w:rPr>
        <w:t></w:t>
      </w:r>
      <w:r w:rsidRPr="00E61249">
        <w:t xml:space="preserve">0.16, and </w:t>
      </w:r>
      <w:r w:rsidRPr="007C0356">
        <w:rPr>
          <w:i/>
        </w:rPr>
        <w:t>d</w:t>
      </w:r>
      <w:r w:rsidRPr="00E61249">
        <w:t xml:space="preserve"> = 17.  </w:t>
      </w:r>
    </w:p>
    <w:p w14:paraId="5A1489C1" w14:textId="77777777" w:rsidR="001A1899" w:rsidRDefault="00A36D81" w:rsidP="00A36D81">
      <w:pPr>
        <w:jc w:val="both"/>
        <w:rPr>
          <w:rStyle w:val="rynqvb"/>
          <w:lang w:val="en"/>
        </w:rPr>
      </w:pPr>
      <w:r w:rsidRPr="00A36D81">
        <w:rPr>
          <w:rStyle w:val="rynqvb"/>
          <w:lang w:val="en"/>
        </w:rPr>
        <w:t xml:space="preserve">The </w:t>
      </w:r>
      <w:r>
        <w:rPr>
          <w:rStyle w:val="rynqvb"/>
          <w:lang w:val="en"/>
        </w:rPr>
        <w:t xml:space="preserve">equation </w:t>
      </w:r>
      <w:r w:rsidRPr="00A36D81">
        <w:rPr>
          <w:rStyle w:val="rynqvb"/>
          <w:lang w:val="en"/>
        </w:rPr>
        <w:t xml:space="preserve">does not take into account </w:t>
      </w:r>
      <w:r w:rsidR="005E7C45">
        <w:rPr>
          <w:rStyle w:val="rynqvb"/>
          <w:lang w:val="en"/>
        </w:rPr>
        <w:t>ground effects. This equation does not depend on site parameters</w:t>
      </w:r>
      <w:r w:rsidRPr="00A36D81">
        <w:rPr>
          <w:rStyle w:val="rynqvb"/>
          <w:lang w:val="en"/>
        </w:rPr>
        <w:t xml:space="preserve">, while other GMPEs used in the article for Podhale in the logical tree </w:t>
      </w:r>
      <w:r w:rsidR="006F534B">
        <w:rPr>
          <w:rStyle w:val="rynqvb"/>
          <w:lang w:val="en"/>
        </w:rPr>
        <w:t>consider</w:t>
      </w:r>
      <w:r w:rsidRPr="00A36D81">
        <w:rPr>
          <w:rStyle w:val="rynqvb"/>
          <w:lang w:val="en"/>
        </w:rPr>
        <w:t xml:space="preserve"> the substrate, which in the case of Podhale should be classified as rock.</w:t>
      </w:r>
      <w:r w:rsidR="001D4ADD">
        <w:rPr>
          <w:rStyle w:val="rynqvb"/>
          <w:lang w:val="en"/>
        </w:rPr>
        <w:t xml:space="preserve"> </w:t>
      </w:r>
      <w:r>
        <w:rPr>
          <w:rStyle w:val="rynqvb"/>
          <w:lang w:val="en"/>
        </w:rPr>
        <w:t xml:space="preserve">As a result, the ground motions will be less than with softer ground. </w:t>
      </w:r>
      <w:r w:rsidR="006F534B">
        <w:rPr>
          <w:rStyle w:val="rynqvb"/>
          <w:lang w:val="en"/>
        </w:rPr>
        <w:t>The PGA values not exceeded with a probability of 90% in selected periods are</w:t>
      </w:r>
      <w:r w:rsidRPr="00A36D81">
        <w:rPr>
          <w:rStyle w:val="rynqvb"/>
          <w:lang w:val="en"/>
        </w:rPr>
        <w:t xml:space="preserve"> illustrated in Fig. S3, which shows </w:t>
      </w:r>
      <w:r w:rsidR="006F534B">
        <w:rPr>
          <w:rStyle w:val="rynqvb"/>
          <w:lang w:val="en"/>
        </w:rPr>
        <w:t>the PGA values would be much greater</w:t>
      </w:r>
      <w:r w:rsidRPr="00A36D81">
        <w:rPr>
          <w:rStyle w:val="rynqvb"/>
          <w:lang w:val="en"/>
        </w:rPr>
        <w:t xml:space="preserve"> if only the Schenk et al. (2001) equation w</w:t>
      </w:r>
      <w:r w:rsidR="006F534B">
        <w:rPr>
          <w:rStyle w:val="rynqvb"/>
          <w:lang w:val="en"/>
        </w:rPr>
        <w:t>ere</w:t>
      </w:r>
      <w:r w:rsidRPr="00A36D81">
        <w:rPr>
          <w:rStyle w:val="rynqvb"/>
          <w:lang w:val="en"/>
        </w:rPr>
        <w:t xml:space="preserve"> applied to </w:t>
      </w:r>
      <w:r w:rsidR="003C0F03">
        <w:rPr>
          <w:rStyle w:val="rynqvb"/>
          <w:lang w:val="en"/>
        </w:rPr>
        <w:t>this work-developed</w:t>
      </w:r>
      <w:r w:rsidRPr="00A36D81">
        <w:rPr>
          <w:rStyle w:val="rynqvb"/>
          <w:lang w:val="en"/>
        </w:rPr>
        <w:t xml:space="preserve"> seismicity</w:t>
      </w:r>
      <w:r w:rsidR="003C0F03">
        <w:rPr>
          <w:rStyle w:val="rynqvb"/>
          <w:lang w:val="en"/>
        </w:rPr>
        <w:t xml:space="preserve"> model</w:t>
      </w:r>
      <w:r w:rsidRPr="00A36D81">
        <w:rPr>
          <w:rStyle w:val="rynqvb"/>
          <w:lang w:val="en"/>
        </w:rPr>
        <w:t xml:space="preserve"> of Podhale.</w:t>
      </w:r>
      <w:r>
        <w:rPr>
          <w:rStyle w:val="rynqvb"/>
          <w:lang w:val="en"/>
        </w:rPr>
        <w:t xml:space="preserve"> The </w:t>
      </w:r>
      <w:r>
        <w:t xml:space="preserve">PGA values </w:t>
      </w:r>
      <w:r>
        <w:rPr>
          <w:rStyle w:val="rynqvb"/>
          <w:lang w:val="en"/>
        </w:rPr>
        <w:t xml:space="preserve">that will not be exceeded with a probability of 90% in 50, 105, and 527 years are significantly </w:t>
      </w:r>
      <w:r w:rsidR="006F534B">
        <w:rPr>
          <w:rStyle w:val="rynqvb"/>
          <w:lang w:val="en"/>
        </w:rPr>
        <w:t>mo</w:t>
      </w:r>
      <w:r w:rsidR="00F30B5F">
        <w:rPr>
          <w:rStyle w:val="rynqvb"/>
          <w:lang w:val="en"/>
        </w:rPr>
        <w:t>re</w:t>
      </w:r>
      <w:r w:rsidR="006F534B">
        <w:rPr>
          <w:rStyle w:val="rynqvb"/>
          <w:lang w:val="en"/>
        </w:rPr>
        <w:t xml:space="preserve"> extensive</w:t>
      </w:r>
      <w:r>
        <w:rPr>
          <w:rStyle w:val="rynqvb"/>
          <w:lang w:val="en"/>
        </w:rPr>
        <w:t xml:space="preserve"> than in Schenk hazards maps</w:t>
      </w:r>
      <w:r w:rsidR="003C0F03">
        <w:rPr>
          <w:rStyle w:val="rynqvb"/>
          <w:lang w:val="en"/>
        </w:rPr>
        <w:t>, both in the zonal and zone-free approach.</w:t>
      </w:r>
    </w:p>
    <w:p w14:paraId="60F58FBF" w14:textId="7CA24CA0" w:rsidR="001D4ADD" w:rsidRDefault="001D4ADD" w:rsidP="001A1899">
      <w:pPr>
        <w:jc w:val="center"/>
        <w:rPr>
          <w:rStyle w:val="rynqvb"/>
          <w:lang w:val="en"/>
        </w:rPr>
      </w:pPr>
    </w:p>
    <w:p w14:paraId="0D56197C" w14:textId="5228A72D" w:rsidR="006F34DD" w:rsidRDefault="006F34DD" w:rsidP="001A1899">
      <w:pPr>
        <w:jc w:val="center"/>
        <w:rPr>
          <w:rStyle w:val="rynqvb"/>
          <w:lang w:val="en"/>
        </w:rPr>
      </w:pPr>
      <w:r>
        <w:rPr>
          <w:rStyle w:val="rynqvb"/>
          <w:noProof/>
          <w:lang w:val="en-ZA" w:eastAsia="en-ZA"/>
        </w:rPr>
        <w:lastRenderedPageBreak/>
        <w:drawing>
          <wp:inline distT="0" distB="0" distL="0" distR="0" wp14:anchorId="07C8525F" wp14:editId="5FF4ECAE">
            <wp:extent cx="5960745" cy="5219065"/>
            <wp:effectExtent l="0" t="0" r="1905" b="63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745" cy="521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987C09" w14:textId="1292305D" w:rsidR="001A1899" w:rsidRPr="00203B33" w:rsidRDefault="001A1899" w:rsidP="00203B33">
      <w:pPr>
        <w:pStyle w:val="Caption"/>
        <w:jc w:val="both"/>
        <w:rPr>
          <w:rStyle w:val="xcontentpasted0"/>
        </w:rPr>
      </w:pPr>
      <w:r w:rsidRPr="00203B33">
        <w:t xml:space="preserve">Fig. S3 </w:t>
      </w:r>
      <w:r w:rsidR="006F34DD" w:rsidRPr="006F34DD">
        <w:rPr>
          <w:rStyle w:val="xcontentpasted0"/>
        </w:rPr>
        <w:t xml:space="preserve">PGA </w:t>
      </w:r>
      <w:r w:rsidR="006F34DD">
        <w:rPr>
          <w:rStyle w:val="xcontentpasted0"/>
        </w:rPr>
        <w:t xml:space="preserve">in </w:t>
      </w:r>
      <w:r w:rsidR="006F34DD" w:rsidRPr="007002F2">
        <w:rPr>
          <w:rStyle w:val="xcontentpasted0"/>
        </w:rPr>
        <w:t>Podhale</w:t>
      </w:r>
      <w:r w:rsidR="006F34DD" w:rsidRPr="006F34DD">
        <w:t xml:space="preserve"> </w:t>
      </w:r>
      <w:r w:rsidR="006F34DD" w:rsidRPr="006F34DD">
        <w:rPr>
          <w:rStyle w:val="xcontentpasted0"/>
        </w:rPr>
        <w:t>with a 90% probability of non-exceedance</w:t>
      </w:r>
      <w:r w:rsidRPr="007002F2">
        <w:rPr>
          <w:rStyle w:val="xcontentpasted0"/>
        </w:rPr>
        <w:t xml:space="preserve"> </w:t>
      </w:r>
      <w:proofErr w:type="spellStart"/>
      <w:r w:rsidR="003326FA" w:rsidRPr="008679AD">
        <w:t>calculated</w:t>
      </w:r>
      <w:r w:rsidR="003326FA">
        <w:t>by</w:t>
      </w:r>
      <w:proofErr w:type="spellEnd"/>
      <w:r w:rsidR="003326FA">
        <w:t xml:space="preserve"> </w:t>
      </w:r>
      <w:r w:rsidR="003326FA" w:rsidRPr="007002F2">
        <w:rPr>
          <w:rStyle w:val="xcontentpasted0"/>
        </w:rPr>
        <w:t>by Schenk</w:t>
      </w:r>
      <w:r w:rsidR="003326FA">
        <w:rPr>
          <w:rStyle w:val="xcontentpasted0"/>
        </w:rPr>
        <w:t>’s</w:t>
      </w:r>
      <w:r w:rsidR="003326FA" w:rsidRPr="007002F2">
        <w:rPr>
          <w:rStyle w:val="xcontentpasted0"/>
        </w:rPr>
        <w:t xml:space="preserve"> et al. (2001) </w:t>
      </w:r>
      <w:r w:rsidR="003326FA">
        <w:rPr>
          <w:rStyle w:val="xcontentpasted0"/>
        </w:rPr>
        <w:t>GMM</w:t>
      </w:r>
      <w:r w:rsidR="003326FA" w:rsidRPr="008679AD">
        <w:t xml:space="preserve"> for estimated </w:t>
      </w:r>
      <w:proofErr w:type="spellStart"/>
      <w:r w:rsidR="003326FA" w:rsidRPr="008679AD">
        <w:t>mmax</w:t>
      </w:r>
      <w:proofErr w:type="spellEnd"/>
      <w:r w:rsidR="003326FA" w:rsidRPr="008679AD">
        <w:t>=5.2 with the zone approach (a, d, and g), the smoothed seismicity  approach with</w:t>
      </w:r>
      <w:r w:rsidR="003326FA">
        <w:t xml:space="preserve"> magnitude-dependent kernel (SSM1) </w:t>
      </w:r>
      <w:r w:rsidR="003326FA" w:rsidRPr="008679AD">
        <w:t>( b, e, and h), and the smoothed seismicity  approach with magnitude-independent Gau</w:t>
      </w:r>
      <w:r w:rsidR="003326FA">
        <w:t xml:space="preserve">ssian kernel (SSM2) </w:t>
      </w:r>
      <w:r w:rsidR="003326FA" w:rsidRPr="008679AD">
        <w:t xml:space="preserve">( c, f, and </w:t>
      </w:r>
      <w:proofErr w:type="spellStart"/>
      <w:r w:rsidR="003326FA" w:rsidRPr="008679AD">
        <w:t>i</w:t>
      </w:r>
      <w:proofErr w:type="spellEnd"/>
      <w:r w:rsidR="003326FA" w:rsidRPr="008679AD">
        <w:t xml:space="preserve">) describing PGA with the 90% probability of non-exceedance within 50 years (a, b, and c) 105 years (d, e, and f), and 527 years (g, h, and </w:t>
      </w:r>
      <w:proofErr w:type="spellStart"/>
      <w:r w:rsidR="003326FA" w:rsidRPr="008679AD">
        <w:t>i</w:t>
      </w:r>
      <w:proofErr w:type="spellEnd"/>
      <w:r w:rsidR="003326FA" w:rsidRPr="008679AD">
        <w:t>).</w:t>
      </w:r>
    </w:p>
    <w:p w14:paraId="3AD82CC7" w14:textId="57519ADD" w:rsidR="003326FA" w:rsidRPr="006F350D" w:rsidRDefault="0020610C" w:rsidP="006F350D">
      <w:pPr>
        <w:pStyle w:val="Caption"/>
        <w:spacing w:before="120" w:line="276" w:lineRule="auto"/>
        <w:ind w:left="1418" w:right="475" w:hanging="851"/>
        <w:rPr>
          <w:rFonts w:cs="Times New Roman"/>
          <w:b/>
          <w:i w:val="0"/>
          <w:color w:val="auto"/>
          <w:sz w:val="20"/>
        </w:rPr>
      </w:pPr>
      <w:r>
        <w:rPr>
          <w:rFonts w:cs="Times New Roman"/>
          <w:b/>
          <w:i w:val="0"/>
          <w:color w:val="auto"/>
          <w:sz w:val="20"/>
        </w:rPr>
        <w:t>Tab.  S1</w:t>
      </w:r>
      <w:r w:rsidR="00750228">
        <w:rPr>
          <w:rFonts w:cs="Times New Roman"/>
          <w:b/>
          <w:i w:val="0"/>
          <w:color w:val="auto"/>
          <w:sz w:val="20"/>
        </w:rPr>
        <w:tab/>
      </w:r>
      <w:r w:rsidR="006B7879" w:rsidRPr="00750228">
        <w:rPr>
          <w:rFonts w:cs="Times New Roman"/>
          <w:b/>
          <w:i w:val="0"/>
          <w:color w:val="auto"/>
          <w:sz w:val="20"/>
        </w:rPr>
        <w:t xml:space="preserve">Max PGA with a 90% probability of non-exceedance within 50, 105, and </w:t>
      </w:r>
      <w:r w:rsidR="006E4616">
        <w:rPr>
          <w:rFonts w:cs="Times New Roman"/>
          <w:b/>
          <w:i w:val="0"/>
          <w:color w:val="auto"/>
          <w:sz w:val="20"/>
        </w:rPr>
        <w:t xml:space="preserve">527 years </w:t>
      </w:r>
      <w:r w:rsidR="006B7879" w:rsidRPr="00750228">
        <w:rPr>
          <w:rFonts w:cs="Times New Roman"/>
          <w:b/>
          <w:i w:val="0"/>
          <w:color w:val="auto"/>
          <w:sz w:val="20"/>
        </w:rPr>
        <w:t xml:space="preserve">for Schenk’s </w:t>
      </w:r>
      <w:r w:rsidR="003326FA">
        <w:rPr>
          <w:rFonts w:cs="Times New Roman"/>
          <w:b/>
          <w:i w:val="0"/>
          <w:color w:val="auto"/>
          <w:sz w:val="20"/>
        </w:rPr>
        <w:t>GMM</w:t>
      </w:r>
      <w:r w:rsidR="006E4616">
        <w:rPr>
          <w:rFonts w:cs="Times New Roman"/>
          <w:b/>
          <w:i w:val="0"/>
          <w:color w:val="auto"/>
          <w:sz w:val="20"/>
        </w:rPr>
        <w:t xml:space="preserve"> and </w:t>
      </w:r>
      <w:proofErr w:type="spellStart"/>
      <w:r w:rsidR="006E4616" w:rsidRPr="006E4616">
        <w:rPr>
          <w:rFonts w:cs="Times New Roman"/>
          <w:b/>
          <w:color w:val="auto"/>
          <w:sz w:val="20"/>
        </w:rPr>
        <w:t>m</w:t>
      </w:r>
      <w:r w:rsidR="006E4616" w:rsidRPr="006E4616">
        <w:rPr>
          <w:rFonts w:cs="Times New Roman"/>
          <w:b/>
          <w:color w:val="auto"/>
          <w:sz w:val="20"/>
          <w:vertAlign w:val="subscript"/>
        </w:rPr>
        <w:t>max</w:t>
      </w:r>
      <w:proofErr w:type="spellEnd"/>
      <w:r w:rsidR="006E4616">
        <w:rPr>
          <w:rFonts w:cs="Times New Roman"/>
          <w:b/>
          <w:i w:val="0"/>
          <w:color w:val="auto"/>
          <w:sz w:val="20"/>
        </w:rPr>
        <w:t xml:space="preserve"> = 5.2</w:t>
      </w:r>
      <w:r w:rsidR="00034DFC" w:rsidRPr="00750228">
        <w:rPr>
          <w:rFonts w:cs="Times New Roman"/>
          <w:b/>
          <w:i w:val="0"/>
          <w:color w:val="auto"/>
          <w:sz w:val="20"/>
        </w:rPr>
        <w:t>.</w:t>
      </w:r>
      <w:r w:rsidR="006E4616">
        <w:rPr>
          <w:rFonts w:cs="Times New Roman"/>
          <w:b/>
          <w:i w:val="0"/>
          <w:color w:val="auto"/>
          <w:sz w:val="20"/>
        </w:rPr>
        <w:t xml:space="preserve"> </w:t>
      </w:r>
      <w:r w:rsidR="006E4616" w:rsidRPr="006E4616">
        <w:rPr>
          <w:rFonts w:cs="Times New Roman"/>
          <w:b/>
          <w:i w:val="0"/>
          <w:color w:val="auto"/>
          <w:sz w:val="20"/>
        </w:rPr>
        <w:t xml:space="preserve">Values ​​for </w:t>
      </w:r>
      <w:r w:rsidR="009F4436">
        <w:rPr>
          <w:rFonts w:cs="Times New Roman"/>
          <w:b/>
          <w:i w:val="0"/>
          <w:color w:val="auto"/>
          <w:sz w:val="20"/>
        </w:rPr>
        <w:t xml:space="preserve">the </w:t>
      </w:r>
      <w:r w:rsidR="006E4616" w:rsidRPr="006E4616">
        <w:rPr>
          <w:rFonts w:cs="Times New Roman"/>
          <w:b/>
          <w:i w:val="0"/>
          <w:color w:val="auto"/>
          <w:sz w:val="20"/>
        </w:rPr>
        <w:t xml:space="preserve">GMM tree </w:t>
      </w:r>
      <w:r w:rsidR="000C42B7">
        <w:rPr>
          <w:rFonts w:cs="Times New Roman"/>
          <w:b/>
          <w:i w:val="0"/>
          <w:color w:val="auto"/>
          <w:sz w:val="20"/>
        </w:rPr>
        <w:t xml:space="preserve">(Tab. 6) are </w:t>
      </w:r>
      <w:r w:rsidR="006E4616" w:rsidRPr="006E4616">
        <w:rPr>
          <w:rFonts w:cs="Times New Roman"/>
          <w:b/>
          <w:i w:val="0"/>
          <w:color w:val="auto"/>
          <w:sz w:val="20"/>
        </w:rPr>
        <w:t>in brackets</w:t>
      </w:r>
    </w:p>
    <w:tbl>
      <w:tblPr>
        <w:tblStyle w:val="Tabela-Siatka1"/>
        <w:tblW w:w="0" w:type="auto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016"/>
        <w:gridCol w:w="1587"/>
        <w:gridCol w:w="1587"/>
        <w:gridCol w:w="1587"/>
      </w:tblGrid>
      <w:tr w:rsidR="003326FA" w:rsidRPr="000C6FF9" w14:paraId="06C44EC1" w14:textId="77777777" w:rsidTr="00B26B8F">
        <w:trPr>
          <w:trHeight w:val="453"/>
          <w:jc w:val="center"/>
        </w:trPr>
        <w:tc>
          <w:tcPr>
            <w:tcW w:w="0" w:type="auto"/>
            <w:vMerge w:val="restart"/>
            <w:vAlign w:val="center"/>
          </w:tcPr>
          <w:p w14:paraId="033F9145" w14:textId="77777777" w:rsidR="003326FA" w:rsidRPr="00D8500A" w:rsidRDefault="003326FA" w:rsidP="00B26B8F">
            <w:pPr>
              <w:spacing w:line="276" w:lineRule="auto"/>
              <w:rPr>
                <w:szCs w:val="18"/>
                <w:lang w:val="en-US"/>
              </w:rPr>
            </w:pPr>
            <w:r w:rsidRPr="005D7879">
              <w:rPr>
                <w:rStyle w:val="xcontentpasted0"/>
                <w:lang w:val="en-US"/>
              </w:rPr>
              <w:t>Spatial distribution map</w:t>
            </w:r>
          </w:p>
        </w:tc>
        <w:tc>
          <w:tcPr>
            <w:tcW w:w="0" w:type="auto"/>
            <w:gridSpan w:val="3"/>
            <w:vAlign w:val="center"/>
          </w:tcPr>
          <w:p w14:paraId="38B4AFAD" w14:textId="77777777" w:rsidR="003326FA" w:rsidRPr="003878EA" w:rsidRDefault="003326FA" w:rsidP="00B26B8F">
            <w:pPr>
              <w:spacing w:line="276" w:lineRule="auto"/>
              <w:rPr>
                <w:szCs w:val="18"/>
                <w:lang w:val="en-US"/>
              </w:rPr>
            </w:pPr>
            <w:r w:rsidRPr="003878EA">
              <w:rPr>
                <w:szCs w:val="18"/>
                <w:lang w:val="en-US"/>
              </w:rPr>
              <w:t xml:space="preserve">Max PGA with </w:t>
            </w:r>
            <w:r>
              <w:rPr>
                <w:szCs w:val="18"/>
                <w:lang w:val="en-US"/>
              </w:rPr>
              <w:t>a 90</w:t>
            </w:r>
            <w:r w:rsidRPr="003878EA">
              <w:rPr>
                <w:szCs w:val="18"/>
                <w:lang w:val="en-US"/>
              </w:rPr>
              <w:t xml:space="preserve">% probability of non-exceedance </w:t>
            </w:r>
            <w:r>
              <w:rPr>
                <w:szCs w:val="18"/>
                <w:lang w:val="en-US"/>
              </w:rPr>
              <w:t>[g]</w:t>
            </w:r>
          </w:p>
        </w:tc>
      </w:tr>
      <w:tr w:rsidR="003326FA" w:rsidRPr="000C6FF9" w14:paraId="52AAA97D" w14:textId="77777777" w:rsidTr="00B26B8F">
        <w:trPr>
          <w:trHeight w:val="453"/>
          <w:jc w:val="center"/>
        </w:trPr>
        <w:tc>
          <w:tcPr>
            <w:tcW w:w="0" w:type="auto"/>
            <w:vMerge/>
            <w:vAlign w:val="center"/>
          </w:tcPr>
          <w:p w14:paraId="21305AE3" w14:textId="77777777" w:rsidR="003326FA" w:rsidRPr="005D7879" w:rsidRDefault="003326FA" w:rsidP="00B26B8F">
            <w:pPr>
              <w:spacing w:line="276" w:lineRule="auto"/>
              <w:rPr>
                <w:rStyle w:val="xcontentpasted0"/>
                <w:lang w:val="en-US"/>
              </w:rPr>
            </w:pPr>
          </w:p>
        </w:tc>
        <w:tc>
          <w:tcPr>
            <w:tcW w:w="0" w:type="auto"/>
            <w:gridSpan w:val="3"/>
            <w:vAlign w:val="center"/>
          </w:tcPr>
          <w:p w14:paraId="571B7029" w14:textId="77777777" w:rsidR="003326FA" w:rsidRPr="003878EA" w:rsidRDefault="003326F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Years</w:t>
            </w:r>
          </w:p>
        </w:tc>
      </w:tr>
      <w:tr w:rsidR="003326FA" w:rsidRPr="000C6FF9" w14:paraId="112CB5B8" w14:textId="77777777" w:rsidTr="00B26B8F">
        <w:trPr>
          <w:trHeight w:val="453"/>
          <w:jc w:val="center"/>
        </w:trPr>
        <w:tc>
          <w:tcPr>
            <w:tcW w:w="0" w:type="auto"/>
            <w:vMerge/>
            <w:vAlign w:val="center"/>
          </w:tcPr>
          <w:p w14:paraId="7834FD05" w14:textId="77777777" w:rsidR="003326FA" w:rsidRPr="005D7879" w:rsidRDefault="003326FA" w:rsidP="00B26B8F">
            <w:pPr>
              <w:spacing w:line="276" w:lineRule="auto"/>
              <w:rPr>
                <w:rStyle w:val="xcontentpasted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3DB9624" w14:textId="77777777" w:rsidR="003326FA" w:rsidRPr="003878EA" w:rsidRDefault="003326F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50</w:t>
            </w:r>
          </w:p>
        </w:tc>
        <w:tc>
          <w:tcPr>
            <w:tcW w:w="0" w:type="auto"/>
            <w:vAlign w:val="center"/>
          </w:tcPr>
          <w:p w14:paraId="3A1B9727" w14:textId="77777777" w:rsidR="003326FA" w:rsidRPr="003878EA" w:rsidRDefault="003326F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105</w:t>
            </w:r>
          </w:p>
        </w:tc>
        <w:tc>
          <w:tcPr>
            <w:tcW w:w="0" w:type="auto"/>
            <w:vAlign w:val="center"/>
          </w:tcPr>
          <w:p w14:paraId="4F829639" w14:textId="77777777" w:rsidR="003326FA" w:rsidRPr="003878EA" w:rsidRDefault="003326F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527</w:t>
            </w:r>
          </w:p>
        </w:tc>
      </w:tr>
      <w:tr w:rsidR="003326FA" w:rsidRPr="004661B3" w14:paraId="7A689AE5" w14:textId="77777777" w:rsidTr="00B26B8F">
        <w:trPr>
          <w:jc w:val="center"/>
        </w:trPr>
        <w:tc>
          <w:tcPr>
            <w:tcW w:w="0" w:type="auto"/>
            <w:vAlign w:val="center"/>
          </w:tcPr>
          <w:p w14:paraId="7B441D58" w14:textId="77777777" w:rsidR="003326FA" w:rsidRPr="00D8500A" w:rsidRDefault="003326FA" w:rsidP="00B26B8F">
            <w:pPr>
              <w:spacing w:line="276" w:lineRule="auto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Zone model</w:t>
            </w:r>
          </w:p>
        </w:tc>
        <w:tc>
          <w:tcPr>
            <w:tcW w:w="0" w:type="auto"/>
            <w:vAlign w:val="center"/>
          </w:tcPr>
          <w:p w14:paraId="7F26C070" w14:textId="1D4AF184" w:rsidR="003326FA" w:rsidRPr="00D8500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0.18 </w:t>
            </w:r>
            <w:r w:rsidR="003326FA">
              <w:rPr>
                <w:szCs w:val="18"/>
                <w:lang w:val="en-US"/>
              </w:rPr>
              <w:t>(0.15)</w:t>
            </w:r>
          </w:p>
        </w:tc>
        <w:tc>
          <w:tcPr>
            <w:tcW w:w="0" w:type="auto"/>
            <w:vAlign w:val="center"/>
          </w:tcPr>
          <w:p w14:paraId="0CB1721D" w14:textId="4B9CBF1F" w:rsidR="003326F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0.22 </w:t>
            </w:r>
            <w:r w:rsidR="003326FA">
              <w:rPr>
                <w:szCs w:val="18"/>
                <w:lang w:val="en-US"/>
              </w:rPr>
              <w:t>(0.17</w:t>
            </w:r>
            <w:r w:rsidR="006F350D">
              <w:rPr>
                <w:szCs w:val="18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0E738BE5" w14:textId="575CD8CF" w:rsidR="003326F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0.30 </w:t>
            </w:r>
            <w:r w:rsidR="006F350D">
              <w:rPr>
                <w:szCs w:val="18"/>
                <w:lang w:val="en-US"/>
              </w:rPr>
              <w:t>(</w:t>
            </w:r>
            <w:r w:rsidR="003326FA">
              <w:rPr>
                <w:szCs w:val="18"/>
                <w:lang w:val="en-US"/>
              </w:rPr>
              <w:t>0.25</w:t>
            </w:r>
            <w:r w:rsidR="006F350D">
              <w:rPr>
                <w:szCs w:val="18"/>
                <w:lang w:val="en-US"/>
              </w:rPr>
              <w:t>)</w:t>
            </w:r>
          </w:p>
        </w:tc>
      </w:tr>
      <w:tr w:rsidR="003326FA" w:rsidRPr="004661B3" w14:paraId="4FC504C4" w14:textId="77777777" w:rsidTr="00B26B8F">
        <w:trPr>
          <w:jc w:val="center"/>
        </w:trPr>
        <w:tc>
          <w:tcPr>
            <w:tcW w:w="0" w:type="auto"/>
            <w:vAlign w:val="center"/>
          </w:tcPr>
          <w:p w14:paraId="1A0B32EA" w14:textId="7FCFFC27" w:rsidR="003326FA" w:rsidRPr="00D8500A" w:rsidRDefault="003326FA" w:rsidP="00B26B8F">
            <w:pPr>
              <w:spacing w:line="276" w:lineRule="auto"/>
              <w:rPr>
                <w:szCs w:val="18"/>
                <w:lang w:val="en-US"/>
              </w:rPr>
            </w:pPr>
            <w:r>
              <w:rPr>
                <w:lang w:val="en-US"/>
              </w:rPr>
              <w:t>SSM, magnitude-dependent  kernels</w:t>
            </w:r>
          </w:p>
        </w:tc>
        <w:tc>
          <w:tcPr>
            <w:tcW w:w="0" w:type="auto"/>
            <w:vAlign w:val="center"/>
          </w:tcPr>
          <w:p w14:paraId="3AACE7E4" w14:textId="49F9FAD8" w:rsidR="003326FA" w:rsidRPr="00D8500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0.21 </w:t>
            </w:r>
            <w:r w:rsidR="003326FA">
              <w:rPr>
                <w:szCs w:val="18"/>
                <w:lang w:val="en-US"/>
              </w:rPr>
              <w:t>(0.19)</w:t>
            </w:r>
          </w:p>
        </w:tc>
        <w:tc>
          <w:tcPr>
            <w:tcW w:w="0" w:type="auto"/>
            <w:vAlign w:val="center"/>
          </w:tcPr>
          <w:p w14:paraId="1648E81A" w14:textId="063B77EE" w:rsidR="003326F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0.25 </w:t>
            </w:r>
            <w:r w:rsidR="003326FA">
              <w:rPr>
                <w:szCs w:val="18"/>
                <w:lang w:val="en-US"/>
              </w:rPr>
              <w:t>(0.22</w:t>
            </w:r>
            <w:r w:rsidR="006F350D">
              <w:rPr>
                <w:szCs w:val="18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05FCF1DC" w14:textId="16191CF8" w:rsidR="003326FA" w:rsidRDefault="00C86F21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0.33 </w:t>
            </w:r>
            <w:r w:rsidR="006F350D">
              <w:rPr>
                <w:szCs w:val="18"/>
                <w:lang w:val="en-US"/>
              </w:rPr>
              <w:t>(</w:t>
            </w:r>
            <w:r w:rsidR="003326FA">
              <w:rPr>
                <w:szCs w:val="18"/>
                <w:lang w:val="en-US"/>
              </w:rPr>
              <w:t>0.30</w:t>
            </w:r>
            <w:r w:rsidR="006F350D">
              <w:rPr>
                <w:szCs w:val="18"/>
                <w:lang w:val="en-US"/>
              </w:rPr>
              <w:t>)</w:t>
            </w:r>
          </w:p>
        </w:tc>
      </w:tr>
      <w:tr w:rsidR="003326FA" w:rsidRPr="004661B3" w14:paraId="66216E26" w14:textId="77777777" w:rsidTr="00B26B8F">
        <w:trPr>
          <w:jc w:val="center"/>
        </w:trPr>
        <w:tc>
          <w:tcPr>
            <w:tcW w:w="0" w:type="auto"/>
            <w:vAlign w:val="center"/>
          </w:tcPr>
          <w:p w14:paraId="5454A759" w14:textId="77777777" w:rsidR="003326FA" w:rsidRDefault="003326FA" w:rsidP="00B26B8F">
            <w:pPr>
              <w:spacing w:line="276" w:lineRule="auto"/>
              <w:rPr>
                <w:szCs w:val="18"/>
                <w:lang w:val="en-US"/>
              </w:rPr>
            </w:pPr>
            <w:r>
              <w:rPr>
                <w:rStyle w:val="xcontentpasted0"/>
                <w:lang w:val="en-US"/>
              </w:rPr>
              <w:t xml:space="preserve">SSM, </w:t>
            </w:r>
            <w:r>
              <w:rPr>
                <w:lang w:val="en-US"/>
              </w:rPr>
              <w:t>magnitude-in</w:t>
            </w:r>
            <w:r w:rsidRPr="00E61249">
              <w:rPr>
                <w:lang w:val="en-US"/>
              </w:rPr>
              <w:t xml:space="preserve">dependent </w:t>
            </w:r>
            <w:r>
              <w:rPr>
                <w:lang w:val="en-US"/>
              </w:rPr>
              <w:t xml:space="preserve">Gaussian </w:t>
            </w:r>
            <w:r w:rsidRPr="00E61249">
              <w:rPr>
                <w:lang w:val="en-US"/>
              </w:rPr>
              <w:t>kernels</w:t>
            </w:r>
          </w:p>
        </w:tc>
        <w:tc>
          <w:tcPr>
            <w:tcW w:w="0" w:type="auto"/>
            <w:vAlign w:val="center"/>
          </w:tcPr>
          <w:p w14:paraId="4EA4DA7F" w14:textId="209AC23C" w:rsidR="003326FA" w:rsidRDefault="0029612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0.22</w:t>
            </w:r>
            <w:r w:rsidR="00C86F21">
              <w:rPr>
                <w:szCs w:val="18"/>
                <w:lang w:val="en-US"/>
              </w:rPr>
              <w:t xml:space="preserve"> </w:t>
            </w:r>
            <w:r w:rsidR="003326FA">
              <w:rPr>
                <w:szCs w:val="18"/>
                <w:lang w:val="en-US"/>
              </w:rPr>
              <w:t>(0.20)</w:t>
            </w:r>
          </w:p>
        </w:tc>
        <w:tc>
          <w:tcPr>
            <w:tcW w:w="0" w:type="auto"/>
            <w:vAlign w:val="center"/>
          </w:tcPr>
          <w:p w14:paraId="255F19D2" w14:textId="6C1A2A25" w:rsidR="003326FA" w:rsidRDefault="0029612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0.25 </w:t>
            </w:r>
            <w:r w:rsidR="003326FA">
              <w:rPr>
                <w:szCs w:val="18"/>
                <w:lang w:val="en-US"/>
              </w:rPr>
              <w:t>(0.23</w:t>
            </w:r>
            <w:r w:rsidR="00C86F21">
              <w:rPr>
                <w:szCs w:val="18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4C6E6568" w14:textId="42CFD00B" w:rsidR="003326FA" w:rsidRDefault="0029612A" w:rsidP="00B26B8F">
            <w:pPr>
              <w:spacing w:line="276" w:lineRule="auto"/>
              <w:jc w:val="center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0.33 </w:t>
            </w:r>
            <w:r w:rsidR="006F350D">
              <w:rPr>
                <w:szCs w:val="18"/>
                <w:lang w:val="en-US"/>
              </w:rPr>
              <w:t>(</w:t>
            </w:r>
            <w:r w:rsidR="003326FA">
              <w:rPr>
                <w:szCs w:val="18"/>
                <w:lang w:val="en-US"/>
              </w:rPr>
              <w:t>0.31</w:t>
            </w:r>
            <w:r w:rsidR="006F350D">
              <w:rPr>
                <w:szCs w:val="18"/>
                <w:lang w:val="en-US"/>
              </w:rPr>
              <w:t>)</w:t>
            </w:r>
          </w:p>
        </w:tc>
      </w:tr>
    </w:tbl>
    <w:p w14:paraId="1B57680E" w14:textId="77777777" w:rsidR="003326FA" w:rsidRDefault="003326FA" w:rsidP="00A672D3">
      <w:pPr>
        <w:pStyle w:val="Heading1"/>
      </w:pPr>
    </w:p>
    <w:p w14:paraId="50EE6183" w14:textId="77777777" w:rsidR="001A1899" w:rsidRPr="00AA3EBC" w:rsidRDefault="001A1899" w:rsidP="00A672D3">
      <w:pPr>
        <w:pStyle w:val="Heading1"/>
      </w:pPr>
      <w:r w:rsidRPr="00AA3EBC">
        <w:t>Reference</w:t>
      </w:r>
    </w:p>
    <w:p w14:paraId="641FBBE0" w14:textId="77777777" w:rsidR="001A1899" w:rsidRPr="00E61249" w:rsidRDefault="001A1899" w:rsidP="001A1899">
      <w:pPr>
        <w:spacing w:before="240" w:after="240" w:line="276" w:lineRule="auto"/>
      </w:pPr>
      <w:r w:rsidRPr="00E61249">
        <w:t xml:space="preserve">Schenk V, </w:t>
      </w:r>
      <w:proofErr w:type="spellStart"/>
      <w:r w:rsidRPr="00E61249">
        <w:t>Schenková</w:t>
      </w:r>
      <w:proofErr w:type="spellEnd"/>
      <w:r w:rsidRPr="00E61249">
        <w:t xml:space="preserve"> Z, </w:t>
      </w:r>
      <w:proofErr w:type="spellStart"/>
      <w:r w:rsidRPr="00E61249">
        <w:t>Kottnauer</w:t>
      </w:r>
      <w:proofErr w:type="spellEnd"/>
      <w:r w:rsidRPr="00E61249">
        <w:t xml:space="preserve"> P, </w:t>
      </w:r>
      <w:proofErr w:type="spellStart"/>
      <w:r w:rsidRPr="00E61249">
        <w:t>Guterch</w:t>
      </w:r>
      <w:proofErr w:type="spellEnd"/>
      <w:r w:rsidRPr="00E61249">
        <w:t xml:space="preserve"> B, </w:t>
      </w:r>
      <w:proofErr w:type="spellStart"/>
      <w:r w:rsidRPr="00E61249">
        <w:t>Labák</w:t>
      </w:r>
      <w:proofErr w:type="spellEnd"/>
      <w:r w:rsidRPr="00E61249">
        <w:t xml:space="preserve"> P (2001) </w:t>
      </w:r>
      <w:r w:rsidRPr="00E61249">
        <w:rPr>
          <w:iCs/>
        </w:rPr>
        <w:t>Earthquake hazard maps for the Czech Republic, Poland and Slovakia</w:t>
      </w:r>
      <w:r w:rsidRPr="00E61249">
        <w:t xml:space="preserve">. </w:t>
      </w:r>
      <w:proofErr w:type="spellStart"/>
      <w:r w:rsidRPr="00E61249">
        <w:rPr>
          <w:i/>
        </w:rPr>
        <w:t>Acta</w:t>
      </w:r>
      <w:proofErr w:type="spellEnd"/>
      <w:r w:rsidRPr="00E61249">
        <w:rPr>
          <w:i/>
        </w:rPr>
        <w:t xml:space="preserve"> </w:t>
      </w:r>
      <w:proofErr w:type="spellStart"/>
      <w:r w:rsidRPr="00E61249">
        <w:rPr>
          <w:i/>
        </w:rPr>
        <w:t>Geophysica</w:t>
      </w:r>
      <w:proofErr w:type="spellEnd"/>
      <w:r w:rsidRPr="00E61249">
        <w:rPr>
          <w:i/>
        </w:rPr>
        <w:t xml:space="preserve"> </w:t>
      </w:r>
      <w:proofErr w:type="spellStart"/>
      <w:r w:rsidRPr="00E61249">
        <w:rPr>
          <w:i/>
        </w:rPr>
        <w:t>Polonica</w:t>
      </w:r>
      <w:proofErr w:type="spellEnd"/>
      <w:r w:rsidRPr="00E61249">
        <w:t xml:space="preserve"> </w:t>
      </w:r>
      <w:r w:rsidRPr="007E0F16">
        <w:t>49</w:t>
      </w:r>
      <w:r w:rsidR="008D05A1">
        <w:t xml:space="preserve"> </w:t>
      </w:r>
      <w:r w:rsidRPr="00E61249">
        <w:t>(3): 287-302.</w:t>
      </w:r>
    </w:p>
    <w:p w14:paraId="30775FAF" w14:textId="77777777" w:rsidR="003C0F03" w:rsidRPr="001D4ADD" w:rsidRDefault="003C0F03" w:rsidP="00A36D81">
      <w:pPr>
        <w:jc w:val="both"/>
      </w:pPr>
    </w:p>
    <w:sectPr w:rsidR="003C0F03" w:rsidRPr="001D4A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91C89" w14:textId="77777777" w:rsidR="00A112CC" w:rsidRDefault="00A112CC" w:rsidP="00882255">
      <w:pPr>
        <w:spacing w:after="0" w:line="240" w:lineRule="auto"/>
      </w:pPr>
      <w:r>
        <w:separator/>
      </w:r>
    </w:p>
  </w:endnote>
  <w:endnote w:type="continuationSeparator" w:id="0">
    <w:p w14:paraId="7289314A" w14:textId="77777777" w:rsidR="00A112CC" w:rsidRDefault="00A112CC" w:rsidP="00882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B416F5" w14:textId="77777777" w:rsidR="00882255" w:rsidRDefault="0088225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C45F8C" w14:textId="77777777" w:rsidR="00882255" w:rsidRDefault="008822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43275A" w14:textId="77777777" w:rsidR="00882255" w:rsidRDefault="008822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148280" w14:textId="77777777" w:rsidR="00A112CC" w:rsidRDefault="00A112CC" w:rsidP="00882255">
      <w:pPr>
        <w:spacing w:after="0" w:line="240" w:lineRule="auto"/>
      </w:pPr>
      <w:r>
        <w:separator/>
      </w:r>
    </w:p>
  </w:footnote>
  <w:footnote w:type="continuationSeparator" w:id="0">
    <w:p w14:paraId="5E64EE38" w14:textId="77777777" w:rsidR="00A112CC" w:rsidRDefault="00A112CC" w:rsidP="008822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FBE0F" w14:textId="77777777" w:rsidR="00882255" w:rsidRDefault="0088225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17512" w14:textId="77777777" w:rsidR="00882255" w:rsidRDefault="0088225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69C028" w14:textId="77777777" w:rsidR="00882255" w:rsidRDefault="0088225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CyMLA0MDEzNgJS5ko6SsGpxcWZ+XkgBYYWtQDfXHLPLQAAAA=="/>
  </w:docVars>
  <w:rsids>
    <w:rsidRoot w:val="001D4ADD"/>
    <w:rsid w:val="00034DFC"/>
    <w:rsid w:val="0006199D"/>
    <w:rsid w:val="00082D63"/>
    <w:rsid w:val="000B438F"/>
    <w:rsid w:val="000C42B7"/>
    <w:rsid w:val="000F283B"/>
    <w:rsid w:val="001343BC"/>
    <w:rsid w:val="00145B8E"/>
    <w:rsid w:val="001A1899"/>
    <w:rsid w:val="001D42B8"/>
    <w:rsid w:val="001D4ADD"/>
    <w:rsid w:val="00203B33"/>
    <w:rsid w:val="0020610C"/>
    <w:rsid w:val="00215A2D"/>
    <w:rsid w:val="00250F10"/>
    <w:rsid w:val="0026715F"/>
    <w:rsid w:val="0029612A"/>
    <w:rsid w:val="002B1E0B"/>
    <w:rsid w:val="00317D32"/>
    <w:rsid w:val="003326FA"/>
    <w:rsid w:val="00357100"/>
    <w:rsid w:val="003864B5"/>
    <w:rsid w:val="003870AA"/>
    <w:rsid w:val="003C0F03"/>
    <w:rsid w:val="003C625E"/>
    <w:rsid w:val="003D659E"/>
    <w:rsid w:val="003E5740"/>
    <w:rsid w:val="00405646"/>
    <w:rsid w:val="004313EE"/>
    <w:rsid w:val="00501B21"/>
    <w:rsid w:val="005106EB"/>
    <w:rsid w:val="00544390"/>
    <w:rsid w:val="005518DD"/>
    <w:rsid w:val="00566154"/>
    <w:rsid w:val="0059617D"/>
    <w:rsid w:val="005E7C45"/>
    <w:rsid w:val="00610DC5"/>
    <w:rsid w:val="006524C2"/>
    <w:rsid w:val="006B7879"/>
    <w:rsid w:val="006E4616"/>
    <w:rsid w:val="006F34DD"/>
    <w:rsid w:val="006F350D"/>
    <w:rsid w:val="006F534B"/>
    <w:rsid w:val="007002F2"/>
    <w:rsid w:val="00702662"/>
    <w:rsid w:val="00750228"/>
    <w:rsid w:val="00882255"/>
    <w:rsid w:val="00892B45"/>
    <w:rsid w:val="008B4261"/>
    <w:rsid w:val="008D05A1"/>
    <w:rsid w:val="008D1FB5"/>
    <w:rsid w:val="00924E26"/>
    <w:rsid w:val="009521E5"/>
    <w:rsid w:val="009F4436"/>
    <w:rsid w:val="00A112CC"/>
    <w:rsid w:val="00A36D81"/>
    <w:rsid w:val="00A6594B"/>
    <w:rsid w:val="00A672D3"/>
    <w:rsid w:val="00A70FD2"/>
    <w:rsid w:val="00AA3EBC"/>
    <w:rsid w:val="00AE235E"/>
    <w:rsid w:val="00B83771"/>
    <w:rsid w:val="00BA2ABD"/>
    <w:rsid w:val="00C86F21"/>
    <w:rsid w:val="00CA2BCC"/>
    <w:rsid w:val="00D469E2"/>
    <w:rsid w:val="00D568FD"/>
    <w:rsid w:val="00DD4DDC"/>
    <w:rsid w:val="00EB23C5"/>
    <w:rsid w:val="00F30B5F"/>
    <w:rsid w:val="00F95FC2"/>
    <w:rsid w:val="00FD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064BF21"/>
  <w15:chartTrackingRefBased/>
  <w15:docId w15:val="{26AC9556-963E-4AEE-856D-45554B9ED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3B33"/>
    <w:pPr>
      <w:spacing w:line="360" w:lineRule="auto"/>
    </w:pPr>
    <w:rPr>
      <w:rFonts w:ascii="Times New Roman" w:hAnsi="Times New Roman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0F10"/>
    <w:pPr>
      <w:keepNext/>
      <w:keepLines/>
      <w:spacing w:before="240" w:after="0"/>
      <w:outlineLvl w:val="0"/>
    </w:pPr>
    <w:rPr>
      <w:rFonts w:eastAsiaTheme="majorEastAsia" w:cstheme="majorBid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A18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0F10"/>
    <w:rPr>
      <w:rFonts w:ascii="Times New Roman" w:eastAsiaTheme="majorEastAsia" w:hAnsi="Times New Roman" w:cstheme="majorBidi"/>
      <w:b/>
      <w:color w:val="2E74B5" w:themeColor="accent1" w:themeShade="BF"/>
      <w:sz w:val="28"/>
      <w:szCs w:val="32"/>
    </w:rPr>
  </w:style>
  <w:style w:type="character" w:customStyle="1" w:styleId="rynqvb">
    <w:name w:val="rynqvb"/>
    <w:basedOn w:val="DefaultParagraphFont"/>
    <w:rsid w:val="001D4ADD"/>
  </w:style>
  <w:style w:type="character" w:customStyle="1" w:styleId="Heading2Char">
    <w:name w:val="Heading 2 Char"/>
    <w:basedOn w:val="DefaultParagraphFont"/>
    <w:link w:val="Heading2"/>
    <w:uiPriority w:val="9"/>
    <w:rsid w:val="001A189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aption">
    <w:name w:val="caption"/>
    <w:basedOn w:val="Normal"/>
    <w:next w:val="Normal"/>
    <w:unhideWhenUsed/>
    <w:qFormat/>
    <w:rsid w:val="00203B33"/>
    <w:pPr>
      <w:spacing w:after="360" w:line="240" w:lineRule="auto"/>
    </w:pPr>
    <w:rPr>
      <w:i/>
      <w:iCs/>
      <w:color w:val="44546A" w:themeColor="text2"/>
      <w:sz w:val="18"/>
      <w:szCs w:val="18"/>
    </w:rPr>
  </w:style>
  <w:style w:type="character" w:customStyle="1" w:styleId="xcontentpasted0">
    <w:name w:val="x_contentpasted0"/>
    <w:basedOn w:val="DefaultParagraphFont"/>
    <w:rsid w:val="001A1899"/>
  </w:style>
  <w:style w:type="table" w:styleId="TableGrid">
    <w:name w:val="Table Grid"/>
    <w:basedOn w:val="TableNormal"/>
    <w:uiPriority w:val="59"/>
    <w:rsid w:val="006B7879"/>
    <w:pPr>
      <w:spacing w:after="0" w:line="240" w:lineRule="auto"/>
    </w:pPr>
    <w:rPr>
      <w:rFonts w:ascii="Calibri" w:eastAsia="SimSun" w:hAnsi="Calibri" w:cs="Times New Roman"/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82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2255"/>
  </w:style>
  <w:style w:type="paragraph" w:styleId="Footer">
    <w:name w:val="footer"/>
    <w:basedOn w:val="Normal"/>
    <w:link w:val="FooterChar"/>
    <w:uiPriority w:val="99"/>
    <w:unhideWhenUsed/>
    <w:rsid w:val="00882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2255"/>
  </w:style>
  <w:style w:type="character" w:styleId="Hyperlink">
    <w:name w:val="Hyperlink"/>
    <w:basedOn w:val="DefaultParagraphFont"/>
    <w:uiPriority w:val="99"/>
    <w:unhideWhenUsed/>
    <w:rsid w:val="00A672D3"/>
    <w:rPr>
      <w:color w:val="0000FF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2D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672D3"/>
    <w:rPr>
      <w:rFonts w:eastAsiaTheme="minorEastAsia"/>
      <w:color w:val="5A5A5A" w:themeColor="text1" w:themeTint="A5"/>
      <w:spacing w:val="15"/>
    </w:rPr>
  </w:style>
  <w:style w:type="paragraph" w:styleId="Title">
    <w:name w:val="Title"/>
    <w:basedOn w:val="Normal"/>
    <w:next w:val="Normal"/>
    <w:link w:val="TitleChar"/>
    <w:uiPriority w:val="10"/>
    <w:qFormat/>
    <w:rsid w:val="00357100"/>
    <w:pPr>
      <w:spacing w:after="240" w:line="240" w:lineRule="auto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7100"/>
    <w:rPr>
      <w:rFonts w:ascii="Times New Roman" w:eastAsiaTheme="majorEastAsia" w:hAnsi="Times New Roman" w:cstheme="majorBidi"/>
      <w:b/>
      <w:spacing w:val="-10"/>
      <w:kern w:val="28"/>
      <w:sz w:val="32"/>
      <w:szCs w:val="56"/>
    </w:rPr>
  </w:style>
  <w:style w:type="table" w:customStyle="1" w:styleId="Tabela-Siatka1">
    <w:name w:val="Tabela - Siatka1"/>
    <w:basedOn w:val="TableNormal"/>
    <w:next w:val="TableGrid"/>
    <w:uiPriority w:val="59"/>
    <w:rsid w:val="003326FA"/>
    <w:pPr>
      <w:spacing w:after="0" w:line="240" w:lineRule="auto"/>
    </w:pPr>
    <w:rPr>
      <w:rFonts w:ascii="Calibri" w:eastAsia="SimSun" w:hAnsi="Calibri" w:cs="Times New Roman"/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jwisz@igf.edu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3336E-9E92-41D7-8CF9-47FF32452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426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Plesiewicz;Jan Wiszniowski</dc:creator>
  <cp:keywords/>
  <dc:description/>
  <cp:lastModifiedBy>Miss. NNP Mazibuko</cp:lastModifiedBy>
  <cp:revision>2</cp:revision>
  <dcterms:created xsi:type="dcterms:W3CDTF">2025-02-18T07:54:00Z</dcterms:created>
  <dcterms:modified xsi:type="dcterms:W3CDTF">2025-02-18T07:54:00Z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66f960d37e3c8e9a6ec3079d35e8325d76e1519bc62689b640d32245a04d6edb</vt:lpwstr>
  </property>
</Properties>
</file>