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B642CC" w14:textId="07BE0079" w:rsidR="00C05DB6" w:rsidRDefault="0019435B" w:rsidP="00153E99">
      <w:pPr>
        <w:suppressLineNumbers/>
      </w:pPr>
      <w:bookmarkStart w:id="0" w:name="_GoBack"/>
      <w:bookmarkEnd w:id="0"/>
      <w:r>
        <w:rPr>
          <w:noProof/>
          <w:lang w:eastAsia="en-ZA"/>
        </w:rPr>
        <w:drawing>
          <wp:anchor distT="0" distB="0" distL="114300" distR="114300" simplePos="0" relativeHeight="251658240" behindDoc="1" locked="0" layoutInCell="1" allowOverlap="1" wp14:anchorId="535FC083" wp14:editId="6E6394A9">
            <wp:simplePos x="0" y="0"/>
            <wp:positionH relativeFrom="margin">
              <wp:align>center</wp:align>
            </wp:positionH>
            <wp:positionV relativeFrom="paragraph">
              <wp:posOffset>337185</wp:posOffset>
            </wp:positionV>
            <wp:extent cx="6527165" cy="1790196"/>
            <wp:effectExtent l="0" t="0" r="6985" b="635"/>
            <wp:wrapTight wrapText="bothSides">
              <wp:wrapPolygon edited="0">
                <wp:start x="0" y="0"/>
                <wp:lineTo x="0" y="21378"/>
                <wp:lineTo x="21560" y="21378"/>
                <wp:lineTo x="21560" y="0"/>
                <wp:lineTo x="0" y="0"/>
              </wp:wrapPolygon>
            </wp:wrapTight>
            <wp:docPr id="9854627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7165" cy="17901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FE8500" w14:textId="036A3281" w:rsidR="003D29DB" w:rsidRPr="006849BE" w:rsidRDefault="002D3E9D" w:rsidP="003D29DB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b/>
          <w:bCs/>
          <w:sz w:val="20"/>
          <w:szCs w:val="20"/>
        </w:rPr>
        <w:t>Supplementary Figure 4</w:t>
      </w:r>
      <w:r w:rsidR="003D29DB" w:rsidRPr="006849BE">
        <w:rPr>
          <w:rFonts w:ascii="Georgia" w:hAnsi="Georgia"/>
          <w:b/>
          <w:bCs/>
          <w:sz w:val="20"/>
          <w:szCs w:val="20"/>
        </w:rPr>
        <w:t xml:space="preserve">. Predicted protein structures of the amino acid sequences encoded by the PcinCRN95 alleles using </w:t>
      </w:r>
      <w:r w:rsidR="001133AA" w:rsidRPr="006849BE">
        <w:rPr>
          <w:rFonts w:ascii="Georgia" w:hAnsi="Georgia"/>
          <w:b/>
          <w:bCs/>
          <w:sz w:val="20"/>
          <w:szCs w:val="20"/>
        </w:rPr>
        <w:t>AlphaFold</w:t>
      </w:r>
      <w:r w:rsidR="003D29DB" w:rsidRPr="006849BE">
        <w:rPr>
          <w:rFonts w:ascii="Georgia" w:hAnsi="Georgia"/>
          <w:b/>
          <w:bCs/>
          <w:sz w:val="20"/>
          <w:szCs w:val="20"/>
        </w:rPr>
        <w:t xml:space="preserve">. </w:t>
      </w:r>
      <w:r w:rsidR="001133AA" w:rsidRPr="006849BE">
        <w:rPr>
          <w:rFonts w:ascii="Georgia" w:hAnsi="Georgia" w:cs="Segoe UI"/>
          <w:sz w:val="20"/>
          <w:szCs w:val="20"/>
        </w:rPr>
        <w:t>AlphaFold</w:t>
      </w:r>
      <w:r w:rsidR="001133AA" w:rsidRPr="006849BE">
        <w:rPr>
          <w:rFonts w:ascii="Georgia" w:hAnsi="Georgia" w:cs="Segoe UI"/>
          <w:b/>
          <w:bCs/>
          <w:sz w:val="20"/>
          <w:szCs w:val="20"/>
        </w:rPr>
        <w:t xml:space="preserve"> </w:t>
      </w:r>
      <w:r w:rsidR="006849BE" w:rsidRPr="006849BE">
        <w:rPr>
          <w:rFonts w:ascii="Georgia" w:hAnsi="Georgia" w:cs="Segoe UI"/>
          <w:sz w:val="20"/>
          <w:szCs w:val="20"/>
          <w:lang w:val="en-US"/>
        </w:rPr>
        <w:t>(28, 29)</w:t>
      </w:r>
      <w:r w:rsidR="001133AA" w:rsidRPr="006849BE">
        <w:rPr>
          <w:rFonts w:ascii="Georgia" w:hAnsi="Georgia" w:cs="Segoe UI"/>
          <w:sz w:val="20"/>
          <w:szCs w:val="20"/>
          <w:lang w:val="en-US"/>
        </w:rPr>
        <w:t xml:space="preserve"> </w:t>
      </w:r>
      <w:r w:rsidR="001133AA" w:rsidRPr="006849BE">
        <w:rPr>
          <w:rFonts w:ascii="Georgia" w:hAnsi="Georgia" w:cs="Segoe UI"/>
          <w:sz w:val="20"/>
          <w:szCs w:val="20"/>
        </w:rPr>
        <w:t xml:space="preserve">was used to predict the tertiary structure of </w:t>
      </w:r>
      <w:r w:rsidR="001133AA" w:rsidRPr="006849BE">
        <w:rPr>
          <w:rFonts w:ascii="Georgia" w:hAnsi="Georgia" w:cs="Segoe UI"/>
          <w:i/>
          <w:iCs/>
          <w:sz w:val="20"/>
          <w:szCs w:val="20"/>
        </w:rPr>
        <w:t xml:space="preserve">Phytophthora cinnamomi </w:t>
      </w:r>
      <w:r w:rsidR="001133AA" w:rsidRPr="006849BE">
        <w:rPr>
          <w:rFonts w:ascii="Georgia" w:hAnsi="Georgia" w:cs="Segoe UI"/>
          <w:sz w:val="20"/>
          <w:szCs w:val="20"/>
        </w:rPr>
        <w:t xml:space="preserve">crinkling and necrosis effector protein </w:t>
      </w:r>
      <w:r w:rsidR="006849BE" w:rsidRPr="006849BE">
        <w:rPr>
          <w:rFonts w:ascii="Georgia" w:hAnsi="Georgia" w:cs="Segoe UI"/>
          <w:sz w:val="20"/>
          <w:szCs w:val="20"/>
        </w:rPr>
        <w:t>95</w:t>
      </w:r>
      <w:r w:rsidR="001133AA" w:rsidRPr="006849BE">
        <w:rPr>
          <w:rFonts w:ascii="Georgia" w:hAnsi="Georgia" w:cs="Segoe UI"/>
          <w:sz w:val="20"/>
          <w:szCs w:val="20"/>
        </w:rPr>
        <w:t xml:space="preserve"> (PcinCRN</w:t>
      </w:r>
      <w:r w:rsidR="006849BE" w:rsidRPr="006849BE">
        <w:rPr>
          <w:rFonts w:ascii="Georgia" w:hAnsi="Georgia" w:cs="Segoe UI"/>
          <w:sz w:val="20"/>
          <w:szCs w:val="20"/>
        </w:rPr>
        <w:t>95</w:t>
      </w:r>
      <w:r w:rsidR="001133AA" w:rsidRPr="006849BE">
        <w:rPr>
          <w:rFonts w:ascii="Georgia" w:hAnsi="Georgia" w:cs="Segoe UI"/>
          <w:sz w:val="20"/>
          <w:szCs w:val="20"/>
        </w:rPr>
        <w:t xml:space="preserve">). On a scale from 0 to 100, AlphaFold generated a per-residue confidence metric titled predicted local distance difference test (pLDDT). </w:t>
      </w:r>
      <w:r w:rsidR="002B4661" w:rsidRPr="006849BE">
        <w:rPr>
          <w:rFonts w:ascii="Georgia" w:hAnsi="Georgia"/>
          <w:sz w:val="20"/>
          <w:szCs w:val="20"/>
        </w:rPr>
        <w:t xml:space="preserve">Protein structure of PcinCRN95_1 </w:t>
      </w:r>
      <w:r w:rsidR="002B4661" w:rsidRPr="006849BE">
        <w:rPr>
          <w:rFonts w:ascii="Georgia" w:hAnsi="Georgia" w:cs="Segoe UI"/>
          <w:sz w:val="20"/>
          <w:szCs w:val="20"/>
        </w:rPr>
        <w:t xml:space="preserve">(pLDDT = 84.27) </w:t>
      </w:r>
      <w:r w:rsidR="002B4661" w:rsidRPr="006849BE">
        <w:rPr>
          <w:rFonts w:ascii="Georgia" w:hAnsi="Georgia"/>
          <w:sz w:val="20"/>
          <w:szCs w:val="20"/>
        </w:rPr>
        <w:t xml:space="preserve">and PcinCRN95_2 </w:t>
      </w:r>
      <w:r w:rsidR="002B4661" w:rsidRPr="006849BE">
        <w:rPr>
          <w:rFonts w:ascii="Georgia" w:hAnsi="Georgia" w:cs="Segoe UI"/>
          <w:sz w:val="20"/>
          <w:szCs w:val="20"/>
        </w:rPr>
        <w:t>(pLDDT = 84.89)</w:t>
      </w:r>
      <w:r w:rsidR="002B4661">
        <w:rPr>
          <w:rFonts w:ascii="Georgia" w:hAnsi="Georgia" w:cs="Segoe UI"/>
          <w:sz w:val="20"/>
          <w:szCs w:val="20"/>
        </w:rPr>
        <w:t xml:space="preserve"> showed no obvious change in tertiary protein folding between them</w:t>
      </w:r>
      <w:r w:rsidR="002B4661" w:rsidRPr="006849BE">
        <w:rPr>
          <w:rFonts w:ascii="Georgia" w:hAnsi="Georgia"/>
          <w:sz w:val="20"/>
          <w:szCs w:val="20"/>
        </w:rPr>
        <w:t xml:space="preserve">. </w:t>
      </w:r>
      <w:r w:rsidR="001133AA" w:rsidRPr="006849BE">
        <w:rPr>
          <w:rFonts w:ascii="Georgia" w:hAnsi="Georgia" w:cs="Segoe UI"/>
          <w:sz w:val="20"/>
          <w:szCs w:val="20"/>
        </w:rPr>
        <w:t xml:space="preserve">A high pLDDT score (&gt; 80) indicates high confidence in the structure of the residue, whereas a low pLDDT score (&lt; 50) may indicate that the residues are in intrinsically disordered protein regions. The predicted tertiary structures were visualised in PyMOL v2.5.5 (Schrödinger, LLC). </w:t>
      </w:r>
      <w:r w:rsidR="00CC049C" w:rsidRPr="006849BE">
        <w:rPr>
          <w:rFonts w:ascii="Georgia" w:hAnsi="Georgia"/>
          <w:sz w:val="20"/>
          <w:szCs w:val="20"/>
        </w:rPr>
        <w:t>Green labelled structures represent the N-terminal up until the HVLVXXP motif. Red labelled structures represent the C-terminal.</w:t>
      </w:r>
      <w:r w:rsidR="00CC049C">
        <w:rPr>
          <w:rFonts w:ascii="Georgia" w:hAnsi="Georgia"/>
          <w:sz w:val="20"/>
          <w:szCs w:val="20"/>
        </w:rPr>
        <w:t xml:space="preserve"> </w:t>
      </w:r>
    </w:p>
    <w:p w14:paraId="74CCFE74" w14:textId="5CAEE186" w:rsidR="0019435B" w:rsidRPr="0019435B" w:rsidRDefault="0019435B" w:rsidP="003D29DB">
      <w:pPr>
        <w:suppressLineNumbers/>
      </w:pPr>
    </w:p>
    <w:sectPr w:rsidR="0019435B" w:rsidRPr="0019435B" w:rsidSect="00AF6328">
      <w:pgSz w:w="11906" w:h="16838"/>
      <w:pgMar w:top="1134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Layout" w:val="&lt;ENLayout&gt;&lt;Style&gt;Vancouver BCM Genomic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29zf95d9wtwzr3eva0p5wzvrxv5x5ds52fee&quot;&gt;My EndNote Libraryg&lt;record-ids&gt;&lt;item&gt;487&lt;/item&gt;&lt;item&gt;488&lt;/item&gt;&lt;/record-ids&gt;&lt;/item&gt;&lt;/Libraries&gt;"/>
  </w:docVars>
  <w:rsids>
    <w:rsidRoot w:val="00406FC7"/>
    <w:rsid w:val="001133AA"/>
    <w:rsid w:val="00153E99"/>
    <w:rsid w:val="0019435B"/>
    <w:rsid w:val="002174BD"/>
    <w:rsid w:val="002B4661"/>
    <w:rsid w:val="002D3E9D"/>
    <w:rsid w:val="003D29DB"/>
    <w:rsid w:val="00406FC7"/>
    <w:rsid w:val="00546F9B"/>
    <w:rsid w:val="00594AE6"/>
    <w:rsid w:val="0059514E"/>
    <w:rsid w:val="006849BE"/>
    <w:rsid w:val="00694E1E"/>
    <w:rsid w:val="007B099B"/>
    <w:rsid w:val="007D05DB"/>
    <w:rsid w:val="0084774C"/>
    <w:rsid w:val="00883B79"/>
    <w:rsid w:val="008918B3"/>
    <w:rsid w:val="008F34BD"/>
    <w:rsid w:val="00930CAA"/>
    <w:rsid w:val="00A26D54"/>
    <w:rsid w:val="00AF6328"/>
    <w:rsid w:val="00C05DB6"/>
    <w:rsid w:val="00C8713B"/>
    <w:rsid w:val="00CB3084"/>
    <w:rsid w:val="00CC0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A21B81"/>
  <w15:chartTrackingRefBased/>
  <w15:docId w15:val="{82D6B903-8F83-424A-8D3A-B0DCB597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6FC7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406FC7"/>
  </w:style>
  <w:style w:type="table" w:styleId="TableGrid">
    <w:name w:val="Table Grid"/>
    <w:basedOn w:val="TableNormal"/>
    <w:uiPriority w:val="39"/>
    <w:rsid w:val="008F34B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94E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4E1E"/>
    <w:pPr>
      <w:spacing w:before="120" w:after="240" w:line="240" w:lineRule="auto"/>
    </w:pPr>
    <w:rPr>
      <w:rFonts w:ascii="Times New Roman" w:hAnsi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94E1E"/>
    <w:rPr>
      <w:rFonts w:ascii="Times New Roman" w:hAnsi="Times New Roman"/>
      <w:kern w:val="0"/>
      <w:sz w:val="20"/>
      <w:szCs w:val="20"/>
      <w:lang w:val="en-US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1133AA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133AA"/>
    <w:rPr>
      <w:rFonts w:ascii="Calibri" w:hAnsi="Calibri" w:cs="Calibri"/>
      <w:noProof/>
      <w:kern w:val="0"/>
      <w:lang w:val="en-US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1133A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133AA"/>
    <w:rPr>
      <w:rFonts w:ascii="Calibri" w:hAnsi="Calibri" w:cs="Calibri"/>
      <w:noProof/>
      <w:kern w:val="0"/>
      <w:lang w:val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4661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4661"/>
    <w:rPr>
      <w:rFonts w:ascii="Times New Roman" w:hAnsi="Times New Roman" w:cs="Times New Roman"/>
      <w:kern w:val="0"/>
      <w:sz w:val="18"/>
      <w:szCs w:val="18"/>
      <w14:ligatures w14:val="none"/>
    </w:rPr>
  </w:style>
  <w:style w:type="paragraph" w:styleId="Revision">
    <w:name w:val="Revision"/>
    <w:hidden/>
    <w:uiPriority w:val="99"/>
    <w:semiHidden/>
    <w:rsid w:val="00A26D54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CB941C-924F-497D-A93A-033C42103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Alexis Midgley</dc:creator>
  <cp:keywords/>
  <dc:description/>
  <cp:lastModifiedBy>Miss. NNP Mazibuko</cp:lastModifiedBy>
  <cp:revision>2</cp:revision>
  <dcterms:created xsi:type="dcterms:W3CDTF">2024-08-07T09:16:00Z</dcterms:created>
  <dcterms:modified xsi:type="dcterms:W3CDTF">2024-08-07T09:16:00Z</dcterms:modified>
</cp:coreProperties>
</file>