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20DC0" w:rsidRDefault="002433DE">
      <w:pPr>
        <w:pStyle w:val="Title"/>
      </w:pPr>
      <w:bookmarkStart w:id="0" w:name="_yaha2hdjcntx" w:colFirst="0" w:colLast="0"/>
      <w:bookmarkStart w:id="1" w:name="_GoBack"/>
      <w:bookmarkEnd w:id="0"/>
      <w:bookmarkEnd w:id="1"/>
      <w:r>
        <w:t>Pollinating fig wasps’ simple solutions to complex sex ratio problems: a review</w:t>
      </w:r>
    </w:p>
    <w:p w:rsidR="00520DC0" w:rsidRDefault="00520DC0"/>
    <w:p w:rsidR="00520DC0" w:rsidRDefault="00520DC0"/>
    <w:p w:rsidR="00520DC0" w:rsidRDefault="002433DE">
      <w:pPr>
        <w:rPr>
          <w:vertAlign w:val="superscript"/>
        </w:rPr>
      </w:pPr>
      <w:r>
        <w:t>Jaco M. Greeff</w:t>
      </w:r>
      <w:r>
        <w:rPr>
          <w:vertAlign w:val="superscript"/>
        </w:rPr>
        <w:t>1,*</w:t>
      </w:r>
      <w:r>
        <w:t xml:space="preserve"> &amp; Finn Kjellberg</w:t>
      </w:r>
      <w:r>
        <w:rPr>
          <w:vertAlign w:val="superscript"/>
        </w:rPr>
        <w:t>2</w:t>
      </w:r>
    </w:p>
    <w:p w:rsidR="0014484A" w:rsidRDefault="0014484A" w:rsidP="0014484A">
      <w:r>
        <w:rPr>
          <w:vertAlign w:val="superscript"/>
        </w:rPr>
        <w:t>1</w:t>
      </w:r>
      <w:r>
        <w:t>Department of Biochemistry, Genetics and Microbiology, University of Pretoria, Pretoria, South Africa</w:t>
      </w:r>
    </w:p>
    <w:p w:rsidR="0014484A" w:rsidRPr="001F77E4" w:rsidRDefault="0014484A" w:rsidP="0014484A">
      <w:r>
        <w:rPr>
          <w:vertAlign w:val="superscript"/>
        </w:rPr>
        <w:t>2</w:t>
      </w:r>
      <w:r>
        <w:t>CEFE, CNRS, Univ</w:t>
      </w:r>
      <w:r w:rsidR="00506F3A">
        <w:t xml:space="preserve"> </w:t>
      </w:r>
      <w:r>
        <w:t xml:space="preserve">Montpellier, EPHE, IRD, </w:t>
      </w:r>
    </w:p>
    <w:p w:rsidR="0014484A" w:rsidRDefault="0014484A" w:rsidP="0014484A"/>
    <w:p w:rsidR="0014484A" w:rsidRDefault="0014484A" w:rsidP="0014484A">
      <w:r>
        <w:t>* Correspondence:</w:t>
      </w:r>
    </w:p>
    <w:p w:rsidR="0014484A" w:rsidRDefault="0014484A" w:rsidP="0014484A">
      <w:r>
        <w:t>Jaco M. Greeff</w:t>
      </w:r>
    </w:p>
    <w:p w:rsidR="0014484A" w:rsidRDefault="0014484A" w:rsidP="0014484A">
      <w:r>
        <w:t>jaco.greeff@up.ac.za</w:t>
      </w:r>
    </w:p>
    <w:p w:rsidR="0014484A" w:rsidRDefault="0014484A" w:rsidP="0014484A"/>
    <w:p w:rsidR="00520DC0" w:rsidRDefault="002433DE">
      <w:pPr>
        <w:pStyle w:val="Heading1"/>
      </w:pPr>
      <w:bookmarkStart w:id="2" w:name="_n9lrdtiqtvg1" w:colFirst="0" w:colLast="0"/>
      <w:bookmarkEnd w:id="2"/>
      <w:r>
        <w:t xml:space="preserve">Supplementary </w:t>
      </w:r>
      <w:r w:rsidR="0087578E">
        <w:t>Text</w:t>
      </w:r>
    </w:p>
    <w:p w:rsidR="00520DC0" w:rsidRDefault="002433DE">
      <w:pPr>
        <w:pStyle w:val="Heading2"/>
      </w:pPr>
      <w:bookmarkStart w:id="3" w:name="_nt2urvedlbay" w:colFirst="0" w:colLast="0"/>
      <w:bookmarkEnd w:id="3"/>
      <w:r>
        <w:t>Methods</w:t>
      </w:r>
    </w:p>
    <w:p w:rsidR="00520DC0" w:rsidRDefault="002433DE">
      <w:r>
        <w:t>The source and method of data extraction for data presented in Figs. 4, 8</w:t>
      </w:r>
      <w:r w:rsidR="009355A7">
        <w:t>, 9</w:t>
      </w:r>
      <w:r>
        <w:t xml:space="preserve"> and 10 are given in supplementary files. The most accurate estimates of sex ratios, number of sons and daughters were made given the available material. When data were presented in tables or in the text, these were used. </w:t>
      </w:r>
      <w:r w:rsidR="00745B71">
        <w:t>If not given, n</w:t>
      </w:r>
      <w:r>
        <w:t xml:space="preserve">umbers of sons were calculated by multiplying the mean sex ratios with mean clutch sizes. When data were only presented in figures, the authors were emailed to ask for the specific estimates. Failing this, figures were scanned and digitized using Plot Digitizer </w:t>
      </w:r>
      <w:r w:rsidR="0014484A">
        <w:fldChar w:fldCharType="begin"/>
      </w:r>
      <w:r w:rsidR="0014484A">
        <w:instrText xml:space="preserve"> ADDIN ZOTERO_ITEM CSL_CITATION {"citationID":"fPCgJdbX","properties":{"formattedCitation":"[1]","plainCitation":"[1]","noteIndex":0},"citationItems":[{"id":14640,"uris":["http://zotero.org/groups/2649668/items/4NWIWCUE"],"uri":["http://zotero.org/groups/2649668/items/4NWIWCUE"],"itemData":{"id":14640,"type":"book","title":"PlotDigitizer","URL":"http://plotdigitizer.sourceforge.net","version":"2.6.8","author":[{"family":"Huwaldt","given":"J A"}],"issued":{"date-parts":[["2015"]]}}}],"schema":"https://github.com/citation-style-language/schema/raw/master/csl-citation.json"} </w:instrText>
      </w:r>
      <w:r w:rsidR="0014484A">
        <w:fldChar w:fldCharType="separate"/>
      </w:r>
      <w:r w:rsidR="0014484A" w:rsidRPr="0014484A">
        <w:t>[1]</w:t>
      </w:r>
      <w:r w:rsidR="0014484A">
        <w:fldChar w:fldCharType="end"/>
      </w:r>
      <w:r>
        <w:t xml:space="preserve">. Data were considered when it was based on 3 or more figs, when broods were more than 30 eggs large, and when sex ratios were unconstrained. Data were recorded for up to 5 foundresses. </w:t>
      </w:r>
    </w:p>
    <w:p w:rsidR="00520DC0" w:rsidRDefault="002433DE">
      <w:r>
        <w:tab/>
        <w:t xml:space="preserve">We preferred estimates of the inbreeding coefficient that were based on molecular data. This was typically presented as an </w:t>
      </w:r>
      <w:r>
        <w:rPr>
          <w:i/>
        </w:rPr>
        <w:t>F</w:t>
      </w:r>
      <w:r>
        <w:rPr>
          <w:vertAlign w:val="subscript"/>
        </w:rPr>
        <w:t>IS</w:t>
      </w:r>
      <w:r>
        <w:t xml:space="preserve"> or were calculated as </w:t>
      </w:r>
      <w:r>
        <w:rPr>
          <w:i/>
        </w:rPr>
        <w:t>F</w:t>
      </w:r>
      <w:r>
        <w:t xml:space="preserve"> = (</w:t>
      </w:r>
      <w:r>
        <w:rPr>
          <w:i/>
        </w:rPr>
        <w:t>H</w:t>
      </w:r>
      <w:r>
        <w:rPr>
          <w:vertAlign w:val="subscript"/>
        </w:rPr>
        <w:t>e</w:t>
      </w:r>
      <w:r>
        <w:t xml:space="preserve"> - </w:t>
      </w:r>
      <w:r>
        <w:rPr>
          <w:i/>
        </w:rPr>
        <w:t>H</w:t>
      </w:r>
      <w:r>
        <w:rPr>
          <w:vertAlign w:val="subscript"/>
        </w:rPr>
        <w:t>o</w:t>
      </w:r>
      <w:r>
        <w:t>)/</w:t>
      </w:r>
      <w:r>
        <w:rPr>
          <w:i/>
        </w:rPr>
        <w:t>H</w:t>
      </w:r>
      <w:r>
        <w:rPr>
          <w:vertAlign w:val="subscript"/>
        </w:rPr>
        <w:t>e</w:t>
      </w:r>
      <w:r>
        <w:t xml:space="preserve"> when only </w:t>
      </w:r>
      <w:r>
        <w:rPr>
          <w:i/>
        </w:rPr>
        <w:t>H</w:t>
      </w:r>
      <w:r>
        <w:rPr>
          <w:vertAlign w:val="subscript"/>
        </w:rPr>
        <w:t>e</w:t>
      </w:r>
      <w:r>
        <w:t xml:space="preserve"> = expected heterozygosity and </w:t>
      </w:r>
      <w:r>
        <w:rPr>
          <w:i/>
        </w:rPr>
        <w:t>H</w:t>
      </w:r>
      <w:r>
        <w:rPr>
          <w:vertAlign w:val="subscript"/>
        </w:rPr>
        <w:t>o</w:t>
      </w:r>
      <w:r>
        <w:t xml:space="preserve"> = the observed heterozygosity were given. When </w:t>
      </w:r>
      <w:r>
        <w:rPr>
          <w:i/>
        </w:rPr>
        <w:t>n</w:t>
      </w:r>
      <w:r>
        <w:rPr>
          <w:vertAlign w:val="subscript"/>
        </w:rPr>
        <w:t>h</w:t>
      </w:r>
      <w:r>
        <w:t xml:space="preserve"> was given, </w:t>
      </w:r>
      <w:r>
        <w:rPr>
          <w:i/>
        </w:rPr>
        <w:t>F</w:t>
      </w:r>
      <w:r>
        <w:t xml:space="preserve"> = 1/(4</w:t>
      </w:r>
      <w:r>
        <w:rPr>
          <w:i/>
        </w:rPr>
        <w:t>n</w:t>
      </w:r>
      <w:r>
        <w:rPr>
          <w:vertAlign w:val="subscript"/>
        </w:rPr>
        <w:t>h</w:t>
      </w:r>
      <w:r>
        <w:t xml:space="preserve"> - 3). The frequency of single foundresses was taken directly from tables, measured from figures</w:t>
      </w:r>
      <w:r w:rsidR="00745B71">
        <w:t xml:space="preserve"> or obtained from authors</w:t>
      </w:r>
      <w:r>
        <w:t>.</w:t>
      </w:r>
    </w:p>
    <w:p w:rsidR="00520DC0" w:rsidRPr="00B06D00" w:rsidRDefault="002433DE">
      <w:r>
        <w:tab/>
        <w:t xml:space="preserve">All calculations, statistics and graphs were done in R </w:t>
      </w:r>
      <w:r w:rsidR="008E309D">
        <w:t xml:space="preserve">version 4.1.0 </w:t>
      </w:r>
      <w:r w:rsidR="0014484A">
        <w:fldChar w:fldCharType="begin"/>
      </w:r>
      <w:r w:rsidR="000859C2">
        <w:instrText xml:space="preserve"> ADDIN ZOTERO_ITEM CSL_CITATION {"citationID":"Sxw0RHJl","properties":{"formattedCitation":"[2]","plainCitation":"[2]","noteIndex":0},"citationItems":[{"id":14641,"uris":["http://zotero.org/groups/2649668/items/GJMDWJSL"],"uri":["http://zotero.org/groups/2649668/items/GJMDWJSL"],"itemData":{"id":14641,"type":"book","event-place":"Viena","publisher":"R Foundation for Statistical Computing","publisher-place":"Viena","title":"R: A language and environment for statistical computing.","author":[{"literal":"R Core Team"}],"issued":{"date-parts":[["2018"]]}}}],"schema":"https://github.com/citation-style-language/schema/raw/master/csl-citation.json"} </w:instrText>
      </w:r>
      <w:r w:rsidR="0014484A">
        <w:fldChar w:fldCharType="separate"/>
      </w:r>
      <w:r w:rsidR="000859C2" w:rsidRPr="000859C2">
        <w:t>[2]</w:t>
      </w:r>
      <w:r w:rsidR="0014484A">
        <w:fldChar w:fldCharType="end"/>
      </w:r>
      <w:r>
        <w:t>.</w:t>
      </w:r>
      <w:r w:rsidR="00B06D00">
        <w:t xml:space="preserve"> To test if observed sex ratios were significantly lower than predicted sex ratios, a Wilcoxon paired rank test was used. Raw data was only </w:t>
      </w:r>
      <w:r w:rsidR="00CB59AA">
        <w:t>available</w:t>
      </w:r>
      <w:r w:rsidR="00B06D00">
        <w:t xml:space="preserve"> for </w:t>
      </w:r>
      <w:r w:rsidR="00DB40DD">
        <w:t>12</w:t>
      </w:r>
      <w:r w:rsidR="00B06D00">
        <w:t xml:space="preserve"> of the 36 data sets. Therefore, generalized linear models </w:t>
      </w:r>
      <w:r w:rsidR="00CB59AA">
        <w:t xml:space="preserve">(GLMs) </w:t>
      </w:r>
      <w:r w:rsidR="00B06D00">
        <w:t>could not be fitted to all data. The method by which 95% CIs were calculated is given in Fig. 4's legend.</w:t>
      </w:r>
      <w:r w:rsidR="00CB59AA">
        <w:t xml:space="preserve"> Numbers of sons and daughters were tested using GLMs with Poisson errors and and offset for foundress number.</w:t>
      </w:r>
    </w:p>
    <w:p w:rsidR="00B06D00" w:rsidRDefault="00B06D00"/>
    <w:p w:rsidR="00520DC0" w:rsidRDefault="002433DE">
      <w:pPr>
        <w:pStyle w:val="Heading2"/>
      </w:pPr>
      <w:bookmarkStart w:id="4" w:name="_m1k6ezisfv6m" w:colFirst="0" w:colLast="0"/>
      <w:bookmarkEnd w:id="4"/>
      <w:r>
        <w:t>Derivation of the standard inclusive fitness model</w:t>
      </w:r>
    </w:p>
    <w:p w:rsidR="00520DC0" w:rsidRDefault="002433DE">
      <w:r>
        <w:t xml:space="preserve">Consider a fig with </w:t>
      </w:r>
      <w:r>
        <w:rPr>
          <w:i/>
        </w:rPr>
        <w:t xml:space="preserve">n </w:t>
      </w:r>
      <w:r>
        <w:t xml:space="preserve">foundresses that all lay equal clutch sizes of </w:t>
      </w:r>
      <w:r>
        <w:rPr>
          <w:i/>
        </w:rPr>
        <w:t>c</w:t>
      </w:r>
      <w:r>
        <w:t xml:space="preserve"> eggs. Focus on the fitness of a mutant female that produce a sex ratio of </w:t>
      </w:r>
      <w:r>
        <w:rPr>
          <w:i/>
        </w:rPr>
        <w:t>r</w:t>
      </w:r>
      <w:r w:rsidRPr="00A7441F">
        <w:rPr>
          <w:vertAlign w:val="subscript"/>
        </w:rPr>
        <w:t>m</w:t>
      </w:r>
      <w:r>
        <w:t xml:space="preserve"> when all other mothers lay a sex ratio of </w:t>
      </w:r>
      <w:r>
        <w:rPr>
          <w:i/>
        </w:rPr>
        <w:t>r</w:t>
      </w:r>
      <w:r>
        <w:t xml:space="preserve">. Her fitness is the sum of her fitness through daughters and sons. The fitness through each sex is not simply the number of each sex because their genetic value must be incorporated in a standard inclusive fitness approach and son’s fitness will depend on their mating opportunities </w:t>
      </w:r>
      <w:r w:rsidR="0014484A">
        <w:fldChar w:fldCharType="begin"/>
      </w:r>
      <w:r w:rsidR="000859C2">
        <w:instrText xml:space="preserve"> ADDIN ZOTERO_ITEM CSL_CITATION {"citationID":"kTadpN6P","properties":{"formattedCitation":"[3\\uc0\\u8211{}5]","plainCitation":"[3–5]","noteIndex":0},"citationItems":[{"id":8113,"uris":["http://zotero.org/groups/2649668/items/NBE995ME"],"uri":["http://zotero.org/groups/2649668/items/NBE995ME"],"itemData":{"id":8113,"type":"chapter","container-title":"Reproductive competition, mate choice and sexual selection in insects","event-place":"New York","page":"167-220","publisher":"Academic Press","publisher-place":"New York","title":"Wingless and fighting males in fig wasps and other insects","author":[{"family":"Hamilton","given":"William Donald"}],"editor":[{"family":"Blum","given":"M. S."},{"family":"Blum","given":"N. A."}],"issued":{"date-parts":[["1979"]]}}},{"id":8222,"uris":["http://zotero.org/groups/2649668/items/JEP9ILGX"],"uri":["http://zotero.org/groups/2649668/items/JEP9ILGX"],"itemData":{"id":8222,"type":"article-journal","abstract":"A mathematical model is constructed to explain a density-dependent increase in the progeny sex ratios of gregarious parasitoids. In the model we considered non-cooperative game between females concerned with their own inclusive fitness. Equilibrium progeny sex ratios of the first and second females ovipositing on the same host are expressed in terms of the probability of double parasitism (p), the ratio of a male to a female in contribution to resource competition (α), the clutch size ratio between the two females (β), the crowding effect on female reproductive success (γ), and the inbreeding coefficient (f). Major predictions from the model are: 1) the progeny sex ratios of both the first and second females increase with p, 2) as β becomes smaller, the progeny sex ratios of the first females decrease, while those of the second females dramatically increases, 3) when a host is attacked by at most two wasps, the sex ratio of the total number of eggs laid on the host does not exceed 0.25. The effects of α and preferential death by female progeny in doubly parasitized hosts are considered as factors responsible for an excess number of males at emergence. Some possible modes of density-dependent increase in the sex ratios of the overall progeny populations is also discussed on the basis of the present model. © 1980 The Society of Population Ecology.","container-title":"Researches on Population Ecology","DOI":"10.1007/BF02530857","issue":"2","page":"366-382","title":"A sex ratio theory of gregarious parasitoids","volume":"22","author":[{"family":"Suzuki","given":"Yoshito"},{"family":"Iwasa","given":"Yoh"}],"issued":{"date-parts":[["1980"]]}}},{"id":8254,"uris":["http://zotero.org/groups/2649668/items/4KMMH5MP"],"uri":["http://zotero.org/groups/2649668/items/4KMMH5MP"],"itemData":{"id":8254,"type":"chapter","abstract":"Sex ratios, the proportions of males and females in any given species, are important in evolutionary and behavioural ecology. This volume explores the context to and methods for many aspects of research on sex ratios, and will be an indispensable reference for all those working in this area.","container-title":"Sex Ratios: Concepts and Research Methods","event-place":"Cambridge","page":"2-25","publisher":"Cambridge University Press","publisher-place":"Cambridge","title":"Sex ratio theory","author":[{"family":"Seger","given":"Jon"},{"family":"Stubblefield","given":"J William"}],"editor":[{"family":"Hardy","given":"Ian C W"}],"issued":{"date-parts":[["2002"]]}}}],"schema":"https://github.com/citation-style-language/schema/raw/master/csl-citation.json"} </w:instrText>
      </w:r>
      <w:r w:rsidR="0014484A">
        <w:fldChar w:fldCharType="separate"/>
      </w:r>
      <w:r w:rsidR="000859C2" w:rsidRPr="000859C2">
        <w:rPr>
          <w:szCs w:val="24"/>
        </w:rPr>
        <w:t>[3–5]</w:t>
      </w:r>
      <w:r w:rsidR="0014484A">
        <w:fldChar w:fldCharType="end"/>
      </w:r>
      <w:r>
        <w:t xml:space="preserve">. In more detail: this number of offspring has to be multiplied by the </w:t>
      </w:r>
      <w:r>
        <w:lastRenderedPageBreak/>
        <w:t>reproductive value of the sex offspring (</w:t>
      </w:r>
      <w:r>
        <w:rPr>
          <w:i/>
        </w:rPr>
        <w:t>v</w:t>
      </w:r>
      <w:r>
        <w:rPr>
          <w:vertAlign w:val="subscript"/>
        </w:rPr>
        <w:t>m</w:t>
      </w:r>
      <w:r>
        <w:t xml:space="preserve"> for males and </w:t>
      </w:r>
      <w:r>
        <w:rPr>
          <w:i/>
        </w:rPr>
        <w:t>v</w:t>
      </w:r>
      <w:r>
        <w:rPr>
          <w:vertAlign w:val="subscript"/>
        </w:rPr>
        <w:t>f</w:t>
      </w:r>
      <w:r>
        <w:t xml:space="preserve"> for females) and the relatedness of that sex offspring to the mother (</w:t>
      </w:r>
      <w:r>
        <w:rPr>
          <w:i/>
        </w:rPr>
        <w:t>R</w:t>
      </w:r>
      <w:r>
        <w:rPr>
          <w:vertAlign w:val="subscript"/>
        </w:rPr>
        <w:t>m</w:t>
      </w:r>
      <w:r>
        <w:t xml:space="preserve"> and </w:t>
      </w:r>
      <w:r>
        <w:rPr>
          <w:i/>
        </w:rPr>
        <w:t>R</w:t>
      </w:r>
      <w:r>
        <w:rPr>
          <w:vertAlign w:val="subscript"/>
        </w:rPr>
        <w:t>f</w:t>
      </w:r>
      <w:r>
        <w:t xml:space="preserve"> respectively) </w:t>
      </w:r>
      <w:r w:rsidR="0014484A">
        <w:fldChar w:fldCharType="begin"/>
      </w:r>
      <w:r w:rsidR="000859C2">
        <w:instrText xml:space="preserve"> ADDIN ZOTERO_ITEM CSL_CITATION {"citationID":"sZMsTUYy","properties":{"formattedCitation":"[6]","plainCitation":"[6]","noteIndex":0},"citationItems":[{"id":8428,"uris":["http://zotero.org/users/7154510/items/5HVFKGSU"],"uri":["http://zotero.org/users/7154510/items/5HVFKGSU"],"itemData":{"id":8428,"type":"book","abstract":"Colonial living is characterized by division of labor and finely coordinated organization; however, many events within a colony are the result of conflicts between individuals seeking to maximize their own interests. This interplay of cooperation and conflict has raised many questions in evolutionary biology, especially how cooperative behavior is maintained in the absence of direct reproduction by workers. How, then, is this behavior passed on? Authors Crozier and Pamilo's analyze the genetic basis of the patterns of reproduction and resource allocation found in social insect colonies - bees, wasps, ants, and termites. This comprehensive study has greater depth and insight than any previous work, and is a significant step forward in the fields of social evolution and population genetics.","collection-title":"Oxford Series in Ecology and Evolution","event-place":"Oxford, New York","ISBN":"978-0-19-854942-0","number-of-pages":"320","publisher":"Oxford University Press","publisher-place":"Oxford, New York","source":"Oxford University Press","title":"Evolution of social insect colonies: sex allocation and kin selection","title-short":"Evolution of Social Insect Colonies","author":[{"family":"Crozier","given":"Ross H"},{"family":"Pamilo","given":"Pekka"}],"issued":{"date-parts":[["1996"]]}}}],"schema":"https://github.com/citation-style-language/schema/raw/master/csl-citation.json"} </w:instrText>
      </w:r>
      <w:r w:rsidR="0014484A">
        <w:fldChar w:fldCharType="separate"/>
      </w:r>
      <w:r w:rsidR="000859C2" w:rsidRPr="000859C2">
        <w:t>[6]</w:t>
      </w:r>
      <w:r w:rsidR="0014484A">
        <w:fldChar w:fldCharType="end"/>
      </w:r>
      <w:r>
        <w:t xml:space="preserve">. </w:t>
      </w:r>
      <w:r>
        <w:rPr>
          <w:i/>
        </w:rPr>
        <w:t>v</w:t>
      </w:r>
      <w:r>
        <w:rPr>
          <w:vertAlign w:val="subscript"/>
        </w:rPr>
        <w:t>m</w:t>
      </w:r>
      <w:r>
        <w:t xml:space="preserve"> = </w:t>
      </w:r>
      <w:r>
        <w:rPr>
          <w:i/>
        </w:rPr>
        <w:t>v</w:t>
      </w:r>
      <w:r>
        <w:rPr>
          <w:vertAlign w:val="subscript"/>
        </w:rPr>
        <w:t>f</w:t>
      </w:r>
      <w:r>
        <w:t xml:space="preserve">/2 </w:t>
      </w:r>
      <w:r w:rsidR="00BE5B07">
        <w:t>[7]</w:t>
      </w:r>
      <w:r>
        <w:t xml:space="preserve"> and while </w:t>
      </w:r>
      <w:r>
        <w:rPr>
          <w:i/>
        </w:rPr>
        <w:t>R</w:t>
      </w:r>
      <w:r>
        <w:rPr>
          <w:vertAlign w:val="subscript"/>
        </w:rPr>
        <w:t>m</w:t>
      </w:r>
      <w:r>
        <w:t xml:space="preserve">= 1, in inbred haplodiploids </w:t>
      </w:r>
      <w:r>
        <w:rPr>
          <w:i/>
        </w:rPr>
        <w:t>R</w:t>
      </w:r>
      <w:r>
        <w:rPr>
          <w:vertAlign w:val="subscript"/>
        </w:rPr>
        <w:t>f</w:t>
      </w:r>
      <w:r>
        <w:t xml:space="preserve"> depends on </w:t>
      </w:r>
      <w:r>
        <w:rPr>
          <w:i/>
        </w:rPr>
        <w:t>F</w:t>
      </w:r>
      <w:r>
        <w:t xml:space="preserve"> and the relatedness of daughters to mothers is </w:t>
      </w:r>
      <w:r>
        <w:rPr>
          <w:i/>
        </w:rPr>
        <w:t>R</w:t>
      </w:r>
      <w:r>
        <w:rPr>
          <w:vertAlign w:val="subscript"/>
        </w:rPr>
        <w:t>f</w:t>
      </w:r>
      <w:r>
        <w:t xml:space="preserve"> = (1 + 3</w:t>
      </w:r>
      <w:r>
        <w:rPr>
          <w:i/>
        </w:rPr>
        <w:t>F</w:t>
      </w:r>
      <w:r>
        <w:t xml:space="preserve">)/(2(1 + </w:t>
      </w:r>
      <w:r>
        <w:rPr>
          <w:i/>
        </w:rPr>
        <w:t>F</w:t>
      </w:r>
      <w:r>
        <w:t xml:space="preserve">)) = 1/(2 - </w:t>
      </w:r>
      <w:r>
        <w:rPr>
          <w:i/>
        </w:rPr>
        <w:t>s</w:t>
      </w:r>
      <w:r>
        <w:t xml:space="preserve">), with </w:t>
      </w:r>
      <w:r>
        <w:rPr>
          <w:i/>
        </w:rPr>
        <w:t>s</w:t>
      </w:r>
      <w:r>
        <w:t xml:space="preserve"> = probability that a female is sibmated and </w:t>
      </w:r>
      <w:r>
        <w:rPr>
          <w:i/>
        </w:rPr>
        <w:t>F</w:t>
      </w:r>
      <w:r>
        <w:t xml:space="preserve"> = s/(4 - 3</w:t>
      </w:r>
      <w:r>
        <w:rPr>
          <w:i/>
        </w:rPr>
        <w:t>s</w:t>
      </w:r>
      <w:r>
        <w:t xml:space="preserve">). The ratio of the genetic value of males to females is thus (1 + </w:t>
      </w:r>
      <w:r>
        <w:rPr>
          <w:i/>
        </w:rPr>
        <w:t>F</w:t>
      </w:r>
      <w:r>
        <w:t>):(1 + 3</w:t>
      </w:r>
      <w:r>
        <w:rPr>
          <w:i/>
        </w:rPr>
        <w:t>F</w:t>
      </w:r>
      <w:r>
        <w:t xml:space="preserve">) or (2 - </w:t>
      </w:r>
      <w:r>
        <w:rPr>
          <w:i/>
        </w:rPr>
        <w:t>s</w:t>
      </w:r>
      <w:r>
        <w:t>):2. Finally, while for daughters, we only need to count the number of daughters (</w:t>
      </w:r>
      <w:r>
        <w:rPr>
          <w:i/>
        </w:rPr>
        <w:t>c</w:t>
      </w:r>
      <w:r>
        <w:t xml:space="preserve">(1 - </w:t>
      </w:r>
      <w:r>
        <w:rPr>
          <w:i/>
        </w:rPr>
        <w:t>r</w:t>
      </w:r>
      <w:r w:rsidRPr="009355A7">
        <w:rPr>
          <w:vertAlign w:val="subscript"/>
        </w:rPr>
        <w:t>m</w:t>
      </w:r>
      <w:r>
        <w:t xml:space="preserve">)), we need to calculate the expected number of matings of her </w:t>
      </w:r>
      <w:r>
        <w:rPr>
          <w:i/>
        </w:rPr>
        <w:t>cr</w:t>
      </w:r>
      <w:r w:rsidRPr="00A7441F">
        <w:rPr>
          <w:vertAlign w:val="subscript"/>
        </w:rPr>
        <w:t>m</w:t>
      </w:r>
      <w:r>
        <w:t xml:space="preserve"> sons. This is the total number of daughters in a fig that is given by ((</w:t>
      </w:r>
      <w:r>
        <w:rPr>
          <w:i/>
        </w:rPr>
        <w:t>n</w:t>
      </w:r>
      <w:r>
        <w:t xml:space="preserve"> - 1)</w:t>
      </w:r>
      <w:r>
        <w:rPr>
          <w:i/>
        </w:rPr>
        <w:t>c</w:t>
      </w:r>
      <w:r>
        <w:t xml:space="preserve">(1 - </w:t>
      </w:r>
      <w:r>
        <w:rPr>
          <w:i/>
        </w:rPr>
        <w:t>r</w:t>
      </w:r>
      <w:r>
        <w:t xml:space="preserve">) + </w:t>
      </w:r>
      <w:r>
        <w:rPr>
          <w:i/>
        </w:rPr>
        <w:t>c</w:t>
      </w:r>
      <w:r>
        <w:t xml:space="preserve">(1 - </w:t>
      </w:r>
      <w:r>
        <w:rPr>
          <w:i/>
        </w:rPr>
        <w:t>r</w:t>
      </w:r>
      <w:r w:rsidRPr="00A7441F">
        <w:rPr>
          <w:vertAlign w:val="subscript"/>
        </w:rPr>
        <w:t>m</w:t>
      </w:r>
      <w:r>
        <w:t>)) divided by the total number of males in a fig, which is given by ((</w:t>
      </w:r>
      <w:r>
        <w:rPr>
          <w:i/>
        </w:rPr>
        <w:t>n</w:t>
      </w:r>
      <w:r>
        <w:t xml:space="preserve"> - 1)</w:t>
      </w:r>
      <w:r>
        <w:rPr>
          <w:i/>
        </w:rPr>
        <w:t>cr</w:t>
      </w:r>
      <w:r>
        <w:t xml:space="preserve"> + </w:t>
      </w:r>
      <w:r>
        <w:rPr>
          <w:i/>
        </w:rPr>
        <w:t>cr</w:t>
      </w:r>
      <w:r w:rsidRPr="00A7441F">
        <w:rPr>
          <w:vertAlign w:val="subscript"/>
        </w:rPr>
        <w:t>m</w:t>
      </w:r>
      <w:r>
        <w:t xml:space="preserve">). If we put all of this together we get the focal female’s fitness </w:t>
      </w:r>
      <w:r>
        <w:rPr>
          <w:i/>
        </w:rPr>
        <w:t>w</w:t>
      </w:r>
      <w:r w:rsidRPr="00A7441F">
        <w:rPr>
          <w:vertAlign w:val="subscript"/>
        </w:rPr>
        <w:t>m</w:t>
      </w:r>
      <w:r>
        <w:t xml:space="preserve"> (</w:t>
      </w:r>
      <w:r>
        <w:rPr>
          <w:i/>
        </w:rPr>
        <w:t>m</w:t>
      </w:r>
      <w:r>
        <w:t xml:space="preserve"> subscript for mutant, not male) as:</w:t>
      </w:r>
    </w:p>
    <w:p w:rsidR="00520DC0" w:rsidRDefault="00520DC0"/>
    <w:p w:rsidR="00520DC0" w:rsidRDefault="002433DE">
      <w:r>
        <w:rPr>
          <w:i/>
        </w:rPr>
        <w:t>w</w:t>
      </w:r>
      <w:r w:rsidRPr="00A7441F">
        <w:rPr>
          <w:vertAlign w:val="subscript"/>
        </w:rPr>
        <w:t>m</w:t>
      </w:r>
      <w:r>
        <w:t xml:space="preserve"> = </w:t>
      </w:r>
      <w:r>
        <w:rPr>
          <w:i/>
        </w:rPr>
        <w:t>c</w:t>
      </w:r>
      <w:r>
        <w:t xml:space="preserve">(1 - </w:t>
      </w:r>
      <w:r>
        <w:rPr>
          <w:i/>
        </w:rPr>
        <w:t>r</w:t>
      </w:r>
      <w:r w:rsidRPr="00A7441F">
        <w:rPr>
          <w:vertAlign w:val="subscript"/>
        </w:rPr>
        <w:t>m</w:t>
      </w:r>
      <w:r>
        <w:t>)</w:t>
      </w:r>
      <w:r>
        <w:rPr>
          <w:i/>
        </w:rPr>
        <w:t>v</w:t>
      </w:r>
      <w:r>
        <w:rPr>
          <w:vertAlign w:val="subscript"/>
        </w:rPr>
        <w:t>f</w:t>
      </w:r>
      <w:r>
        <w:rPr>
          <w:i/>
        </w:rPr>
        <w:t>R</w:t>
      </w:r>
      <w:r>
        <w:rPr>
          <w:vertAlign w:val="subscript"/>
        </w:rPr>
        <w:t>f</w:t>
      </w:r>
      <w:r>
        <w:t xml:space="preserve"> + </w:t>
      </w:r>
      <w:r>
        <w:rPr>
          <w:i/>
        </w:rPr>
        <w:t>cr</w:t>
      </w:r>
      <w:r w:rsidRPr="00A7441F">
        <w:rPr>
          <w:vertAlign w:val="subscript"/>
        </w:rPr>
        <w:t>m</w:t>
      </w:r>
      <w:r>
        <w:rPr>
          <w:i/>
        </w:rPr>
        <w:t>v</w:t>
      </w:r>
      <w:r w:rsidRPr="00A7441F">
        <w:rPr>
          <w:vertAlign w:val="subscript"/>
        </w:rPr>
        <w:t>m</w:t>
      </w:r>
      <w:r>
        <w:rPr>
          <w:i/>
        </w:rPr>
        <w:t>R</w:t>
      </w:r>
      <w:r w:rsidRPr="00A7441F">
        <w:rPr>
          <w:vertAlign w:val="subscript"/>
        </w:rPr>
        <w:t>m</w:t>
      </w:r>
      <w:r>
        <w:t>((</w:t>
      </w:r>
      <w:r>
        <w:rPr>
          <w:i/>
        </w:rPr>
        <w:t>n</w:t>
      </w:r>
      <w:r>
        <w:t xml:space="preserve"> - 1)(1 - </w:t>
      </w:r>
      <w:r>
        <w:rPr>
          <w:i/>
        </w:rPr>
        <w:t>r</w:t>
      </w:r>
      <w:r>
        <w:t xml:space="preserve">) + (1 - </w:t>
      </w:r>
      <w:r>
        <w:rPr>
          <w:i/>
        </w:rPr>
        <w:t>r</w:t>
      </w:r>
      <w:r w:rsidRPr="009355A7">
        <w:rPr>
          <w:vertAlign w:val="subscript"/>
        </w:rPr>
        <w:t>m</w:t>
      </w:r>
      <w:r>
        <w:t>))/((</w:t>
      </w:r>
      <w:r>
        <w:rPr>
          <w:i/>
        </w:rPr>
        <w:t>n</w:t>
      </w:r>
      <w:r>
        <w:t xml:space="preserve"> - 1)</w:t>
      </w:r>
      <w:r>
        <w:rPr>
          <w:i/>
        </w:rPr>
        <w:t>r</w:t>
      </w:r>
      <w:r>
        <w:t xml:space="preserve"> + </w:t>
      </w:r>
      <w:r>
        <w:rPr>
          <w:i/>
        </w:rPr>
        <w:t>r</w:t>
      </w:r>
      <w:r w:rsidRPr="009355A7">
        <w:rPr>
          <w:vertAlign w:val="subscript"/>
        </w:rPr>
        <w:t>m</w:t>
      </w:r>
      <w:r>
        <w:t>)    equation (S1)</w:t>
      </w:r>
    </w:p>
    <w:p w:rsidR="00520DC0" w:rsidRDefault="00520DC0"/>
    <w:p w:rsidR="00520DC0" w:rsidRDefault="002433DE">
      <w:r>
        <w:t>This equation can be used to calculate the fitness of any sex ratio. If the clutch sizes are not identical then (</w:t>
      </w:r>
      <w:r>
        <w:rPr>
          <w:i/>
        </w:rPr>
        <w:t>n</w:t>
      </w:r>
      <w:r>
        <w:t xml:space="preserve"> - 1)(1 - </w:t>
      </w:r>
      <w:r>
        <w:rPr>
          <w:i/>
        </w:rPr>
        <w:t>r</w:t>
      </w:r>
      <w:r>
        <w:t>) should be replaced by the number of daughters produced by other females and (</w:t>
      </w:r>
      <w:r>
        <w:rPr>
          <w:i/>
        </w:rPr>
        <w:t>n</w:t>
      </w:r>
      <w:r>
        <w:t xml:space="preserve"> - 1)</w:t>
      </w:r>
      <w:r>
        <w:rPr>
          <w:i/>
        </w:rPr>
        <w:t>r</w:t>
      </w:r>
      <w:r>
        <w:t xml:space="preserve"> by the number of sons produced by the other females. Therefore the assumption of clutch size being the same for all females is not crucial. If we are prepared to assume equal clutch sizes and that equation (S1) can be differentiated with respect to sex ratio, then we can obtain the ESS sex ratio for </w:t>
      </w:r>
      <w:r>
        <w:rPr>
          <w:i/>
        </w:rPr>
        <w:t xml:space="preserve">n </w:t>
      </w:r>
      <w:r>
        <w:t xml:space="preserve">foundresses as, </w:t>
      </w:r>
      <w:r>
        <w:rPr>
          <w:i/>
        </w:rPr>
        <w:t>r</w:t>
      </w:r>
      <w:r>
        <w:rPr>
          <w:vertAlign w:val="subscript"/>
        </w:rPr>
        <w:t>n</w:t>
      </w:r>
      <w:r>
        <w:t xml:space="preserve">*, by setting the derivative equal to zero, setting </w:t>
      </w:r>
      <w:r>
        <w:rPr>
          <w:i/>
        </w:rPr>
        <w:t>r</w:t>
      </w:r>
      <w:r>
        <w:rPr>
          <w:vertAlign w:val="subscript"/>
        </w:rPr>
        <w:t>m</w:t>
      </w:r>
      <w:r>
        <w:t xml:space="preserve"> = </w:t>
      </w:r>
      <w:r>
        <w:rPr>
          <w:i/>
        </w:rPr>
        <w:t>r</w:t>
      </w:r>
      <w:r>
        <w:t xml:space="preserve"> = </w:t>
      </w:r>
      <w:r>
        <w:rPr>
          <w:i/>
        </w:rPr>
        <w:t>r</w:t>
      </w:r>
      <w:r>
        <w:rPr>
          <w:vertAlign w:val="subscript"/>
        </w:rPr>
        <w:t>n</w:t>
      </w:r>
      <w:r>
        <w:t xml:space="preserve">* and solving for </w:t>
      </w:r>
      <w:r>
        <w:rPr>
          <w:i/>
        </w:rPr>
        <w:t>r</w:t>
      </w:r>
      <w:r>
        <w:rPr>
          <w:vertAlign w:val="subscript"/>
        </w:rPr>
        <w:t>n</w:t>
      </w:r>
      <w:r>
        <w:t>*, giving:</w:t>
      </w:r>
    </w:p>
    <w:p w:rsidR="00520DC0" w:rsidRDefault="00520DC0"/>
    <w:p w:rsidR="00520DC0" w:rsidRDefault="002433DE">
      <w:r>
        <w:rPr>
          <w:i/>
        </w:rPr>
        <w:t>r</w:t>
      </w:r>
      <w:r>
        <w:rPr>
          <w:vertAlign w:val="subscript"/>
        </w:rPr>
        <w:t>n</w:t>
      </w:r>
      <w:r w:rsidR="00CB59AA">
        <w:t xml:space="preserve">* = </w:t>
      </w:r>
      <m:oMath>
        <m:f>
          <m:fPr>
            <m:ctrlPr>
              <w:rPr>
                <w:rFonts w:ascii="Cambria Math" w:hAnsi="Cambria Math"/>
                <w:sz w:val="20"/>
              </w:rPr>
            </m:ctrlPr>
          </m:fPr>
          <m:num>
            <m:r>
              <w:rPr>
                <w:rFonts w:ascii="Cambria Math" w:hAnsi="Cambria Math"/>
                <w:sz w:val="20"/>
              </w:rPr>
              <m:t>n-1</m:t>
            </m:r>
          </m:num>
          <m:den>
            <m:r>
              <w:rPr>
                <w:rFonts w:ascii="Cambria Math" w:hAnsi="Cambria Math"/>
                <w:sz w:val="20"/>
              </w:rPr>
              <m:t>n</m:t>
            </m:r>
          </m:den>
        </m:f>
        <m:f>
          <m:fPr>
            <m:ctrlPr>
              <w:rPr>
                <w:rFonts w:ascii="Cambria Math" w:hAnsi="Cambria Math"/>
                <w:sz w:val="20"/>
              </w:rPr>
            </m:ctrlPr>
          </m:fPr>
          <m:num>
            <m:sSub>
              <m:sSubPr>
                <m:ctrlPr>
                  <w:rPr>
                    <w:rFonts w:ascii="Cambria Math" w:hAnsi="Cambria Math"/>
                    <w:i/>
                    <w:sz w:val="20"/>
                  </w:rPr>
                </m:ctrlPr>
              </m:sSubPr>
              <m:e>
                <m:r>
                  <w:rPr>
                    <w:rFonts w:ascii="Cambria Math" w:hAnsi="Cambria Math"/>
                    <w:sz w:val="20"/>
                  </w:rPr>
                  <m:t>v</m:t>
                </m:r>
              </m:e>
              <m:sub>
                <m:r>
                  <m:rPr>
                    <m:nor/>
                  </m:rPr>
                  <w:rPr>
                    <w:rFonts w:ascii="Cambria Math" w:hAnsi="Cambria Math"/>
                    <w:sz w:val="20"/>
                  </w:rPr>
                  <m:t>m</m:t>
                </m:r>
              </m:sub>
            </m:sSub>
            <m:sSub>
              <m:sSubPr>
                <m:ctrlPr>
                  <w:rPr>
                    <w:rFonts w:ascii="Cambria Math" w:hAnsi="Cambria Math"/>
                    <w:i/>
                    <w:sz w:val="20"/>
                  </w:rPr>
                </m:ctrlPr>
              </m:sSubPr>
              <m:e>
                <m:r>
                  <w:rPr>
                    <w:rFonts w:ascii="Cambria Math" w:hAnsi="Cambria Math"/>
                    <w:sz w:val="20"/>
                  </w:rPr>
                  <m:t>R</m:t>
                </m:r>
              </m:e>
              <m:sub>
                <m:r>
                  <m:rPr>
                    <m:nor/>
                  </m:rPr>
                  <w:rPr>
                    <w:rFonts w:ascii="Cambria Math" w:hAnsi="Cambria Math"/>
                    <w:sz w:val="20"/>
                  </w:rPr>
                  <m:t>m</m:t>
                </m:r>
              </m:sub>
            </m:sSub>
          </m:num>
          <m:den>
            <m:sSub>
              <m:sSubPr>
                <m:ctrlPr>
                  <w:rPr>
                    <w:rFonts w:ascii="Cambria Math" w:hAnsi="Cambria Math"/>
                    <w:i/>
                    <w:sz w:val="20"/>
                  </w:rPr>
                </m:ctrlPr>
              </m:sSubPr>
              <m:e>
                <m:r>
                  <w:rPr>
                    <w:rFonts w:ascii="Cambria Math" w:hAnsi="Cambria Math"/>
                    <w:sz w:val="20"/>
                  </w:rPr>
                  <m:t>v</m:t>
                </m:r>
              </m:e>
              <m:sub>
                <m:r>
                  <m:rPr>
                    <m:nor/>
                  </m:rPr>
                  <w:rPr>
                    <w:rFonts w:ascii="Cambria Math" w:hAnsi="Cambria Math"/>
                    <w:sz w:val="20"/>
                  </w:rPr>
                  <m:t>m</m:t>
                </m:r>
              </m:sub>
            </m:sSub>
            <m:sSub>
              <m:sSubPr>
                <m:ctrlPr>
                  <w:rPr>
                    <w:rFonts w:ascii="Cambria Math" w:hAnsi="Cambria Math"/>
                    <w:i/>
                    <w:sz w:val="20"/>
                  </w:rPr>
                </m:ctrlPr>
              </m:sSubPr>
              <m:e>
                <m:r>
                  <w:rPr>
                    <w:rFonts w:ascii="Cambria Math" w:hAnsi="Cambria Math"/>
                    <w:sz w:val="20"/>
                  </w:rPr>
                  <m:t>R</m:t>
                </m:r>
              </m:e>
              <m:sub>
                <m:r>
                  <m:rPr>
                    <m:nor/>
                  </m:rPr>
                  <w:rPr>
                    <w:rFonts w:ascii="Cambria Math" w:hAnsi="Cambria Math"/>
                    <w:sz w:val="20"/>
                  </w:rPr>
                  <m:t>m</m:t>
                </m:r>
              </m:sub>
            </m:sSub>
            <m:r>
              <w:rPr>
                <w:rFonts w:ascii="Cambria Math" w:hAnsi="Cambria Math"/>
                <w:sz w:val="20"/>
              </w:rPr>
              <m:t>+</m:t>
            </m:r>
            <m:sSub>
              <m:sSubPr>
                <m:ctrlPr>
                  <w:rPr>
                    <w:rFonts w:ascii="Cambria Math" w:hAnsi="Cambria Math"/>
                    <w:i/>
                    <w:sz w:val="20"/>
                  </w:rPr>
                </m:ctrlPr>
              </m:sSubPr>
              <m:e>
                <m:r>
                  <w:rPr>
                    <w:rFonts w:ascii="Cambria Math" w:hAnsi="Cambria Math"/>
                    <w:sz w:val="20"/>
                  </w:rPr>
                  <m:t>v</m:t>
                </m:r>
              </m:e>
              <m:sub>
                <m:r>
                  <m:rPr>
                    <m:nor/>
                  </m:rPr>
                  <w:rPr>
                    <w:rFonts w:ascii="Cambria Math" w:hAnsi="Cambria Math"/>
                    <w:sz w:val="20"/>
                  </w:rPr>
                  <m:t>f</m:t>
                </m:r>
              </m:sub>
            </m:sSub>
            <m:sSub>
              <m:sSubPr>
                <m:ctrlPr>
                  <w:rPr>
                    <w:rFonts w:ascii="Cambria Math" w:hAnsi="Cambria Math"/>
                    <w:i/>
                    <w:sz w:val="20"/>
                  </w:rPr>
                </m:ctrlPr>
              </m:sSubPr>
              <m:e>
                <m:r>
                  <w:rPr>
                    <w:rFonts w:ascii="Cambria Math" w:hAnsi="Cambria Math"/>
                    <w:sz w:val="20"/>
                  </w:rPr>
                  <m:t>R</m:t>
                </m:r>
              </m:e>
              <m:sub>
                <m:r>
                  <m:rPr>
                    <m:nor/>
                  </m:rPr>
                  <w:rPr>
                    <w:rFonts w:ascii="Cambria Math" w:hAnsi="Cambria Math"/>
                    <w:sz w:val="20"/>
                  </w:rPr>
                  <m:t>f</m:t>
                </m:r>
              </m:sub>
            </m:sSub>
          </m:den>
        </m:f>
        <m:r>
          <w:rPr>
            <w:rFonts w:ascii="Cambria Math" w:hAnsi="Cambria Math"/>
            <w:sz w:val="24"/>
            <w:szCs w:val="26"/>
          </w:rPr>
          <m:t>=</m:t>
        </m:r>
        <m:f>
          <m:fPr>
            <m:ctrlPr>
              <w:rPr>
                <w:rFonts w:ascii="Cambria Math" w:hAnsi="Cambria Math"/>
                <w:sz w:val="20"/>
              </w:rPr>
            </m:ctrlPr>
          </m:fPr>
          <m:num>
            <m:r>
              <w:rPr>
                <w:rFonts w:ascii="Cambria Math" w:hAnsi="Cambria Math"/>
                <w:sz w:val="20"/>
              </w:rPr>
              <m:t>n-1</m:t>
            </m:r>
          </m:num>
          <m:den>
            <m:r>
              <w:rPr>
                <w:rFonts w:ascii="Cambria Math" w:hAnsi="Cambria Math"/>
                <w:sz w:val="20"/>
              </w:rPr>
              <m:t>n</m:t>
            </m:r>
          </m:den>
        </m:f>
        <m:r>
          <w:rPr>
            <w:rFonts w:ascii="Cambria Math" w:hAnsi="Cambria Math"/>
            <w:sz w:val="20"/>
          </w:rPr>
          <m:t>⋅</m:t>
        </m:r>
        <m:f>
          <m:fPr>
            <m:ctrlPr>
              <w:rPr>
                <w:rFonts w:ascii="Cambria Math" w:hAnsi="Cambria Math"/>
                <w:sz w:val="20"/>
              </w:rPr>
            </m:ctrlPr>
          </m:fPr>
          <m:num>
            <m:r>
              <w:rPr>
                <w:rFonts w:ascii="Cambria Math" w:hAnsi="Cambria Math"/>
                <w:sz w:val="20"/>
              </w:rPr>
              <m:t>1</m:t>
            </m:r>
          </m:num>
          <m:den>
            <m:r>
              <w:rPr>
                <w:rFonts w:ascii="Cambria Math" w:hAnsi="Cambria Math"/>
                <w:sz w:val="20"/>
              </w:rPr>
              <m:t>2</m:t>
            </m:r>
          </m:den>
        </m:f>
        <m:r>
          <w:rPr>
            <w:rFonts w:ascii="Cambria Math" w:hAnsi="Cambria Math"/>
            <w:sz w:val="20"/>
          </w:rPr>
          <m:t>⋅</m:t>
        </m:r>
        <m:f>
          <m:fPr>
            <m:ctrlPr>
              <w:rPr>
                <w:rFonts w:ascii="Cambria Math" w:hAnsi="Cambria Math"/>
                <w:sz w:val="20"/>
              </w:rPr>
            </m:ctrlPr>
          </m:fPr>
          <m:num>
            <m:r>
              <w:rPr>
                <w:rFonts w:ascii="Cambria Math" w:hAnsi="Cambria Math"/>
                <w:sz w:val="20"/>
              </w:rPr>
              <m:t>1+F</m:t>
            </m:r>
          </m:num>
          <m:den>
            <m:r>
              <w:rPr>
                <w:rFonts w:ascii="Cambria Math" w:hAnsi="Cambria Math"/>
                <w:sz w:val="20"/>
              </w:rPr>
              <m:t>1+2F</m:t>
            </m:r>
          </m:den>
        </m:f>
      </m:oMath>
      <w:r>
        <w:t xml:space="preserve">     </w:t>
      </w:r>
      <w:r w:rsidR="0014484A">
        <w:t xml:space="preserve">      </w:t>
      </w:r>
      <w:r>
        <w:t xml:space="preserve">  equation (S2)</w:t>
      </w:r>
    </w:p>
    <w:p w:rsidR="00545B8E" w:rsidRDefault="00545B8E"/>
    <w:p w:rsidR="00545B8E" w:rsidRDefault="00545B8E" w:rsidP="00545B8E">
      <w:pPr>
        <w:pStyle w:val="Heading2"/>
      </w:pPr>
      <w:r>
        <w:t>Competition does not affect wasp size</w:t>
      </w:r>
    </w:p>
    <w:p w:rsidR="00545B8E" w:rsidRDefault="00545B8E"/>
    <w:p w:rsidR="00545B8E" w:rsidRDefault="00545B8E">
      <w:r>
        <w:t>It is standard to believe that developing wasps do not compete amongst each other for resources. In fact, there is the impression that at least in some species more developing wasps are more effective at triggering the flow of nutrients than figs with fewer wasps. There is however no direct evidence for this point of view. One example of indirect evidence showing that wasp number has no effect on total available resources comes from reconsidering tree FC6 (</w:t>
      </w:r>
      <w:r>
        <w:rPr>
          <w:i/>
        </w:rPr>
        <w:t>Ficus carica</w:t>
      </w:r>
      <w:r>
        <w:t xml:space="preserve">, hosting </w:t>
      </w:r>
      <w:r>
        <w:rPr>
          <w:i/>
        </w:rPr>
        <w:t>Blastophaga psenes</w:t>
      </w:r>
      <w:r>
        <w:t xml:space="preserve">) for which Tayou </w:t>
      </w:r>
      <w:r>
        <w:fldChar w:fldCharType="begin"/>
      </w:r>
      <w:r>
        <w:instrText xml:space="preserve"> ADDIN ZOTERO_ITEM CSL_CITATION {"citationID":"a1aq31vqo5v","properties":{"formattedCitation":"[7]","plainCitation":"[7]","noteIndex":0},"citationItems":[{"id":14713,"uris":["http://zotero.org/groups/2649668/items/5S4NPW8P"],"uri":["http://zotero.org/groups/2649668/items/5S4NPW8P"],"itemData":{"id":14713,"type":"thesis","publisher":"Institut National Agronomique Paris-Grignon","title":"Etude du Mutualisme Ficus-Pollinisateur: sex ratio et transport du pollen","author":[{"family":"Tayou","given":"Abelouahad"}],"issued":{"date-parts":[["1991"]]}}}],"schema":"https://github.com/citation-style-language/schema/raw/master/csl-citation.json"} </w:instrText>
      </w:r>
      <w:r>
        <w:fldChar w:fldCharType="separate"/>
      </w:r>
      <w:r w:rsidRPr="00545B8E">
        <w:rPr>
          <w:rFonts w:ascii="Calibri" w:hAnsi="Calibri" w:cs="Calibri"/>
          <w:szCs w:val="24"/>
        </w:rPr>
        <w:t>[</w:t>
      </w:r>
      <w:r w:rsidR="00BE5B07">
        <w:rPr>
          <w:rFonts w:ascii="Calibri" w:hAnsi="Calibri" w:cs="Calibri"/>
          <w:szCs w:val="24"/>
        </w:rPr>
        <w:t>8</w:t>
      </w:r>
      <w:r w:rsidRPr="00545B8E">
        <w:rPr>
          <w:rFonts w:ascii="Calibri" w:hAnsi="Calibri" w:cs="Calibri"/>
          <w:szCs w:val="24"/>
        </w:rPr>
        <w:t>]</w:t>
      </w:r>
      <w:r>
        <w:fldChar w:fldCharType="end"/>
      </w:r>
      <w:r>
        <w:t xml:space="preserve"> recorded female wasp size (wing length for 10 individuals) and the total brood size for 29 figs that contained 6 related (15) or 6 unrelated (14) foundresses. If there was competition one would expect the mean wasp size to decrease and the standard deviation of wasp size to increase as brood size increased. A linear model explaining mean wasp size as a function of foundress relatedness and brood size found no effect of either explanatory variable (df = 25 after deleting one influential outlier, relatedness: coefficient = -0.163, </w:t>
      </w:r>
      <w:r>
        <w:rPr>
          <w:i/>
        </w:rPr>
        <w:t>P</w:t>
      </w:r>
      <w:r>
        <w:t xml:space="preserve"> = 0.605 brood size: coefficient &lt; -0.001, </w:t>
      </w:r>
      <w:r>
        <w:rPr>
          <w:i/>
        </w:rPr>
        <w:t>P</w:t>
      </w:r>
      <w:r>
        <w:t xml:space="preserve"> = 0.217). Similarly, a linear model explaining the standard deviation of wasp size as a function of foundress relatedness and brood size found no effect of either explanatory variable (df = 26, relatedness: coefficient = 0.124, </w:t>
      </w:r>
      <w:r>
        <w:rPr>
          <w:i/>
        </w:rPr>
        <w:t>P</w:t>
      </w:r>
      <w:r>
        <w:t xml:space="preserve"> = 0.651 brood size: coefficient &lt; -0.001, </w:t>
      </w:r>
      <w:r>
        <w:rPr>
          <w:i/>
        </w:rPr>
        <w:t>P</w:t>
      </w:r>
      <w:r>
        <w:t xml:space="preserve"> = 0.189).  There is thus no evidence for an effect, but data is required to confirm this widely held notion.</w:t>
      </w:r>
    </w:p>
    <w:p w:rsidR="00520DC0" w:rsidRDefault="002433DE">
      <w:pPr>
        <w:pStyle w:val="Heading1"/>
      </w:pPr>
      <w:bookmarkStart w:id="5" w:name="_t3ia96jinzis" w:colFirst="0" w:colLast="0"/>
      <w:bookmarkEnd w:id="5"/>
      <w:r>
        <w:lastRenderedPageBreak/>
        <w:t>Supplementa</w:t>
      </w:r>
      <w:r w:rsidR="0087578E">
        <w:t>ry</w:t>
      </w:r>
      <w:r>
        <w:t xml:space="preserve"> </w:t>
      </w:r>
      <w:r w:rsidR="0087578E">
        <w:t>F</w:t>
      </w:r>
      <w:r>
        <w:t>igures</w:t>
      </w:r>
    </w:p>
    <w:p w:rsidR="00520DC0" w:rsidRDefault="009872A4">
      <w:r w:rsidRPr="009872A4">
        <w:rPr>
          <w:noProof/>
          <w:lang w:val="en-ZA" w:eastAsia="en-ZA"/>
        </w:rPr>
        <w:drawing>
          <wp:inline distT="0" distB="0" distL="0" distR="0">
            <wp:extent cx="4617105" cy="32797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6">
                      <a:extLst>
                        <a:ext uri="{28A0092B-C50C-407E-A947-70E740481C1C}">
                          <a14:useLocalDpi xmlns:a14="http://schemas.microsoft.com/office/drawing/2010/main" val="0"/>
                        </a:ext>
                      </a:extLst>
                    </a:blip>
                    <a:srcRect r="19443" b="18027"/>
                    <a:stretch/>
                  </pic:blipFill>
                  <pic:spPr bwMode="auto">
                    <a:xfrm>
                      <a:off x="0" y="0"/>
                      <a:ext cx="4618621" cy="3280852"/>
                    </a:xfrm>
                    <a:prstGeom prst="rect">
                      <a:avLst/>
                    </a:prstGeom>
                    <a:noFill/>
                    <a:ln>
                      <a:noFill/>
                    </a:ln>
                    <a:extLst>
                      <a:ext uri="{53640926-AAD7-44D8-BBD7-CCE9431645EC}">
                        <a14:shadowObscured xmlns:a14="http://schemas.microsoft.com/office/drawing/2010/main"/>
                      </a:ext>
                    </a:extLst>
                  </pic:spPr>
                </pic:pic>
              </a:graphicData>
            </a:graphic>
          </wp:inline>
        </w:drawing>
      </w:r>
    </w:p>
    <w:p w:rsidR="0014484A" w:rsidRDefault="002433DE">
      <w:r w:rsidRPr="0014484A">
        <w:rPr>
          <w:b/>
        </w:rPr>
        <w:t>Figure S1</w:t>
      </w:r>
      <w:r>
        <w:t>. Same as Fig.</w:t>
      </w:r>
      <w:r w:rsidR="00D938FD">
        <w:t xml:space="preserve"> </w:t>
      </w:r>
      <w:r>
        <w:t>6, but clutch</w:t>
      </w:r>
      <w:r w:rsidR="009872A4">
        <w:t xml:space="preserve"> size =</w:t>
      </w:r>
      <w:r>
        <w:t xml:space="preserve"> 28, therefore c = 0.90 and a = -0.35708525.</w:t>
      </w:r>
    </w:p>
    <w:p w:rsidR="00745B71" w:rsidRDefault="00745B71"/>
    <w:p w:rsidR="00ED0384" w:rsidRDefault="00ED0384" w:rsidP="00DB40DD">
      <w:pPr>
        <w:rPr>
          <w:b/>
        </w:rPr>
      </w:pPr>
    </w:p>
    <w:p w:rsidR="00ED0384" w:rsidRDefault="00ED0384" w:rsidP="00DB40DD">
      <w:pPr>
        <w:rPr>
          <w:b/>
        </w:rPr>
      </w:pPr>
      <w:r>
        <w:rPr>
          <w:b/>
          <w:noProof/>
          <w:lang w:val="en-ZA" w:eastAsia="en-ZA"/>
        </w:rPr>
        <w:lastRenderedPageBreak/>
        <w:drawing>
          <wp:inline distT="0" distB="0" distL="0" distR="0">
            <wp:extent cx="5733415" cy="5724525"/>
            <wp:effectExtent l="0" t="0" r="635" b="952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Figure S2.tiff"/>
                    <pic:cNvPicPr/>
                  </pic:nvPicPr>
                  <pic:blipFill>
                    <a:blip r:embed="rId7">
                      <a:extLst>
                        <a:ext uri="{28A0092B-C50C-407E-A947-70E740481C1C}">
                          <a14:useLocalDpi xmlns:a14="http://schemas.microsoft.com/office/drawing/2010/main" val="0"/>
                        </a:ext>
                      </a:extLst>
                    </a:blip>
                    <a:stretch>
                      <a:fillRect/>
                    </a:stretch>
                  </pic:blipFill>
                  <pic:spPr>
                    <a:xfrm>
                      <a:off x="0" y="0"/>
                      <a:ext cx="5733415" cy="5724525"/>
                    </a:xfrm>
                    <a:prstGeom prst="rect">
                      <a:avLst/>
                    </a:prstGeom>
                  </pic:spPr>
                </pic:pic>
              </a:graphicData>
            </a:graphic>
          </wp:inline>
        </w:drawing>
      </w:r>
    </w:p>
    <w:p w:rsidR="00DB40DD" w:rsidRDefault="00DB40DD" w:rsidP="00DB40DD">
      <w:r>
        <w:rPr>
          <w:b/>
        </w:rPr>
        <w:t>Figure S2</w:t>
      </w:r>
      <w:r>
        <w:t>. Species</w:t>
      </w:r>
      <w:r w:rsidR="0053373D">
        <w:t xml:space="preserve">/experiments </w:t>
      </w:r>
      <w:r>
        <w:t xml:space="preserve">that </w:t>
      </w:r>
      <w:r w:rsidR="0053373D">
        <w:t xml:space="preserve">did not fit the two typical patterns. </w:t>
      </w:r>
      <w:r w:rsidR="00ED0384">
        <w:t>Three</w:t>
      </w:r>
      <w:r>
        <w:t xml:space="preserve"> data</w:t>
      </w:r>
      <w:r w:rsidR="00E01615">
        <w:t xml:space="preserve"> sets, each connected by a line</w:t>
      </w:r>
      <w:r>
        <w:t xml:space="preserve"> with </w:t>
      </w:r>
      <w:r w:rsidR="00ED0384">
        <w:t xml:space="preserve">its colour and the </w:t>
      </w:r>
      <w:r>
        <w:t>symbol outline colour indicating the genus and symbol fill i</w:t>
      </w:r>
      <w:r w:rsidR="00ED0384">
        <w:t>ndicating the foundress number</w:t>
      </w:r>
      <w:r>
        <w:t xml:space="preserve">. Symbol shapes are as follows: </w:t>
      </w:r>
      <w:r>
        <w:rPr>
          <w:i/>
        </w:rPr>
        <w:t xml:space="preserve">B. </w:t>
      </w:r>
      <w:r w:rsidR="00E01615">
        <w:rPr>
          <w:i/>
        </w:rPr>
        <w:t>psenes</w:t>
      </w:r>
      <w:r>
        <w:t xml:space="preserve"> (circle), </w:t>
      </w:r>
      <w:r w:rsidR="00E01615">
        <w:rPr>
          <w:i/>
        </w:rPr>
        <w:t>C</w:t>
      </w:r>
      <w:r w:rsidR="00ED0384">
        <w:rPr>
          <w:i/>
        </w:rPr>
        <w:t>eratosolen</w:t>
      </w:r>
      <w:r w:rsidR="00E01615">
        <w:rPr>
          <w:i/>
        </w:rPr>
        <w:t xml:space="preserve"> marchali</w:t>
      </w:r>
      <w:r>
        <w:t xml:space="preserve"> (</w:t>
      </w:r>
      <w:r w:rsidR="00E01615">
        <w:t>upward triangle)</w:t>
      </w:r>
      <w:r>
        <w:t xml:space="preserve"> and </w:t>
      </w:r>
      <w:r w:rsidR="00E01615">
        <w:rPr>
          <w:i/>
        </w:rPr>
        <w:t>Valisia javana</w:t>
      </w:r>
      <w:r>
        <w:t xml:space="preserve"> (</w:t>
      </w:r>
      <w:r w:rsidR="00E01615">
        <w:t>circle</w:t>
      </w:r>
      <w:r>
        <w:t xml:space="preserve">). Confidence intervals are not given as these are normally not reported. The grey line and circles indicate clutch compositions that would make Herre’s </w:t>
      </w:r>
      <w:r>
        <w:rPr>
          <w:i/>
        </w:rPr>
        <w:t>n</w:t>
      </w:r>
      <w:r>
        <w:rPr>
          <w:vertAlign w:val="subscript"/>
        </w:rPr>
        <w:t>h</w:t>
      </w:r>
      <w:r>
        <w:t xml:space="preserve"> assumption </w:t>
      </w:r>
      <w:r>
        <w:fldChar w:fldCharType="begin"/>
      </w:r>
      <w:r w:rsidR="00545B8E">
        <w:instrText xml:space="preserve"> ADDIN ZOTERO_ITEM CSL_CITATION {"citationID":"a2goiqvdatu","properties":{"formattedCitation":"[8]","plainCitation":"[8]","noteIndex":0},"citationItems":[{"id":8109,"uris":["http://zotero.org/groups/2649668/items/ANFEFLC2"],"uri":["http://zotero.org/groups/2649668/items/ANFEFLC2"],"itemData":{"id":8109,"type":"article-journal","container-title":"Science","issue":"4701","page":"896-898","title":"Sex ratio adjustment in fig wasps","volume":"228","author":[{"family":"Herre","given":"Edward Allen"}],"issued":{"date-parts":[["1985"]]}}}],"schema":"https://github.com/citation-style-language/schema/raw/master/csl-citation.json"} </w:instrText>
      </w:r>
      <w:r>
        <w:fldChar w:fldCharType="separate"/>
      </w:r>
      <w:r w:rsidR="00545B8E" w:rsidRPr="00545B8E">
        <w:t>[</w:t>
      </w:r>
      <w:r w:rsidR="00BE5B07">
        <w:t>9</w:t>
      </w:r>
      <w:r w:rsidR="00545B8E" w:rsidRPr="00545B8E">
        <w:t>]</w:t>
      </w:r>
      <w:r>
        <w:fldChar w:fldCharType="end"/>
      </w:r>
      <w:r>
        <w:t xml:space="preserve"> and equation (2) correct at the same time for an imaginary single-foundress clutch size of 200 and </w:t>
      </w:r>
      <w:r>
        <w:rPr>
          <w:i/>
        </w:rPr>
        <w:t>n</w:t>
      </w:r>
      <w:r>
        <w:rPr>
          <w:vertAlign w:val="subscript"/>
        </w:rPr>
        <w:t>h</w:t>
      </w:r>
      <w:r>
        <w:t xml:space="preserve"> = 2. The dotted lines are for one species where number of sons and number of daughters were both divided by 2. </w:t>
      </w:r>
      <w:r w:rsidR="00A378AE">
        <w:t xml:space="preserve">Details in Additional files </w:t>
      </w:r>
      <w:r w:rsidR="00626B25">
        <w:t>3</w:t>
      </w:r>
      <w:r w:rsidR="00A378AE">
        <w:t xml:space="preserve">. </w:t>
      </w:r>
      <w:r>
        <w:t>Note that the scales of the axes differ.</w:t>
      </w:r>
    </w:p>
    <w:p w:rsidR="00DB40DD" w:rsidRPr="00DB40DD" w:rsidRDefault="00DB40DD" w:rsidP="0014484A"/>
    <w:p w:rsidR="00520DC0" w:rsidRDefault="002433DE">
      <w:pPr>
        <w:pStyle w:val="Heading1"/>
      </w:pPr>
      <w:bookmarkStart w:id="6" w:name="_u07agk8h8zoi" w:colFirst="0" w:colLast="0"/>
      <w:bookmarkEnd w:id="6"/>
      <w:r>
        <w:t>References</w:t>
      </w:r>
    </w:p>
    <w:p w:rsidR="00545B8E" w:rsidRPr="00545B8E" w:rsidRDefault="0014484A" w:rsidP="00545B8E">
      <w:pPr>
        <w:pStyle w:val="Bibliography"/>
      </w:pPr>
      <w:r>
        <w:fldChar w:fldCharType="begin"/>
      </w:r>
      <w:r w:rsidR="00545B8E">
        <w:instrText xml:space="preserve"> ADDIN ZOTERO_BIBL {"uncited":[],"omitted":[],"custom":[]} CSL_BIBLIOGRAPHY </w:instrText>
      </w:r>
      <w:r>
        <w:fldChar w:fldCharType="separate"/>
      </w:r>
      <w:r w:rsidR="00545B8E" w:rsidRPr="00545B8E">
        <w:t>1. Huwaldt JA. PlotDigitizer [Internet]. 2015. Available from: http://plotdigitizer.sourceforge.net</w:t>
      </w:r>
    </w:p>
    <w:p w:rsidR="00545B8E" w:rsidRPr="00545B8E" w:rsidRDefault="00545B8E" w:rsidP="00545B8E">
      <w:pPr>
        <w:pStyle w:val="Bibliography"/>
      </w:pPr>
      <w:r w:rsidRPr="00545B8E">
        <w:lastRenderedPageBreak/>
        <w:t xml:space="preserve">2. R Core Team. R: A language and environment for statistical computing. Viena: R Foundation for Statistical Computing; 2018. </w:t>
      </w:r>
    </w:p>
    <w:p w:rsidR="00545B8E" w:rsidRPr="00545B8E" w:rsidRDefault="00545B8E" w:rsidP="00545B8E">
      <w:pPr>
        <w:pStyle w:val="Bibliography"/>
      </w:pPr>
      <w:r w:rsidRPr="00545B8E">
        <w:t>3. Hamilton WD. Wingless and fighting males in fig wasps and other insects. In: Blum MS, Blum NA, editors. Reprod</w:t>
      </w:r>
      <w:r w:rsidR="007E6234">
        <w:t>uctive</w:t>
      </w:r>
      <w:r w:rsidRPr="00545B8E">
        <w:t xml:space="preserve"> Compet</w:t>
      </w:r>
      <w:r w:rsidR="007E6234">
        <w:t>ition,</w:t>
      </w:r>
      <w:r w:rsidRPr="00545B8E">
        <w:t xml:space="preserve"> Mate Choice </w:t>
      </w:r>
      <w:r w:rsidR="007E6234">
        <w:t xml:space="preserve">and </w:t>
      </w:r>
      <w:r w:rsidRPr="00545B8E">
        <w:t>Sex</w:t>
      </w:r>
      <w:r w:rsidR="007E6234">
        <w:t>ual</w:t>
      </w:r>
      <w:r w:rsidRPr="00545B8E">
        <w:t xml:space="preserve"> Sel</w:t>
      </w:r>
      <w:r w:rsidR="007E6234">
        <w:t>ection in</w:t>
      </w:r>
      <w:r w:rsidRPr="00545B8E">
        <w:t xml:space="preserve"> Insects. New York: Academic Press; 1979. p. 167–220. </w:t>
      </w:r>
    </w:p>
    <w:p w:rsidR="00545B8E" w:rsidRPr="00545B8E" w:rsidRDefault="00545B8E" w:rsidP="00545B8E">
      <w:pPr>
        <w:pStyle w:val="Bibliography"/>
      </w:pPr>
      <w:r w:rsidRPr="00545B8E">
        <w:t xml:space="preserve">4. Suzuki Y, Iwasa Y. A sex ratio theory of gregarious parasitoids. Res Popul Ecol. 1980;22:366–82. </w:t>
      </w:r>
    </w:p>
    <w:p w:rsidR="00545B8E" w:rsidRPr="00545B8E" w:rsidRDefault="00545B8E" w:rsidP="00545B8E">
      <w:pPr>
        <w:pStyle w:val="Bibliography"/>
      </w:pPr>
      <w:r w:rsidRPr="00545B8E">
        <w:t>5. Seger J, Stubblefield JW. Sex ratio theory. In: Hardy ICW, editor. Sex Ratios</w:t>
      </w:r>
      <w:r w:rsidR="007E6234">
        <w:t>:</w:t>
      </w:r>
      <w:r w:rsidRPr="00545B8E">
        <w:t xml:space="preserve"> Concepts </w:t>
      </w:r>
      <w:r w:rsidR="007E6234">
        <w:t xml:space="preserve">and </w:t>
      </w:r>
      <w:r w:rsidRPr="00545B8E">
        <w:t>Res</w:t>
      </w:r>
      <w:r w:rsidR="007E6234">
        <w:t>earch</w:t>
      </w:r>
      <w:r w:rsidRPr="00545B8E">
        <w:t xml:space="preserve"> Methods. Cambridge: Cambridge University Press; 2002. p. 2–25. </w:t>
      </w:r>
    </w:p>
    <w:p w:rsidR="00545B8E" w:rsidRPr="00545B8E" w:rsidRDefault="00545B8E" w:rsidP="00545B8E">
      <w:pPr>
        <w:pStyle w:val="Bibliography"/>
      </w:pPr>
      <w:r w:rsidRPr="00545B8E">
        <w:t xml:space="preserve">6. Crozier RH, Pamilo P. Evolution of social insect colonies: sex allocation and kin selection. Oxford, New York: Oxford University Press; 1996. </w:t>
      </w:r>
    </w:p>
    <w:p w:rsidR="00FD7A01" w:rsidRDefault="00FD7A01" w:rsidP="00545B8E">
      <w:pPr>
        <w:pStyle w:val="Bibliography"/>
      </w:pPr>
      <w:r>
        <w:t xml:space="preserve">7. Price GR. Selection and covariance. </w:t>
      </w:r>
      <w:r w:rsidR="00BE5B07">
        <w:t>Nature, 1970;227:520</w:t>
      </w:r>
      <w:r w:rsidR="00BE5B07" w:rsidRPr="00545B8E">
        <w:t>–</w:t>
      </w:r>
      <w:r w:rsidR="00BE5B07">
        <w:t>1.</w:t>
      </w:r>
    </w:p>
    <w:p w:rsidR="00545B8E" w:rsidRPr="00545B8E" w:rsidRDefault="00FD7A01" w:rsidP="00545B8E">
      <w:pPr>
        <w:pStyle w:val="Bibliography"/>
      </w:pPr>
      <w:r>
        <w:t>8</w:t>
      </w:r>
      <w:r w:rsidR="00545B8E" w:rsidRPr="00545B8E">
        <w:t xml:space="preserve">. Tayou A. Etude du Mutualisme </w:t>
      </w:r>
      <w:r w:rsidR="00545B8E" w:rsidRPr="007E6234">
        <w:rPr>
          <w:i/>
        </w:rPr>
        <w:t>Ficus</w:t>
      </w:r>
      <w:r w:rsidR="00545B8E" w:rsidRPr="00545B8E">
        <w:t xml:space="preserve">-Pollinisateur: sex ratio et transport du pollen. Institut National Agronomique Paris-Grignon; 1991. </w:t>
      </w:r>
    </w:p>
    <w:p w:rsidR="00545B8E" w:rsidRPr="00545B8E" w:rsidRDefault="00FD7A01" w:rsidP="00545B8E">
      <w:pPr>
        <w:pStyle w:val="Bibliography"/>
      </w:pPr>
      <w:r>
        <w:t>9</w:t>
      </w:r>
      <w:r w:rsidR="00545B8E" w:rsidRPr="00545B8E">
        <w:t xml:space="preserve">. Herre EA. Sex ratio adjustment in fig wasps. Science. 1985;228:896–8. </w:t>
      </w:r>
    </w:p>
    <w:p w:rsidR="00520DC0" w:rsidRDefault="0014484A" w:rsidP="000C1FB7">
      <w:pPr>
        <w:widowControl w:val="0"/>
        <w:pBdr>
          <w:top w:val="nil"/>
          <w:left w:val="nil"/>
          <w:bottom w:val="nil"/>
          <w:right w:val="nil"/>
          <w:between w:val="nil"/>
        </w:pBdr>
        <w:spacing w:line="240" w:lineRule="auto"/>
      </w:pPr>
      <w:r>
        <w:fldChar w:fldCharType="end"/>
      </w:r>
    </w:p>
    <w:sectPr w:rsidR="00520DC0">
      <w:footerReference w:type="default" r:id="rId8"/>
      <w:pgSz w:w="11909" w:h="16834"/>
      <w:pgMar w:top="1440" w:right="1440" w:bottom="1440" w:left="144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852AE" w:rsidRDefault="00B852AE">
      <w:pPr>
        <w:spacing w:line="240" w:lineRule="auto"/>
      </w:pPr>
      <w:r>
        <w:separator/>
      </w:r>
    </w:p>
  </w:endnote>
  <w:endnote w:type="continuationSeparator" w:id="0">
    <w:p w:rsidR="00B852AE" w:rsidRDefault="00B852A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altName w:val="Arial"/>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3373D" w:rsidRDefault="0053373D">
    <w:pPr>
      <w:jc w:val="right"/>
    </w:pPr>
    <w:r>
      <w:fldChar w:fldCharType="begin"/>
    </w:r>
    <w:r>
      <w:instrText>PAGE</w:instrText>
    </w:r>
    <w:r>
      <w:fldChar w:fldCharType="separate"/>
    </w:r>
    <w:r w:rsidR="002962DC">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852AE" w:rsidRDefault="00B852AE">
      <w:pPr>
        <w:spacing w:line="240" w:lineRule="auto"/>
      </w:pPr>
      <w:r>
        <w:separator/>
      </w:r>
    </w:p>
  </w:footnote>
  <w:footnote w:type="continuationSeparator" w:id="0">
    <w:p w:rsidR="00B852AE" w:rsidRDefault="00B852AE">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0DC0"/>
    <w:rsid w:val="000859C2"/>
    <w:rsid w:val="000A48B6"/>
    <w:rsid w:val="000C1FB7"/>
    <w:rsid w:val="0014484A"/>
    <w:rsid w:val="00154A83"/>
    <w:rsid w:val="001E4C64"/>
    <w:rsid w:val="002433DE"/>
    <w:rsid w:val="002962DC"/>
    <w:rsid w:val="002A53D0"/>
    <w:rsid w:val="003A4D53"/>
    <w:rsid w:val="00420763"/>
    <w:rsid w:val="004C44CB"/>
    <w:rsid w:val="00506F3A"/>
    <w:rsid w:val="00520DC0"/>
    <w:rsid w:val="0053373D"/>
    <w:rsid w:val="00545B8E"/>
    <w:rsid w:val="005616C1"/>
    <w:rsid w:val="00572EFD"/>
    <w:rsid w:val="005E2504"/>
    <w:rsid w:val="00626B25"/>
    <w:rsid w:val="00675443"/>
    <w:rsid w:val="00745B71"/>
    <w:rsid w:val="007E6234"/>
    <w:rsid w:val="00800E72"/>
    <w:rsid w:val="0087578E"/>
    <w:rsid w:val="008E309D"/>
    <w:rsid w:val="00923E32"/>
    <w:rsid w:val="009355A7"/>
    <w:rsid w:val="009872A4"/>
    <w:rsid w:val="009C118E"/>
    <w:rsid w:val="00A378AE"/>
    <w:rsid w:val="00A7441F"/>
    <w:rsid w:val="00A80D21"/>
    <w:rsid w:val="00AA40A0"/>
    <w:rsid w:val="00AC6D88"/>
    <w:rsid w:val="00B06D00"/>
    <w:rsid w:val="00B51D0A"/>
    <w:rsid w:val="00B852AE"/>
    <w:rsid w:val="00BE5B07"/>
    <w:rsid w:val="00C568F9"/>
    <w:rsid w:val="00CB59AA"/>
    <w:rsid w:val="00D8408B"/>
    <w:rsid w:val="00D90295"/>
    <w:rsid w:val="00D938FD"/>
    <w:rsid w:val="00DB40DD"/>
    <w:rsid w:val="00DC2AC1"/>
    <w:rsid w:val="00E01615"/>
    <w:rsid w:val="00ED0384"/>
    <w:rsid w:val="00FD7A0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4711888-40DD-4992-A4AC-752718A3E1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GB" w:eastAsia="en-GB"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32"/>
      <w:szCs w:val="32"/>
    </w:rPr>
  </w:style>
  <w:style w:type="paragraph" w:styleId="Heading2">
    <w:name w:val="heading 2"/>
    <w:basedOn w:val="Normal"/>
    <w:next w:val="Normal"/>
    <w:pPr>
      <w:keepNext/>
      <w:keepLines/>
      <w:outlineLvl w:val="1"/>
    </w:pPr>
    <w:rPr>
      <w:sz w:val="28"/>
      <w:szCs w:val="28"/>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pPr>
    <w:rPr>
      <w:b/>
      <w:sz w:val="36"/>
      <w:szCs w:val="36"/>
    </w:rPr>
  </w:style>
  <w:style w:type="paragraph" w:styleId="Subtitle">
    <w:name w:val="Subtitle"/>
    <w:basedOn w:val="Normal"/>
    <w:next w:val="Normal"/>
    <w:pPr>
      <w:keepNext/>
      <w:keepLines/>
      <w:spacing w:after="320"/>
    </w:pPr>
    <w:rPr>
      <w:color w:val="666666"/>
      <w:sz w:val="30"/>
      <w:szCs w:val="30"/>
    </w:rPr>
  </w:style>
  <w:style w:type="paragraph" w:styleId="Bibliography">
    <w:name w:val="Bibliography"/>
    <w:basedOn w:val="Normal"/>
    <w:next w:val="Normal"/>
    <w:uiPriority w:val="37"/>
    <w:unhideWhenUsed/>
    <w:rsid w:val="0014484A"/>
    <w:pPr>
      <w:spacing w:after="240" w:line="240" w:lineRule="auto"/>
    </w:pPr>
  </w:style>
  <w:style w:type="paragraph" w:styleId="BalloonText">
    <w:name w:val="Balloon Text"/>
    <w:basedOn w:val="Normal"/>
    <w:link w:val="BalloonTextChar"/>
    <w:uiPriority w:val="99"/>
    <w:semiHidden/>
    <w:unhideWhenUsed/>
    <w:rsid w:val="00B06D00"/>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06D0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image" Target="media/image2.tiff"/><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emf"/><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2368</Words>
  <Characters>13501</Characters>
  <Application>Microsoft Office Word</Application>
  <DocSecurity>0</DocSecurity>
  <Lines>112</Lines>
  <Paragraphs>31</Paragraphs>
  <ScaleCrop>false</ScaleCrop>
  <HeadingPairs>
    <vt:vector size="2" baseType="variant">
      <vt:variant>
        <vt:lpstr>Title</vt:lpstr>
      </vt:variant>
      <vt:variant>
        <vt:i4>1</vt:i4>
      </vt:variant>
    </vt:vector>
  </HeadingPairs>
  <TitlesOfParts>
    <vt:vector size="1" baseType="lpstr">
      <vt:lpstr/>
    </vt:vector>
  </TitlesOfParts>
  <Company>University of Pretoria</Company>
  <LinksUpToDate>false</LinksUpToDate>
  <CharactersWithSpaces>15838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Prof. JM Greeff</dc:creator>
  <cp:lastModifiedBy>Miss. D Mabunda</cp:lastModifiedBy>
  <cp:revision>2</cp:revision>
  <dcterms:created xsi:type="dcterms:W3CDTF">2022-10-25T06:47:00Z</dcterms:created>
  <dcterms:modified xsi:type="dcterms:W3CDTF">2022-10-25T06:47:00Z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{"style":{"styleID":"http://www.zotero.org/styles/frontiers-in-zoology","hasBibliography":true,"bibliographyStyleHasBeenSet":true},"prefs":{"fieldType":"Field","automaticJournalAbbreviations":true,"delayCitationUpdates":true,"noteType":0,"dontAskDelayCita</vt:lpwstr>
  </property>
  <property fmtid="{D5CDD505-2E9C-101B-9397-08002B2CF9AE}" pid="3" name="ZOTERO_PREF_2">
    <vt:lpwstr>tionUpdates":true},"sessionID":"NywkgN0W","zoteroVersion":"5.0.96.3","dataVersion":4}</vt:lpwstr>
  </property>
</Properties>
</file>