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F7FA2C" w14:textId="7D26160C" w:rsidR="009C1846" w:rsidRPr="00F975C1" w:rsidRDefault="00DE6B60" w:rsidP="00E30FA9">
      <w:pPr>
        <w:jc w:val="center"/>
        <w:rPr>
          <w:rFonts w:ascii="Garamond" w:hAnsi="Garamond"/>
          <w:b/>
          <w:sz w:val="24"/>
          <w:szCs w:val="24"/>
        </w:rPr>
      </w:pPr>
      <w:bookmarkStart w:id="0" w:name="_GoBack"/>
      <w:bookmarkEnd w:id="0"/>
      <w:r w:rsidRPr="00F975C1">
        <w:rPr>
          <w:rFonts w:ascii="Garamond" w:hAnsi="Garamond"/>
          <w:b/>
          <w:sz w:val="24"/>
          <w:szCs w:val="24"/>
        </w:rPr>
        <w:t>Effect of Uncertainty on</w:t>
      </w:r>
      <w:r w:rsidR="00E30FA9" w:rsidRPr="00F975C1">
        <w:rPr>
          <w:rFonts w:ascii="Garamond" w:hAnsi="Garamond"/>
          <w:b/>
          <w:sz w:val="24"/>
          <w:szCs w:val="24"/>
        </w:rPr>
        <w:t xml:space="preserve"> </w:t>
      </w:r>
      <w:r w:rsidR="004A43EF">
        <w:rPr>
          <w:rFonts w:ascii="Garamond" w:hAnsi="Garamond"/>
          <w:b/>
          <w:sz w:val="24"/>
          <w:szCs w:val="24"/>
        </w:rPr>
        <w:t>U.S.</w:t>
      </w:r>
      <w:r w:rsidR="00CC4012" w:rsidRPr="00F975C1">
        <w:rPr>
          <w:rFonts w:ascii="Garamond" w:hAnsi="Garamond"/>
          <w:b/>
          <w:sz w:val="24"/>
          <w:szCs w:val="24"/>
        </w:rPr>
        <w:t xml:space="preserve"> </w:t>
      </w:r>
      <w:r w:rsidR="00E30FA9" w:rsidRPr="00F975C1">
        <w:rPr>
          <w:rFonts w:ascii="Garamond" w:hAnsi="Garamond"/>
          <w:b/>
          <w:sz w:val="24"/>
          <w:szCs w:val="24"/>
        </w:rPr>
        <w:t xml:space="preserve">Stock Returns and Volatility: </w:t>
      </w:r>
      <w:r w:rsidRPr="00F975C1">
        <w:rPr>
          <w:rFonts w:ascii="Garamond" w:hAnsi="Garamond"/>
          <w:b/>
          <w:sz w:val="24"/>
          <w:szCs w:val="24"/>
        </w:rPr>
        <w:t>Evidence from O</w:t>
      </w:r>
      <w:r w:rsidR="00E30FA9" w:rsidRPr="00F975C1">
        <w:rPr>
          <w:rFonts w:ascii="Garamond" w:hAnsi="Garamond"/>
          <w:b/>
          <w:sz w:val="24"/>
          <w:szCs w:val="24"/>
        </w:rPr>
        <w:t xml:space="preserve">ver Eighty Years of </w:t>
      </w:r>
      <w:r w:rsidR="004A43EF">
        <w:rPr>
          <w:rFonts w:ascii="Garamond" w:hAnsi="Garamond"/>
          <w:b/>
          <w:sz w:val="24"/>
          <w:szCs w:val="24"/>
        </w:rPr>
        <w:t>High-</w:t>
      </w:r>
      <w:r w:rsidR="003C2741" w:rsidRPr="00F975C1">
        <w:rPr>
          <w:rFonts w:ascii="Garamond" w:hAnsi="Garamond"/>
          <w:b/>
          <w:sz w:val="24"/>
          <w:szCs w:val="24"/>
        </w:rPr>
        <w:t>Frequency</w:t>
      </w:r>
      <w:r w:rsidR="00CC4012" w:rsidRPr="00F975C1">
        <w:rPr>
          <w:rFonts w:ascii="Garamond" w:hAnsi="Garamond"/>
          <w:b/>
          <w:sz w:val="24"/>
          <w:szCs w:val="24"/>
        </w:rPr>
        <w:t xml:space="preserve"> </w:t>
      </w:r>
      <w:r w:rsidR="00E30FA9" w:rsidRPr="00F975C1">
        <w:rPr>
          <w:rFonts w:ascii="Garamond" w:hAnsi="Garamond"/>
          <w:b/>
          <w:sz w:val="24"/>
          <w:szCs w:val="24"/>
        </w:rPr>
        <w:t>Data</w:t>
      </w:r>
    </w:p>
    <w:p w14:paraId="5C45543B" w14:textId="77777777" w:rsidR="00500444" w:rsidRPr="00F975C1" w:rsidRDefault="00500444" w:rsidP="00E30FA9">
      <w:pPr>
        <w:jc w:val="center"/>
        <w:rPr>
          <w:rFonts w:ascii="Garamond" w:hAnsi="Garamond"/>
          <w:sz w:val="24"/>
          <w:szCs w:val="24"/>
        </w:rPr>
      </w:pPr>
      <w:proofErr w:type="spellStart"/>
      <w:r w:rsidRPr="00F975C1">
        <w:rPr>
          <w:rFonts w:ascii="Garamond" w:hAnsi="Garamond"/>
          <w:sz w:val="24"/>
          <w:szCs w:val="24"/>
        </w:rPr>
        <w:t>Rangan</w:t>
      </w:r>
      <w:proofErr w:type="spellEnd"/>
      <w:r w:rsidRPr="00F975C1">
        <w:rPr>
          <w:rFonts w:ascii="Garamond" w:hAnsi="Garamond"/>
          <w:sz w:val="24"/>
          <w:szCs w:val="24"/>
        </w:rPr>
        <w:t xml:space="preserve"> Gupta</w:t>
      </w:r>
      <w:r w:rsidRPr="00F975C1">
        <w:rPr>
          <w:rStyle w:val="FootnoteReference"/>
          <w:rFonts w:ascii="Garamond" w:hAnsi="Garamond"/>
          <w:sz w:val="24"/>
          <w:szCs w:val="24"/>
        </w:rPr>
        <w:footnoteReference w:customMarkFollows="1" w:id="1"/>
        <w:t>*</w:t>
      </w:r>
      <w:r w:rsidRPr="00F975C1">
        <w:rPr>
          <w:rFonts w:ascii="Garamond" w:hAnsi="Garamond"/>
          <w:sz w:val="24"/>
          <w:szCs w:val="24"/>
        </w:rPr>
        <w:t xml:space="preserve">, Hardik A. </w:t>
      </w:r>
      <w:proofErr w:type="spellStart"/>
      <w:r w:rsidRPr="00F975C1">
        <w:rPr>
          <w:rFonts w:ascii="Garamond" w:hAnsi="Garamond"/>
          <w:sz w:val="24"/>
          <w:szCs w:val="24"/>
        </w:rPr>
        <w:t>Marfatia</w:t>
      </w:r>
      <w:proofErr w:type="spellEnd"/>
      <w:r w:rsidRPr="00F975C1">
        <w:rPr>
          <w:rStyle w:val="FootnoteReference"/>
          <w:rFonts w:ascii="Garamond" w:hAnsi="Garamond"/>
          <w:sz w:val="24"/>
          <w:szCs w:val="24"/>
        </w:rPr>
        <w:footnoteReference w:customMarkFollows="1" w:id="2"/>
        <w:t>**</w:t>
      </w:r>
      <w:r w:rsidRPr="00F975C1">
        <w:rPr>
          <w:rFonts w:ascii="Garamond" w:hAnsi="Garamond"/>
          <w:sz w:val="24"/>
          <w:szCs w:val="24"/>
        </w:rPr>
        <w:t xml:space="preserve"> and Eric Olson</w:t>
      </w:r>
      <w:r w:rsidRPr="00F975C1">
        <w:rPr>
          <w:rStyle w:val="FootnoteReference"/>
          <w:rFonts w:ascii="Garamond" w:hAnsi="Garamond"/>
          <w:sz w:val="24"/>
          <w:szCs w:val="24"/>
        </w:rPr>
        <w:footnoteReference w:customMarkFollows="1" w:id="3"/>
        <w:t>***</w:t>
      </w:r>
    </w:p>
    <w:p w14:paraId="6ABD4B26" w14:textId="77777777" w:rsidR="00E30FA9" w:rsidRPr="00F975C1" w:rsidRDefault="00500444" w:rsidP="00E30FA9">
      <w:pPr>
        <w:jc w:val="center"/>
        <w:rPr>
          <w:rFonts w:ascii="Garamond" w:hAnsi="Garamond"/>
          <w:b/>
          <w:sz w:val="24"/>
          <w:szCs w:val="24"/>
        </w:rPr>
      </w:pPr>
      <w:r w:rsidRPr="00F975C1">
        <w:rPr>
          <w:rFonts w:ascii="Garamond" w:hAnsi="Garamond"/>
          <w:b/>
          <w:sz w:val="24"/>
          <w:szCs w:val="24"/>
        </w:rPr>
        <w:t>Abstract</w:t>
      </w:r>
    </w:p>
    <w:p w14:paraId="7AF8EA56" w14:textId="4D450D6A" w:rsidR="00517F22" w:rsidRPr="0081418F" w:rsidRDefault="0081418F" w:rsidP="00517F22">
      <w:pPr>
        <w:spacing w:after="0" w:line="240" w:lineRule="auto"/>
        <w:ind w:right="20"/>
        <w:contextualSpacing/>
        <w:jc w:val="both"/>
        <w:rPr>
          <w:rFonts w:ascii="Garamond" w:hAnsi="Garamond"/>
          <w:sz w:val="24"/>
          <w:szCs w:val="24"/>
        </w:rPr>
      </w:pPr>
      <w:r w:rsidRPr="0081418F">
        <w:rPr>
          <w:rFonts w:ascii="Garamond" w:hAnsi="Garamond"/>
          <w:sz w:val="24"/>
          <w:szCs w:val="24"/>
        </w:rPr>
        <w:t xml:space="preserve">We explore the asymmetric high-frequency daily response of U.S. equities to financial uncertainty over the 1936–2016 period. We find </w:t>
      </w:r>
      <w:proofErr w:type="gramStart"/>
      <w:r w:rsidRPr="0081418F">
        <w:rPr>
          <w:rFonts w:ascii="Garamond" w:hAnsi="Garamond"/>
          <w:sz w:val="24"/>
          <w:szCs w:val="24"/>
        </w:rPr>
        <w:t>positive growth</w:t>
      </w:r>
      <w:proofErr w:type="gramEnd"/>
      <w:r w:rsidRPr="0081418F">
        <w:rPr>
          <w:rFonts w:ascii="Garamond" w:hAnsi="Garamond"/>
          <w:sz w:val="24"/>
          <w:szCs w:val="24"/>
        </w:rPr>
        <w:t xml:space="preserve"> of uncertainty reduces stock returns and increases volatility, while, a negative growth of uncertainty primarily reduces variance. More importantly, the impact of uncertainty on volatility is found to be asymmetric. We also model rolling window estimation and find significant time variation in the impact of uncertainty, though the direction largely confirms with the static case. Our study provides new evidence that the response of U.S. equities to uncertainty is intuitively consistent even in the historical and high-frequency </w:t>
      </w:r>
      <w:proofErr w:type="gramStart"/>
      <w:r w:rsidRPr="0081418F">
        <w:rPr>
          <w:rFonts w:ascii="Garamond" w:hAnsi="Garamond"/>
          <w:sz w:val="24"/>
          <w:szCs w:val="24"/>
        </w:rPr>
        <w:t>context.</w:t>
      </w:r>
      <w:r w:rsidR="005576CC" w:rsidRPr="0081418F">
        <w:rPr>
          <w:rFonts w:ascii="Garamond" w:hAnsi="Garamond"/>
          <w:sz w:val="24"/>
          <w:szCs w:val="24"/>
        </w:rPr>
        <w:t>.</w:t>
      </w:r>
      <w:proofErr w:type="gramEnd"/>
    </w:p>
    <w:p w14:paraId="3A42D6E9" w14:textId="77777777" w:rsidR="00E30FA9" w:rsidRPr="00F975C1" w:rsidRDefault="00E30FA9" w:rsidP="00517F22">
      <w:pPr>
        <w:jc w:val="both"/>
        <w:rPr>
          <w:rFonts w:ascii="Garamond" w:hAnsi="Garamond"/>
          <w:b/>
          <w:sz w:val="24"/>
          <w:szCs w:val="24"/>
        </w:rPr>
      </w:pPr>
    </w:p>
    <w:p w14:paraId="313B7140" w14:textId="77777777" w:rsidR="00500444" w:rsidRPr="00F975C1" w:rsidRDefault="00500444" w:rsidP="00B6726B">
      <w:pPr>
        <w:spacing w:after="0" w:line="240" w:lineRule="auto"/>
        <w:jc w:val="both"/>
        <w:rPr>
          <w:rFonts w:ascii="Garamond" w:hAnsi="Garamond"/>
          <w:sz w:val="24"/>
          <w:szCs w:val="24"/>
        </w:rPr>
      </w:pPr>
      <w:r w:rsidRPr="00F975C1">
        <w:rPr>
          <w:rFonts w:ascii="Garamond" w:hAnsi="Garamond"/>
          <w:b/>
          <w:sz w:val="24"/>
          <w:szCs w:val="24"/>
        </w:rPr>
        <w:t>Keywords:</w:t>
      </w:r>
      <w:r w:rsidRPr="00F975C1">
        <w:rPr>
          <w:rFonts w:ascii="Garamond" w:hAnsi="Garamond"/>
          <w:sz w:val="24"/>
          <w:szCs w:val="24"/>
        </w:rPr>
        <w:t xml:space="preserve"> Uncertainty, Stock Returns and Volatility, Asymmetry, Rolling Estimation </w:t>
      </w:r>
    </w:p>
    <w:p w14:paraId="50747E77" w14:textId="77777777" w:rsidR="00500444" w:rsidRPr="00F975C1" w:rsidRDefault="00500444" w:rsidP="00B6726B">
      <w:pPr>
        <w:spacing w:after="0" w:line="240" w:lineRule="auto"/>
        <w:jc w:val="both"/>
        <w:rPr>
          <w:rFonts w:ascii="Garamond" w:hAnsi="Garamond"/>
          <w:sz w:val="24"/>
          <w:szCs w:val="24"/>
        </w:rPr>
      </w:pPr>
      <w:r w:rsidRPr="00F975C1">
        <w:rPr>
          <w:rFonts w:ascii="Garamond" w:hAnsi="Garamond"/>
          <w:b/>
          <w:sz w:val="24"/>
          <w:szCs w:val="24"/>
        </w:rPr>
        <w:t>JEL Codes:</w:t>
      </w:r>
      <w:r w:rsidRPr="00F975C1">
        <w:rPr>
          <w:rFonts w:ascii="Garamond" w:hAnsi="Garamond"/>
          <w:sz w:val="24"/>
          <w:szCs w:val="24"/>
        </w:rPr>
        <w:t xml:space="preserve"> C32, G10</w:t>
      </w:r>
    </w:p>
    <w:p w14:paraId="20246962" w14:textId="77777777" w:rsidR="00B6726B" w:rsidRPr="00F975C1" w:rsidRDefault="00B6726B" w:rsidP="00B6726B">
      <w:pPr>
        <w:spacing w:after="0" w:line="240" w:lineRule="auto"/>
        <w:jc w:val="both"/>
        <w:rPr>
          <w:rFonts w:ascii="Garamond" w:hAnsi="Garamond"/>
          <w:sz w:val="24"/>
          <w:szCs w:val="24"/>
        </w:rPr>
      </w:pPr>
    </w:p>
    <w:p w14:paraId="2FEB9963" w14:textId="77777777" w:rsidR="00B6726B" w:rsidRPr="00F975C1" w:rsidRDefault="00B6726B" w:rsidP="00B6726B">
      <w:pPr>
        <w:spacing w:after="0" w:line="240" w:lineRule="auto"/>
        <w:jc w:val="both"/>
        <w:rPr>
          <w:rFonts w:ascii="Garamond" w:hAnsi="Garamond"/>
          <w:sz w:val="24"/>
          <w:szCs w:val="24"/>
        </w:rPr>
      </w:pPr>
    </w:p>
    <w:p w14:paraId="523DE8B8" w14:textId="77777777" w:rsidR="00F975C1" w:rsidRDefault="00F975C1">
      <w:pPr>
        <w:rPr>
          <w:rFonts w:ascii="Garamond" w:hAnsi="Garamond"/>
          <w:b/>
          <w:sz w:val="24"/>
          <w:szCs w:val="24"/>
        </w:rPr>
      </w:pPr>
      <w:r>
        <w:rPr>
          <w:rFonts w:ascii="Garamond" w:hAnsi="Garamond"/>
          <w:b/>
          <w:sz w:val="24"/>
          <w:szCs w:val="24"/>
        </w:rPr>
        <w:br w:type="page"/>
      </w:r>
    </w:p>
    <w:p w14:paraId="7C683B0F" w14:textId="7882EFFE" w:rsidR="004E5BE3" w:rsidRPr="00F975C1" w:rsidRDefault="004E5BE3" w:rsidP="004E5BE3">
      <w:pPr>
        <w:pStyle w:val="ListParagraph"/>
        <w:numPr>
          <w:ilvl w:val="0"/>
          <w:numId w:val="1"/>
        </w:numPr>
        <w:jc w:val="both"/>
        <w:rPr>
          <w:rFonts w:ascii="Garamond" w:hAnsi="Garamond"/>
          <w:b/>
          <w:sz w:val="24"/>
          <w:szCs w:val="24"/>
        </w:rPr>
      </w:pPr>
      <w:r w:rsidRPr="00F975C1">
        <w:rPr>
          <w:rFonts w:ascii="Garamond" w:hAnsi="Garamond"/>
          <w:b/>
          <w:sz w:val="24"/>
          <w:szCs w:val="24"/>
        </w:rPr>
        <w:lastRenderedPageBreak/>
        <w:t>Introduction</w:t>
      </w:r>
    </w:p>
    <w:p w14:paraId="45AEB552" w14:textId="7F2663C4" w:rsidR="00716C2D" w:rsidRPr="00F975C1" w:rsidRDefault="00E44344" w:rsidP="004E5BE3">
      <w:pPr>
        <w:jc w:val="both"/>
        <w:rPr>
          <w:rFonts w:ascii="Garamond" w:hAnsi="Garamond"/>
          <w:sz w:val="24"/>
          <w:szCs w:val="24"/>
        </w:rPr>
      </w:pPr>
      <w:r w:rsidRPr="00F975C1">
        <w:rPr>
          <w:rFonts w:ascii="Garamond" w:hAnsi="Garamond"/>
          <w:sz w:val="24"/>
          <w:szCs w:val="24"/>
        </w:rPr>
        <w:t>In the wake of the “Great Recession”, which</w:t>
      </w:r>
      <w:r w:rsidR="00F975C1">
        <w:rPr>
          <w:rFonts w:ascii="Garamond" w:hAnsi="Garamond"/>
          <w:sz w:val="24"/>
          <w:szCs w:val="24"/>
        </w:rPr>
        <w:t xml:space="preserve"> was exacerbated by</w:t>
      </w:r>
      <w:r w:rsidRPr="00F975C1">
        <w:rPr>
          <w:rFonts w:ascii="Garamond" w:hAnsi="Garamond"/>
          <w:sz w:val="24"/>
          <w:szCs w:val="24"/>
        </w:rPr>
        <w:t xml:space="preserve"> the “Global Financial Crisis”, a large literature has evolved, which aims to measure uncertainty – a latent variable</w:t>
      </w:r>
      <w:r w:rsidR="00F975C1">
        <w:rPr>
          <w:rFonts w:ascii="Garamond" w:hAnsi="Garamond"/>
          <w:sz w:val="24"/>
          <w:szCs w:val="24"/>
        </w:rPr>
        <w:t xml:space="preserve"> </w:t>
      </w:r>
      <w:r w:rsidR="00F975C1" w:rsidRPr="0040143F">
        <w:rPr>
          <w:rFonts w:ascii="Garamond" w:hAnsi="Garamond"/>
          <w:sz w:val="24"/>
          <w:szCs w:val="24"/>
        </w:rPr>
        <w:t>–</w:t>
      </w:r>
      <w:r w:rsidRPr="00F975C1">
        <w:rPr>
          <w:rFonts w:ascii="Garamond" w:hAnsi="Garamond"/>
          <w:sz w:val="24"/>
          <w:szCs w:val="24"/>
        </w:rPr>
        <w:t xml:space="preserve"> and empirically evaluate the impact of uncertainty on the macroeconomy and financial markets (see</w:t>
      </w:r>
      <w:r w:rsidR="00A65ABA" w:rsidRPr="00F975C1">
        <w:rPr>
          <w:rFonts w:ascii="Garamond" w:hAnsi="Garamond"/>
          <w:sz w:val="24"/>
          <w:szCs w:val="24"/>
        </w:rPr>
        <w:t xml:space="preserve"> for example, </w:t>
      </w:r>
      <w:proofErr w:type="spellStart"/>
      <w:r w:rsidR="00A65ABA" w:rsidRPr="00F975C1">
        <w:rPr>
          <w:rFonts w:ascii="Garamond" w:hAnsi="Garamond"/>
          <w:sz w:val="24"/>
          <w:szCs w:val="24"/>
        </w:rPr>
        <w:t>Chuliá</w:t>
      </w:r>
      <w:proofErr w:type="spellEnd"/>
      <w:r w:rsidR="00A65ABA" w:rsidRPr="00F975C1">
        <w:rPr>
          <w:rFonts w:ascii="Garamond" w:hAnsi="Garamond"/>
          <w:sz w:val="24"/>
          <w:szCs w:val="24"/>
        </w:rPr>
        <w:t xml:space="preserve"> et al., (2017a) and Gupta et al., (2019) for literature reviews</w:t>
      </w:r>
      <w:r w:rsidRPr="00F975C1">
        <w:rPr>
          <w:rFonts w:ascii="Garamond" w:hAnsi="Garamond"/>
          <w:sz w:val="24"/>
          <w:szCs w:val="24"/>
        </w:rPr>
        <w:t>). As far as quantifying uncertainty is concerned, multiple approaches have been developed (see</w:t>
      </w:r>
      <w:r w:rsidR="00A65ABA" w:rsidRPr="00F975C1">
        <w:rPr>
          <w:rFonts w:ascii="Garamond" w:hAnsi="Garamond"/>
          <w:sz w:val="24"/>
          <w:szCs w:val="24"/>
        </w:rPr>
        <w:t xml:space="preserve">, </w:t>
      </w:r>
      <w:r w:rsidR="00F33D93" w:rsidRPr="00F975C1">
        <w:rPr>
          <w:rFonts w:ascii="Garamond" w:hAnsi="Garamond"/>
          <w:sz w:val="24"/>
          <w:szCs w:val="24"/>
        </w:rPr>
        <w:t xml:space="preserve">Strobel (2015) and </w:t>
      </w:r>
      <w:proofErr w:type="spellStart"/>
      <w:r w:rsidR="00F33D93" w:rsidRPr="00F975C1">
        <w:rPr>
          <w:rFonts w:ascii="Garamond" w:hAnsi="Garamond"/>
          <w:sz w:val="24"/>
          <w:szCs w:val="24"/>
        </w:rPr>
        <w:t>Plakandaras</w:t>
      </w:r>
      <w:proofErr w:type="spellEnd"/>
      <w:r w:rsidR="00F33D93" w:rsidRPr="00F975C1">
        <w:rPr>
          <w:rFonts w:ascii="Garamond" w:hAnsi="Garamond"/>
          <w:sz w:val="24"/>
          <w:szCs w:val="24"/>
        </w:rPr>
        <w:t xml:space="preserve"> et al., (2019)</w:t>
      </w:r>
      <w:r w:rsidR="00ED06D7" w:rsidRPr="00F975C1">
        <w:rPr>
          <w:rFonts w:ascii="Garamond" w:hAnsi="Garamond"/>
          <w:sz w:val="24"/>
          <w:szCs w:val="24"/>
        </w:rPr>
        <w:t xml:space="preserve"> for detailed discussions</w:t>
      </w:r>
      <w:r w:rsidRPr="00F975C1">
        <w:rPr>
          <w:rFonts w:ascii="Garamond" w:hAnsi="Garamond"/>
          <w:sz w:val="24"/>
          <w:szCs w:val="24"/>
        </w:rPr>
        <w:t xml:space="preserve">). Ideally, analysing the impact of uncertainty on fast </w:t>
      </w:r>
      <w:r w:rsidR="003C2741" w:rsidRPr="00F975C1">
        <w:rPr>
          <w:rFonts w:ascii="Garamond" w:hAnsi="Garamond"/>
          <w:sz w:val="24"/>
          <w:szCs w:val="24"/>
        </w:rPr>
        <w:t xml:space="preserve">moving </w:t>
      </w:r>
      <w:r w:rsidRPr="00F975C1">
        <w:rPr>
          <w:rFonts w:ascii="Garamond" w:hAnsi="Garamond"/>
          <w:sz w:val="24"/>
          <w:szCs w:val="24"/>
        </w:rPr>
        <w:t>financial market</w:t>
      </w:r>
      <w:r w:rsidR="003C2741" w:rsidRPr="00F975C1">
        <w:rPr>
          <w:rFonts w:ascii="Garamond" w:hAnsi="Garamond"/>
          <w:sz w:val="24"/>
          <w:szCs w:val="24"/>
        </w:rPr>
        <w:t xml:space="preserve"> returns and volatility</w:t>
      </w:r>
      <w:r w:rsidRPr="00F975C1">
        <w:rPr>
          <w:rFonts w:ascii="Garamond" w:hAnsi="Garamond"/>
          <w:sz w:val="24"/>
          <w:szCs w:val="24"/>
        </w:rPr>
        <w:t xml:space="preserve"> would require measures of uncertainty at a high (for example, daily) frequency. However, most of the measures of uncertainty are </w:t>
      </w:r>
      <w:r w:rsidR="00F975C1">
        <w:rPr>
          <w:rFonts w:ascii="Garamond" w:hAnsi="Garamond"/>
          <w:sz w:val="24"/>
          <w:szCs w:val="24"/>
        </w:rPr>
        <w:t>only</w:t>
      </w:r>
      <w:r w:rsidRPr="00F975C1">
        <w:rPr>
          <w:rFonts w:ascii="Garamond" w:hAnsi="Garamond"/>
          <w:sz w:val="24"/>
          <w:szCs w:val="24"/>
        </w:rPr>
        <w:t xml:space="preserve"> </w:t>
      </w:r>
      <w:r w:rsidR="0079362F" w:rsidRPr="00F975C1">
        <w:rPr>
          <w:rFonts w:ascii="Garamond" w:hAnsi="Garamond"/>
          <w:sz w:val="24"/>
          <w:szCs w:val="24"/>
        </w:rPr>
        <w:t xml:space="preserve">available </w:t>
      </w:r>
      <w:r w:rsidR="00F975C1">
        <w:rPr>
          <w:rFonts w:ascii="Garamond" w:hAnsi="Garamond"/>
          <w:sz w:val="24"/>
          <w:szCs w:val="24"/>
        </w:rPr>
        <w:t>at</w:t>
      </w:r>
      <w:r w:rsidRPr="00F975C1">
        <w:rPr>
          <w:rFonts w:ascii="Garamond" w:hAnsi="Garamond"/>
          <w:sz w:val="24"/>
          <w:szCs w:val="24"/>
        </w:rPr>
        <w:t xml:space="preserve"> lower (monthly and quarterly) frequencies</w:t>
      </w:r>
      <w:r w:rsidR="00716C2D" w:rsidRPr="00F975C1">
        <w:rPr>
          <w:rFonts w:ascii="Garamond" w:hAnsi="Garamond"/>
          <w:sz w:val="24"/>
          <w:szCs w:val="24"/>
        </w:rPr>
        <w:t>, and if available daily, the sample periods are restricted</w:t>
      </w:r>
      <w:r w:rsidR="00F975C1">
        <w:rPr>
          <w:rFonts w:ascii="Garamond" w:hAnsi="Garamond"/>
          <w:sz w:val="24"/>
          <w:szCs w:val="24"/>
        </w:rPr>
        <w:t xml:space="preserve"> only going back to </w:t>
      </w:r>
      <w:r w:rsidR="00ED1A5B" w:rsidRPr="00F975C1">
        <w:rPr>
          <w:rFonts w:ascii="Garamond" w:hAnsi="Garamond"/>
          <w:sz w:val="24"/>
          <w:szCs w:val="24"/>
        </w:rPr>
        <w:t>1985</w:t>
      </w:r>
      <w:r w:rsidR="00A65ABA" w:rsidRPr="00F975C1">
        <w:rPr>
          <w:rFonts w:ascii="Garamond" w:hAnsi="Garamond"/>
          <w:sz w:val="24"/>
          <w:szCs w:val="24"/>
        </w:rPr>
        <w:t xml:space="preserve"> (see, Gupta et al., (2018) for </w:t>
      </w:r>
      <w:r w:rsidR="00ED06D7" w:rsidRPr="00F975C1">
        <w:rPr>
          <w:rFonts w:ascii="Garamond" w:hAnsi="Garamond"/>
          <w:sz w:val="24"/>
          <w:szCs w:val="24"/>
        </w:rPr>
        <w:t xml:space="preserve">rigorous </w:t>
      </w:r>
      <w:r w:rsidR="00A65ABA" w:rsidRPr="00F975C1">
        <w:rPr>
          <w:rFonts w:ascii="Garamond" w:hAnsi="Garamond"/>
          <w:sz w:val="24"/>
          <w:szCs w:val="24"/>
        </w:rPr>
        <w:t>discussions in this regard)</w:t>
      </w:r>
      <w:r w:rsidR="00F975C1">
        <w:rPr>
          <w:rFonts w:ascii="Garamond" w:hAnsi="Garamond"/>
          <w:sz w:val="24"/>
          <w:szCs w:val="24"/>
        </w:rPr>
        <w:t>. As such</w:t>
      </w:r>
      <w:r w:rsidR="00ED1A5B" w:rsidRPr="00F975C1">
        <w:rPr>
          <w:rFonts w:ascii="Garamond" w:hAnsi="Garamond"/>
          <w:sz w:val="24"/>
          <w:szCs w:val="24"/>
        </w:rPr>
        <w:t xml:space="preserve">, </w:t>
      </w:r>
      <w:r w:rsidR="0079362F" w:rsidRPr="00F975C1">
        <w:rPr>
          <w:rFonts w:ascii="Garamond" w:hAnsi="Garamond"/>
          <w:sz w:val="24"/>
          <w:szCs w:val="24"/>
        </w:rPr>
        <w:t xml:space="preserve">it has been a challenge to estimate </w:t>
      </w:r>
      <w:r w:rsidR="00ED1A5B" w:rsidRPr="00F975C1">
        <w:rPr>
          <w:rFonts w:ascii="Garamond" w:hAnsi="Garamond"/>
          <w:sz w:val="24"/>
          <w:szCs w:val="24"/>
        </w:rPr>
        <w:t>the historical impact of uncertainty on financial markets</w:t>
      </w:r>
      <w:r w:rsidR="00F975C1">
        <w:rPr>
          <w:rFonts w:ascii="Garamond" w:hAnsi="Garamond"/>
          <w:sz w:val="24"/>
          <w:szCs w:val="24"/>
        </w:rPr>
        <w:t xml:space="preserve"> as well as evaluate whether the effect is time varying</w:t>
      </w:r>
      <w:r w:rsidR="00ED1A5B" w:rsidRPr="00F975C1">
        <w:rPr>
          <w:rFonts w:ascii="Garamond" w:hAnsi="Garamond"/>
          <w:sz w:val="24"/>
          <w:szCs w:val="24"/>
        </w:rPr>
        <w:t xml:space="preserve">. </w:t>
      </w:r>
      <w:r w:rsidR="00716C2D" w:rsidRPr="00F975C1">
        <w:rPr>
          <w:rFonts w:ascii="Garamond" w:hAnsi="Garamond"/>
          <w:sz w:val="24"/>
          <w:szCs w:val="24"/>
        </w:rPr>
        <w:t xml:space="preserve">However, the recent work of </w:t>
      </w:r>
      <w:proofErr w:type="spellStart"/>
      <w:r w:rsidR="00716C2D" w:rsidRPr="00F975C1">
        <w:rPr>
          <w:rFonts w:ascii="Garamond" w:hAnsi="Garamond"/>
          <w:sz w:val="24"/>
          <w:szCs w:val="24"/>
        </w:rPr>
        <w:t>Chuliá</w:t>
      </w:r>
      <w:proofErr w:type="spellEnd"/>
      <w:r w:rsidR="00716C2D" w:rsidRPr="00F975C1">
        <w:rPr>
          <w:rFonts w:ascii="Garamond" w:hAnsi="Garamond"/>
          <w:sz w:val="24"/>
          <w:szCs w:val="24"/>
        </w:rPr>
        <w:t xml:space="preserve"> et al., (2017</w:t>
      </w:r>
      <w:r w:rsidR="00A65ABA" w:rsidRPr="00F975C1">
        <w:rPr>
          <w:rFonts w:ascii="Garamond" w:hAnsi="Garamond"/>
          <w:sz w:val="24"/>
          <w:szCs w:val="24"/>
        </w:rPr>
        <w:t>b</w:t>
      </w:r>
      <w:r w:rsidR="00716C2D" w:rsidRPr="00F975C1">
        <w:rPr>
          <w:rFonts w:ascii="Garamond" w:hAnsi="Garamond"/>
          <w:sz w:val="24"/>
          <w:szCs w:val="24"/>
        </w:rPr>
        <w:t xml:space="preserve">), provides a solution to this issue by developing a daily measure of financial market uncertainty for the </w:t>
      </w:r>
      <w:r w:rsidR="00F33D93" w:rsidRPr="00F975C1">
        <w:rPr>
          <w:rFonts w:ascii="Garamond" w:hAnsi="Garamond"/>
          <w:sz w:val="24"/>
          <w:szCs w:val="24"/>
        </w:rPr>
        <w:t>United States (</w:t>
      </w:r>
      <w:r w:rsidR="00716C2D" w:rsidRPr="00F975C1">
        <w:rPr>
          <w:rFonts w:ascii="Garamond" w:hAnsi="Garamond"/>
          <w:sz w:val="24"/>
          <w:szCs w:val="24"/>
        </w:rPr>
        <w:t>U</w:t>
      </w:r>
      <w:r w:rsidR="00DC2264">
        <w:rPr>
          <w:rFonts w:ascii="Garamond" w:hAnsi="Garamond"/>
          <w:sz w:val="24"/>
          <w:szCs w:val="24"/>
        </w:rPr>
        <w:t>.</w:t>
      </w:r>
      <w:r w:rsidR="00716C2D" w:rsidRPr="00F975C1">
        <w:rPr>
          <w:rFonts w:ascii="Garamond" w:hAnsi="Garamond"/>
          <w:sz w:val="24"/>
          <w:szCs w:val="24"/>
        </w:rPr>
        <w:t>S</w:t>
      </w:r>
      <w:r w:rsidR="00DC2264">
        <w:rPr>
          <w:rFonts w:ascii="Garamond" w:hAnsi="Garamond"/>
          <w:sz w:val="24"/>
          <w:szCs w:val="24"/>
        </w:rPr>
        <w:t>.</w:t>
      </w:r>
      <w:r w:rsidR="00F33D93" w:rsidRPr="00F975C1">
        <w:rPr>
          <w:rFonts w:ascii="Garamond" w:hAnsi="Garamond"/>
          <w:sz w:val="24"/>
          <w:szCs w:val="24"/>
        </w:rPr>
        <w:t>)</w:t>
      </w:r>
      <w:r w:rsidR="00716C2D" w:rsidRPr="00F975C1">
        <w:rPr>
          <w:rFonts w:ascii="Garamond" w:hAnsi="Garamond"/>
          <w:sz w:val="24"/>
          <w:szCs w:val="24"/>
        </w:rPr>
        <w:t xml:space="preserve"> dating back </w:t>
      </w:r>
      <w:r w:rsidR="00F975C1">
        <w:rPr>
          <w:rFonts w:ascii="Garamond" w:hAnsi="Garamond"/>
          <w:sz w:val="24"/>
          <w:szCs w:val="24"/>
        </w:rPr>
        <w:t>to</w:t>
      </w:r>
      <w:r w:rsidR="00716C2D" w:rsidRPr="00F975C1">
        <w:rPr>
          <w:rFonts w:ascii="Garamond" w:hAnsi="Garamond"/>
          <w:sz w:val="24"/>
          <w:szCs w:val="24"/>
        </w:rPr>
        <w:t xml:space="preserve"> 1927.</w:t>
      </w:r>
    </w:p>
    <w:p w14:paraId="5A6EE2D4" w14:textId="3D1461BF" w:rsidR="009205D4" w:rsidRPr="00F975C1" w:rsidRDefault="00ED1A5B" w:rsidP="004E5BE3">
      <w:pPr>
        <w:jc w:val="both"/>
        <w:rPr>
          <w:rFonts w:ascii="Garamond" w:hAnsi="Garamond"/>
          <w:sz w:val="24"/>
          <w:szCs w:val="24"/>
        </w:rPr>
      </w:pPr>
      <w:r w:rsidRPr="00F975C1">
        <w:rPr>
          <w:rFonts w:ascii="Garamond" w:hAnsi="Garamond"/>
          <w:sz w:val="24"/>
          <w:szCs w:val="24"/>
        </w:rPr>
        <w:t>Given that the equity market is an accepted leading indicator of the overall macroeconomy (</w:t>
      </w:r>
      <w:proofErr w:type="spellStart"/>
      <w:r w:rsidR="00F33D93" w:rsidRPr="00F975C1">
        <w:rPr>
          <w:rFonts w:ascii="Garamond" w:hAnsi="Garamond"/>
          <w:sz w:val="24"/>
          <w:szCs w:val="24"/>
        </w:rPr>
        <w:t>Plakandaras</w:t>
      </w:r>
      <w:proofErr w:type="spellEnd"/>
      <w:r w:rsidR="00F33D93" w:rsidRPr="00F975C1">
        <w:rPr>
          <w:rFonts w:ascii="Garamond" w:hAnsi="Garamond"/>
          <w:sz w:val="24"/>
          <w:szCs w:val="24"/>
        </w:rPr>
        <w:t xml:space="preserve"> et al., 2017</w:t>
      </w:r>
      <w:r w:rsidRPr="00F975C1">
        <w:rPr>
          <w:rFonts w:ascii="Garamond" w:hAnsi="Garamond"/>
          <w:sz w:val="24"/>
          <w:szCs w:val="24"/>
        </w:rPr>
        <w:t>), high frequency information</w:t>
      </w:r>
      <w:r w:rsidR="00F975C1">
        <w:rPr>
          <w:rFonts w:ascii="Garamond" w:hAnsi="Garamond"/>
          <w:sz w:val="24"/>
          <w:szCs w:val="24"/>
        </w:rPr>
        <w:t xml:space="preserve"> indicating </w:t>
      </w:r>
      <w:r w:rsidRPr="00F975C1">
        <w:rPr>
          <w:rFonts w:ascii="Garamond" w:hAnsi="Garamond"/>
          <w:sz w:val="24"/>
          <w:szCs w:val="24"/>
        </w:rPr>
        <w:t>the</w:t>
      </w:r>
      <w:r w:rsidR="00F975C1">
        <w:rPr>
          <w:rFonts w:ascii="Garamond" w:hAnsi="Garamond"/>
          <w:sz w:val="24"/>
          <w:szCs w:val="24"/>
        </w:rPr>
        <w:t xml:space="preserve"> direction of the</w:t>
      </w:r>
      <w:r w:rsidRPr="00F975C1">
        <w:rPr>
          <w:rFonts w:ascii="Garamond" w:hAnsi="Garamond"/>
          <w:sz w:val="24"/>
          <w:szCs w:val="24"/>
        </w:rPr>
        <w:t xml:space="preserve"> stock market following shocks is of paramount importance to policymakers</w:t>
      </w:r>
      <w:r w:rsidR="00F975C1">
        <w:rPr>
          <w:rFonts w:ascii="Garamond" w:hAnsi="Garamond"/>
          <w:sz w:val="24"/>
          <w:szCs w:val="24"/>
        </w:rPr>
        <w:t>.</w:t>
      </w:r>
      <w:r w:rsidRPr="00F975C1">
        <w:rPr>
          <w:rFonts w:ascii="Garamond" w:hAnsi="Garamond"/>
          <w:sz w:val="24"/>
          <w:szCs w:val="24"/>
        </w:rPr>
        <w:t xml:space="preserve"> </w:t>
      </w:r>
      <w:r w:rsidR="00693663">
        <w:rPr>
          <w:rFonts w:ascii="Garamond" w:hAnsi="Garamond"/>
          <w:sz w:val="24"/>
          <w:szCs w:val="24"/>
        </w:rPr>
        <w:t xml:space="preserve">Moreover, historically evaluating previous the results of previous shocks, likely improves the </w:t>
      </w:r>
      <w:r w:rsidRPr="00F975C1">
        <w:rPr>
          <w:rFonts w:ascii="Garamond" w:hAnsi="Garamond"/>
          <w:sz w:val="24"/>
          <w:szCs w:val="24"/>
        </w:rPr>
        <w:t>design of policies</w:t>
      </w:r>
      <w:r w:rsidR="00693663">
        <w:rPr>
          <w:rFonts w:ascii="Garamond" w:hAnsi="Garamond"/>
          <w:sz w:val="24"/>
          <w:szCs w:val="24"/>
        </w:rPr>
        <w:t xml:space="preserve"> (for example Bernanke’s work on the financial accelerator in the Great Depression greatly influenced the policies used during the 2008 financial crisis)</w:t>
      </w:r>
      <w:r w:rsidRPr="00F975C1">
        <w:rPr>
          <w:rFonts w:ascii="Garamond" w:hAnsi="Garamond"/>
          <w:sz w:val="24"/>
          <w:szCs w:val="24"/>
        </w:rPr>
        <w:t>.</w:t>
      </w:r>
      <w:r w:rsidR="001B0718" w:rsidRPr="00F975C1">
        <w:rPr>
          <w:rFonts w:ascii="Garamond" w:hAnsi="Garamond"/>
          <w:sz w:val="24"/>
          <w:szCs w:val="24"/>
        </w:rPr>
        <w:t xml:space="preserve"> Against this backdrop,</w:t>
      </w:r>
      <w:r w:rsidR="00F33D93" w:rsidRPr="00F975C1">
        <w:rPr>
          <w:rFonts w:ascii="Garamond" w:hAnsi="Garamond"/>
          <w:sz w:val="24"/>
          <w:szCs w:val="24"/>
        </w:rPr>
        <w:t xml:space="preserve"> unlike the existing literature </w:t>
      </w:r>
      <w:r w:rsidR="0079362F" w:rsidRPr="00F975C1">
        <w:rPr>
          <w:rFonts w:ascii="Garamond" w:hAnsi="Garamond"/>
          <w:sz w:val="24"/>
          <w:szCs w:val="24"/>
        </w:rPr>
        <w:t xml:space="preserve">that is </w:t>
      </w:r>
      <w:r w:rsidR="00F33D93" w:rsidRPr="00F975C1">
        <w:rPr>
          <w:rFonts w:ascii="Garamond" w:hAnsi="Garamond"/>
          <w:sz w:val="24"/>
          <w:szCs w:val="24"/>
        </w:rPr>
        <w:t xml:space="preserve">restricted to </w:t>
      </w:r>
      <w:r w:rsidR="0079362F" w:rsidRPr="00F975C1">
        <w:rPr>
          <w:rFonts w:ascii="Garamond" w:hAnsi="Garamond"/>
          <w:sz w:val="24"/>
          <w:szCs w:val="24"/>
        </w:rPr>
        <w:t xml:space="preserve">analysing </w:t>
      </w:r>
      <w:r w:rsidR="00F33D93" w:rsidRPr="00F975C1">
        <w:rPr>
          <w:rFonts w:ascii="Garamond" w:hAnsi="Garamond"/>
          <w:sz w:val="24"/>
          <w:szCs w:val="24"/>
        </w:rPr>
        <w:t xml:space="preserve">only 35 years or so of recent data, the objective of this paper is to provide a historical perspective on the evolution of the </w:t>
      </w:r>
      <w:r w:rsidR="004A1BC7" w:rsidRPr="00F975C1">
        <w:rPr>
          <w:rFonts w:ascii="Garamond" w:hAnsi="Garamond"/>
          <w:sz w:val="24"/>
          <w:szCs w:val="24"/>
        </w:rPr>
        <w:t xml:space="preserve">high-frequency daily </w:t>
      </w:r>
      <w:r w:rsidR="00F33D93" w:rsidRPr="00F975C1">
        <w:rPr>
          <w:rFonts w:ascii="Garamond" w:hAnsi="Garamond"/>
          <w:sz w:val="24"/>
          <w:szCs w:val="24"/>
        </w:rPr>
        <w:t>impact of uncertainty shocks on the first and second moments of stock return</w:t>
      </w:r>
      <w:r w:rsidR="009205D4" w:rsidRPr="00F975C1">
        <w:rPr>
          <w:rFonts w:ascii="Garamond" w:hAnsi="Garamond"/>
          <w:sz w:val="24"/>
          <w:szCs w:val="24"/>
        </w:rPr>
        <w:t>s of the U</w:t>
      </w:r>
      <w:r w:rsidR="00DC2264">
        <w:rPr>
          <w:rFonts w:ascii="Garamond" w:hAnsi="Garamond"/>
          <w:sz w:val="24"/>
          <w:szCs w:val="24"/>
        </w:rPr>
        <w:t>.</w:t>
      </w:r>
      <w:r w:rsidR="009205D4" w:rsidRPr="00F975C1">
        <w:rPr>
          <w:rFonts w:ascii="Garamond" w:hAnsi="Garamond"/>
          <w:sz w:val="24"/>
          <w:szCs w:val="24"/>
        </w:rPr>
        <w:t>S</w:t>
      </w:r>
      <w:r w:rsidR="00DC2264">
        <w:rPr>
          <w:rFonts w:ascii="Garamond" w:hAnsi="Garamond"/>
          <w:sz w:val="24"/>
          <w:szCs w:val="24"/>
        </w:rPr>
        <w:t>.</w:t>
      </w:r>
      <w:r w:rsidR="009205D4" w:rsidRPr="00F975C1">
        <w:rPr>
          <w:rFonts w:ascii="Garamond" w:hAnsi="Garamond"/>
          <w:sz w:val="24"/>
          <w:szCs w:val="24"/>
        </w:rPr>
        <w:t xml:space="preserve"> over </w:t>
      </w:r>
      <w:r w:rsidR="004A1BC7" w:rsidRPr="00F975C1">
        <w:rPr>
          <w:rFonts w:ascii="Garamond" w:hAnsi="Garamond"/>
          <w:sz w:val="24"/>
          <w:szCs w:val="24"/>
        </w:rPr>
        <w:t>80 years (</w:t>
      </w:r>
      <w:r w:rsidR="009205D4" w:rsidRPr="00F975C1">
        <w:rPr>
          <w:rFonts w:ascii="Garamond" w:hAnsi="Garamond"/>
          <w:sz w:val="24"/>
          <w:szCs w:val="24"/>
        </w:rPr>
        <w:t>18</w:t>
      </w:r>
      <w:r w:rsidR="00F33D93" w:rsidRPr="00F975C1">
        <w:rPr>
          <w:rFonts w:ascii="Garamond" w:hAnsi="Garamond"/>
          <w:sz w:val="24"/>
          <w:szCs w:val="24"/>
          <w:vertAlign w:val="superscript"/>
        </w:rPr>
        <w:t>th</w:t>
      </w:r>
      <w:r w:rsidR="00F33D93" w:rsidRPr="00F975C1">
        <w:rPr>
          <w:rFonts w:ascii="Garamond" w:hAnsi="Garamond"/>
          <w:sz w:val="24"/>
          <w:szCs w:val="24"/>
        </w:rPr>
        <w:t xml:space="preserve"> </w:t>
      </w:r>
      <w:r w:rsidR="009205D4" w:rsidRPr="00F975C1">
        <w:rPr>
          <w:rFonts w:ascii="Garamond" w:hAnsi="Garamond"/>
          <w:sz w:val="24"/>
          <w:szCs w:val="24"/>
        </w:rPr>
        <w:t>March, 1936</w:t>
      </w:r>
      <w:r w:rsidR="00F33D93" w:rsidRPr="00F975C1">
        <w:rPr>
          <w:rFonts w:ascii="Garamond" w:hAnsi="Garamond"/>
          <w:sz w:val="24"/>
          <w:szCs w:val="24"/>
        </w:rPr>
        <w:t xml:space="preserve"> to</w:t>
      </w:r>
      <w:r w:rsidR="00A65ABA" w:rsidRPr="00F975C1">
        <w:rPr>
          <w:rFonts w:ascii="Garamond" w:hAnsi="Garamond"/>
          <w:sz w:val="24"/>
          <w:szCs w:val="24"/>
        </w:rPr>
        <w:t xml:space="preserve"> 30</w:t>
      </w:r>
      <w:r w:rsidR="00A65ABA" w:rsidRPr="00F975C1">
        <w:rPr>
          <w:rFonts w:ascii="Garamond" w:hAnsi="Garamond"/>
          <w:sz w:val="24"/>
          <w:szCs w:val="24"/>
          <w:vertAlign w:val="superscript"/>
        </w:rPr>
        <w:t>th</w:t>
      </w:r>
      <w:r w:rsidR="00A65ABA" w:rsidRPr="00F975C1">
        <w:rPr>
          <w:rFonts w:ascii="Garamond" w:hAnsi="Garamond"/>
          <w:sz w:val="24"/>
          <w:szCs w:val="24"/>
        </w:rPr>
        <w:t xml:space="preserve"> November, 2016</w:t>
      </w:r>
      <w:r w:rsidR="004A1BC7" w:rsidRPr="00F975C1">
        <w:rPr>
          <w:rFonts w:ascii="Garamond" w:hAnsi="Garamond"/>
          <w:sz w:val="24"/>
          <w:szCs w:val="24"/>
        </w:rPr>
        <w:t>)</w:t>
      </w:r>
      <w:r w:rsidR="00F33D93" w:rsidRPr="00F975C1">
        <w:rPr>
          <w:rFonts w:ascii="Garamond" w:hAnsi="Garamond"/>
          <w:sz w:val="24"/>
          <w:szCs w:val="24"/>
        </w:rPr>
        <w:t>.</w:t>
      </w:r>
      <w:r w:rsidR="009205D4" w:rsidRPr="00F975C1">
        <w:rPr>
          <w:rFonts w:ascii="Garamond" w:hAnsi="Garamond"/>
          <w:sz w:val="24"/>
          <w:szCs w:val="24"/>
        </w:rPr>
        <w:t xml:space="preserve"> Even though data on uncertainty is available from the 6</w:t>
      </w:r>
      <w:r w:rsidR="009205D4" w:rsidRPr="00F975C1">
        <w:rPr>
          <w:rFonts w:ascii="Garamond" w:hAnsi="Garamond"/>
          <w:sz w:val="24"/>
          <w:szCs w:val="24"/>
          <w:vertAlign w:val="superscript"/>
        </w:rPr>
        <w:t>th</w:t>
      </w:r>
      <w:r w:rsidR="00870E71" w:rsidRPr="00F975C1">
        <w:rPr>
          <w:rFonts w:ascii="Garamond" w:hAnsi="Garamond"/>
          <w:sz w:val="24"/>
          <w:szCs w:val="24"/>
        </w:rPr>
        <w:t xml:space="preserve"> </w:t>
      </w:r>
      <w:r w:rsidR="009205D4" w:rsidRPr="00F975C1">
        <w:rPr>
          <w:rFonts w:ascii="Garamond" w:hAnsi="Garamond"/>
          <w:sz w:val="24"/>
          <w:szCs w:val="24"/>
        </w:rPr>
        <w:t xml:space="preserve">January 1927, given the importance of monetary policy shocks on stock market movements (Bernanke and </w:t>
      </w:r>
      <w:proofErr w:type="spellStart"/>
      <w:r w:rsidR="009205D4" w:rsidRPr="00F975C1">
        <w:rPr>
          <w:rFonts w:ascii="Garamond" w:hAnsi="Garamond"/>
          <w:sz w:val="24"/>
          <w:szCs w:val="24"/>
        </w:rPr>
        <w:t>Kuttner</w:t>
      </w:r>
      <w:proofErr w:type="spellEnd"/>
      <w:r w:rsidR="009205D4" w:rsidRPr="00F975C1">
        <w:rPr>
          <w:rFonts w:ascii="Garamond" w:hAnsi="Garamond"/>
          <w:sz w:val="24"/>
          <w:szCs w:val="24"/>
        </w:rPr>
        <w:t>, 2005</w:t>
      </w:r>
      <w:r w:rsidR="004E5BE3" w:rsidRPr="00F975C1">
        <w:rPr>
          <w:rFonts w:ascii="Garamond" w:hAnsi="Garamond"/>
          <w:sz w:val="24"/>
          <w:szCs w:val="24"/>
        </w:rPr>
        <w:t xml:space="preserve">; Kishor and </w:t>
      </w:r>
      <w:proofErr w:type="spellStart"/>
      <w:r w:rsidR="004E5BE3" w:rsidRPr="00F975C1">
        <w:rPr>
          <w:rFonts w:ascii="Garamond" w:hAnsi="Garamond"/>
          <w:sz w:val="24"/>
          <w:szCs w:val="24"/>
        </w:rPr>
        <w:t>Marfatia</w:t>
      </w:r>
      <w:proofErr w:type="spellEnd"/>
      <w:r w:rsidR="004E5BE3" w:rsidRPr="00F975C1">
        <w:rPr>
          <w:rFonts w:ascii="Garamond" w:hAnsi="Garamond"/>
          <w:sz w:val="24"/>
          <w:szCs w:val="24"/>
        </w:rPr>
        <w:t>, 2013</w:t>
      </w:r>
      <w:r w:rsidR="009205D4" w:rsidRPr="00F975C1">
        <w:rPr>
          <w:rFonts w:ascii="Garamond" w:hAnsi="Garamond"/>
          <w:sz w:val="24"/>
          <w:szCs w:val="24"/>
        </w:rPr>
        <w:t>), we could only start our analysis on 18</w:t>
      </w:r>
      <w:r w:rsidR="009205D4" w:rsidRPr="00F975C1">
        <w:rPr>
          <w:rFonts w:ascii="Garamond" w:hAnsi="Garamond"/>
          <w:sz w:val="24"/>
          <w:szCs w:val="24"/>
          <w:vertAlign w:val="superscript"/>
        </w:rPr>
        <w:t>th</w:t>
      </w:r>
      <w:r w:rsidR="009205D4" w:rsidRPr="00F975C1">
        <w:rPr>
          <w:rFonts w:ascii="Garamond" w:hAnsi="Garamond"/>
          <w:sz w:val="24"/>
          <w:szCs w:val="24"/>
        </w:rPr>
        <w:t xml:space="preserve"> of March 1936, which corresponds to the first available date of meeting of the Federal Open Market Committee (FOMC). </w:t>
      </w:r>
    </w:p>
    <w:p w14:paraId="6B00C943" w14:textId="77777777" w:rsidR="00A65ABA" w:rsidRPr="00F975C1" w:rsidRDefault="00AD31A9" w:rsidP="004E5BE3">
      <w:pPr>
        <w:jc w:val="both"/>
        <w:rPr>
          <w:rFonts w:ascii="Garamond" w:hAnsi="Garamond"/>
          <w:sz w:val="24"/>
          <w:szCs w:val="24"/>
        </w:rPr>
      </w:pPr>
      <w:r w:rsidRPr="00F975C1">
        <w:rPr>
          <w:rFonts w:ascii="Garamond" w:hAnsi="Garamond"/>
          <w:sz w:val="24"/>
          <w:szCs w:val="24"/>
        </w:rPr>
        <w:t xml:space="preserve">Intuitively, uncertainty is expected to negatively affect stock returns and increase volatility, through a decline in the level of the discount rate (and future cash flows), and increases in its volatility, respectively (Pastor and Veronesi, 2012; </w:t>
      </w:r>
      <w:proofErr w:type="spellStart"/>
      <w:r w:rsidRPr="00F975C1">
        <w:rPr>
          <w:rFonts w:ascii="Garamond" w:hAnsi="Garamond"/>
          <w:sz w:val="24"/>
          <w:szCs w:val="24"/>
        </w:rPr>
        <w:t>Arouri</w:t>
      </w:r>
      <w:proofErr w:type="spellEnd"/>
      <w:r w:rsidRPr="00F975C1">
        <w:rPr>
          <w:rFonts w:ascii="Garamond" w:hAnsi="Garamond"/>
          <w:sz w:val="24"/>
          <w:szCs w:val="24"/>
        </w:rPr>
        <w:t xml:space="preserve"> et al., 2016; </w:t>
      </w:r>
      <w:proofErr w:type="spellStart"/>
      <w:r w:rsidRPr="00F975C1">
        <w:rPr>
          <w:rFonts w:ascii="Garamond" w:hAnsi="Garamond"/>
          <w:sz w:val="24"/>
          <w:szCs w:val="24"/>
        </w:rPr>
        <w:t>Kaminska</w:t>
      </w:r>
      <w:proofErr w:type="spellEnd"/>
      <w:r w:rsidRPr="00F975C1">
        <w:rPr>
          <w:rFonts w:ascii="Garamond" w:hAnsi="Garamond"/>
          <w:sz w:val="24"/>
          <w:szCs w:val="24"/>
        </w:rPr>
        <w:t xml:space="preserve"> </w:t>
      </w:r>
      <w:r w:rsidR="005F4033" w:rsidRPr="00F975C1">
        <w:rPr>
          <w:rFonts w:ascii="Garamond" w:hAnsi="Garamond"/>
          <w:sz w:val="24"/>
          <w:szCs w:val="24"/>
        </w:rPr>
        <w:t>and Roberts-</w:t>
      </w:r>
      <w:proofErr w:type="spellStart"/>
      <w:r w:rsidR="005F4033" w:rsidRPr="00F975C1">
        <w:rPr>
          <w:rFonts w:ascii="Garamond" w:hAnsi="Garamond"/>
          <w:sz w:val="24"/>
          <w:szCs w:val="24"/>
        </w:rPr>
        <w:t>Sklar</w:t>
      </w:r>
      <w:proofErr w:type="spellEnd"/>
      <w:r w:rsidRPr="00F975C1">
        <w:rPr>
          <w:rFonts w:ascii="Garamond" w:hAnsi="Garamond"/>
          <w:sz w:val="24"/>
          <w:szCs w:val="24"/>
        </w:rPr>
        <w:t>, 2018).</w:t>
      </w:r>
      <w:r w:rsidR="009205D4" w:rsidRPr="00F975C1">
        <w:rPr>
          <w:rFonts w:ascii="Garamond" w:hAnsi="Garamond"/>
          <w:sz w:val="24"/>
          <w:szCs w:val="24"/>
        </w:rPr>
        <w:t xml:space="preserve"> </w:t>
      </w:r>
      <w:r w:rsidRPr="00F975C1">
        <w:rPr>
          <w:rFonts w:ascii="Garamond" w:hAnsi="Garamond"/>
          <w:sz w:val="24"/>
          <w:szCs w:val="24"/>
        </w:rPr>
        <w:t xml:space="preserve">The remainder of the paper is organized as follows: Section 2 discusses the data and methodology, while Section 3 presents the results, and Section 4 concludes. </w:t>
      </w:r>
    </w:p>
    <w:p w14:paraId="1835FEE9" w14:textId="77777777" w:rsidR="00C5087A" w:rsidRPr="00F975C1" w:rsidRDefault="004E5BE3" w:rsidP="00C5087A">
      <w:pPr>
        <w:pStyle w:val="ListParagraph"/>
        <w:numPr>
          <w:ilvl w:val="0"/>
          <w:numId w:val="1"/>
        </w:numPr>
        <w:jc w:val="both"/>
        <w:rPr>
          <w:rFonts w:ascii="Garamond" w:hAnsi="Garamond"/>
          <w:b/>
          <w:sz w:val="24"/>
          <w:szCs w:val="24"/>
        </w:rPr>
      </w:pPr>
      <w:r w:rsidRPr="00F975C1">
        <w:rPr>
          <w:rFonts w:ascii="Garamond" w:hAnsi="Garamond"/>
          <w:b/>
          <w:sz w:val="24"/>
          <w:szCs w:val="24"/>
        </w:rPr>
        <w:t>Data and Methodology</w:t>
      </w:r>
    </w:p>
    <w:p w14:paraId="6A80F5F3" w14:textId="7E78C2F1" w:rsidR="007C659B" w:rsidRPr="00F975C1" w:rsidRDefault="00C5087A" w:rsidP="007C659B">
      <w:pPr>
        <w:jc w:val="both"/>
        <w:rPr>
          <w:rFonts w:ascii="Garamond" w:hAnsi="Garamond"/>
          <w:sz w:val="24"/>
          <w:szCs w:val="24"/>
        </w:rPr>
      </w:pPr>
      <w:r w:rsidRPr="00F975C1">
        <w:rPr>
          <w:rFonts w:ascii="Garamond" w:hAnsi="Garamond"/>
          <w:sz w:val="24"/>
          <w:szCs w:val="24"/>
        </w:rPr>
        <w:t xml:space="preserve">Our analysis involves daily information on the </w:t>
      </w:r>
      <w:proofErr w:type="spellStart"/>
      <w:r w:rsidRPr="00F975C1">
        <w:rPr>
          <w:rFonts w:ascii="Garamond" w:hAnsi="Garamond"/>
          <w:sz w:val="24"/>
          <w:szCs w:val="24"/>
        </w:rPr>
        <w:t>Center</w:t>
      </w:r>
      <w:proofErr w:type="spellEnd"/>
      <w:r w:rsidRPr="00F975C1">
        <w:rPr>
          <w:rFonts w:ascii="Garamond" w:hAnsi="Garamond"/>
          <w:sz w:val="24"/>
          <w:szCs w:val="24"/>
        </w:rPr>
        <w:t xml:space="preserve"> for Research in Security Prices (CRSP) stock returns, uncertainty, monetary policy shocks and the recession dummy</w:t>
      </w:r>
      <w:r w:rsidR="00603A4D" w:rsidRPr="00F975C1">
        <w:rPr>
          <w:rFonts w:ascii="Garamond" w:hAnsi="Garamond"/>
          <w:sz w:val="24"/>
          <w:szCs w:val="24"/>
        </w:rPr>
        <w:t>, over the period of 18</w:t>
      </w:r>
      <w:r w:rsidR="00603A4D" w:rsidRPr="00F975C1">
        <w:rPr>
          <w:rFonts w:ascii="Garamond" w:hAnsi="Garamond"/>
          <w:sz w:val="24"/>
          <w:szCs w:val="24"/>
          <w:vertAlign w:val="superscript"/>
        </w:rPr>
        <w:t>th</w:t>
      </w:r>
      <w:r w:rsidR="00603A4D" w:rsidRPr="00F975C1">
        <w:rPr>
          <w:rFonts w:ascii="Garamond" w:hAnsi="Garamond"/>
          <w:sz w:val="24"/>
          <w:szCs w:val="24"/>
        </w:rPr>
        <w:t xml:space="preserve"> </w:t>
      </w:r>
      <w:proofErr w:type="gramStart"/>
      <w:r w:rsidR="00603A4D" w:rsidRPr="00F975C1">
        <w:rPr>
          <w:rFonts w:ascii="Garamond" w:hAnsi="Garamond"/>
          <w:sz w:val="24"/>
          <w:szCs w:val="24"/>
        </w:rPr>
        <w:t>March,</w:t>
      </w:r>
      <w:proofErr w:type="gramEnd"/>
      <w:r w:rsidR="00603A4D" w:rsidRPr="00F975C1">
        <w:rPr>
          <w:rFonts w:ascii="Garamond" w:hAnsi="Garamond"/>
          <w:sz w:val="24"/>
          <w:szCs w:val="24"/>
        </w:rPr>
        <w:t xml:space="preserve"> 1936 to 30</w:t>
      </w:r>
      <w:r w:rsidR="00603A4D" w:rsidRPr="00F975C1">
        <w:rPr>
          <w:rFonts w:ascii="Garamond" w:hAnsi="Garamond"/>
          <w:sz w:val="24"/>
          <w:szCs w:val="24"/>
          <w:vertAlign w:val="superscript"/>
        </w:rPr>
        <w:t>th</w:t>
      </w:r>
      <w:r w:rsidR="00603A4D" w:rsidRPr="00F975C1">
        <w:rPr>
          <w:rFonts w:ascii="Garamond" w:hAnsi="Garamond"/>
          <w:sz w:val="24"/>
          <w:szCs w:val="24"/>
        </w:rPr>
        <w:t xml:space="preserve"> November, 2016</w:t>
      </w:r>
      <w:r w:rsidRPr="00F975C1">
        <w:rPr>
          <w:rFonts w:ascii="Garamond" w:hAnsi="Garamond"/>
          <w:sz w:val="24"/>
          <w:szCs w:val="24"/>
        </w:rPr>
        <w:t>. The CRSP stock returns</w:t>
      </w:r>
      <w:r w:rsidR="00541F6B" w:rsidRPr="00F975C1">
        <w:rPr>
          <w:rFonts w:ascii="Garamond" w:hAnsi="Garamond"/>
          <w:sz w:val="24"/>
          <w:szCs w:val="24"/>
        </w:rPr>
        <w:t xml:space="preserve"> (</w:t>
      </w:r>
      <w:r w:rsidR="00541F6B" w:rsidRPr="00F975C1">
        <w:rPr>
          <w:rFonts w:ascii="Garamond" w:hAnsi="Garamond"/>
          <w:i/>
          <w:sz w:val="24"/>
          <w:szCs w:val="24"/>
        </w:rPr>
        <w:t>r</w:t>
      </w:r>
      <w:r w:rsidR="00541F6B" w:rsidRPr="00F975C1">
        <w:rPr>
          <w:rFonts w:ascii="Garamond" w:hAnsi="Garamond"/>
          <w:sz w:val="24"/>
          <w:szCs w:val="24"/>
        </w:rPr>
        <w:t>)</w:t>
      </w:r>
      <w:r w:rsidRPr="00F975C1">
        <w:rPr>
          <w:rFonts w:ascii="Garamond" w:hAnsi="Garamond"/>
          <w:sz w:val="24"/>
          <w:szCs w:val="24"/>
        </w:rPr>
        <w:t xml:space="preserve"> is obtained from the data library of Professor Kenneth R. French,</w:t>
      </w:r>
      <w:r w:rsidRPr="00F975C1">
        <w:rPr>
          <w:rStyle w:val="FootnoteReference"/>
          <w:rFonts w:ascii="Garamond" w:hAnsi="Garamond"/>
          <w:sz w:val="24"/>
          <w:szCs w:val="24"/>
        </w:rPr>
        <w:footnoteReference w:id="4"/>
      </w:r>
      <w:r w:rsidRPr="00F975C1">
        <w:rPr>
          <w:rFonts w:ascii="Garamond" w:hAnsi="Garamond"/>
          <w:sz w:val="24"/>
          <w:szCs w:val="24"/>
        </w:rPr>
        <w:t xml:space="preserve"> while the daily recession dummy</w:t>
      </w:r>
      <w:r w:rsidR="00541F6B" w:rsidRPr="00F975C1">
        <w:rPr>
          <w:rFonts w:ascii="Garamond" w:hAnsi="Garamond"/>
          <w:sz w:val="24"/>
          <w:szCs w:val="24"/>
        </w:rPr>
        <w:t xml:space="preserve"> (</w:t>
      </w:r>
      <w:r w:rsidR="00541F6B" w:rsidRPr="00F975C1">
        <w:rPr>
          <w:rFonts w:ascii="Garamond" w:hAnsi="Garamond"/>
          <w:i/>
          <w:sz w:val="24"/>
          <w:szCs w:val="24"/>
        </w:rPr>
        <w:t>rec</w:t>
      </w:r>
      <w:r w:rsidR="00541F6B" w:rsidRPr="00F975C1">
        <w:rPr>
          <w:rFonts w:ascii="Garamond" w:hAnsi="Garamond"/>
          <w:sz w:val="24"/>
          <w:szCs w:val="24"/>
        </w:rPr>
        <w:t>)</w:t>
      </w:r>
      <w:r w:rsidRPr="00F975C1">
        <w:rPr>
          <w:rFonts w:ascii="Garamond" w:hAnsi="Garamond"/>
          <w:sz w:val="24"/>
          <w:szCs w:val="24"/>
        </w:rPr>
        <w:t xml:space="preserve"> comes from the FRED database of the Federal Reserve Bank of St. Louis. To compute the exogenous monetary policy shocks, we use the </w:t>
      </w:r>
      <w:proofErr w:type="gramStart"/>
      <w:r w:rsidRPr="00F975C1">
        <w:rPr>
          <w:rFonts w:ascii="Garamond" w:hAnsi="Garamond"/>
          <w:sz w:val="24"/>
          <w:szCs w:val="24"/>
        </w:rPr>
        <w:t>first-difference</w:t>
      </w:r>
      <w:proofErr w:type="gramEnd"/>
      <w:r w:rsidRPr="00F975C1">
        <w:rPr>
          <w:rFonts w:ascii="Garamond" w:hAnsi="Garamond"/>
          <w:sz w:val="24"/>
          <w:szCs w:val="24"/>
        </w:rPr>
        <w:t xml:space="preserve"> of the appropriate interest rate variable on the FOMC dates </w:t>
      </w:r>
      <w:r w:rsidRPr="00F975C1">
        <w:rPr>
          <w:rFonts w:ascii="Garamond" w:hAnsi="Garamond"/>
          <w:sz w:val="24"/>
          <w:szCs w:val="24"/>
        </w:rPr>
        <w:lastRenderedPageBreak/>
        <w:t>(and zero otherwise),</w:t>
      </w:r>
      <w:r w:rsidR="00603A4D" w:rsidRPr="00F975C1">
        <w:rPr>
          <w:rStyle w:val="FootnoteReference"/>
          <w:rFonts w:ascii="Garamond" w:hAnsi="Garamond"/>
          <w:sz w:val="24"/>
          <w:szCs w:val="24"/>
        </w:rPr>
        <w:footnoteReference w:id="5"/>
      </w:r>
      <w:r w:rsidRPr="00F975C1">
        <w:rPr>
          <w:rFonts w:ascii="Garamond" w:hAnsi="Garamond"/>
          <w:sz w:val="24"/>
          <w:szCs w:val="24"/>
        </w:rPr>
        <w:t xml:space="preserve"> and then regress it on the recession dummy and recover the residual. The positive residuals are identified as a contractionary shock</w:t>
      </w:r>
      <w:r w:rsidR="00541F6B" w:rsidRPr="00F975C1">
        <w:rPr>
          <w:rFonts w:ascii="Garamond" w:hAnsi="Garamond"/>
          <w:sz w:val="24"/>
          <w:szCs w:val="24"/>
        </w:rPr>
        <w:t xml:space="preserve"> (</w:t>
      </w:r>
      <w:proofErr w:type="spellStart"/>
      <w:r w:rsidR="00541F6B" w:rsidRPr="00F975C1">
        <w:rPr>
          <w:rFonts w:ascii="Garamond" w:hAnsi="Garamond"/>
          <w:i/>
          <w:sz w:val="24"/>
          <w:szCs w:val="24"/>
        </w:rPr>
        <w:t>mps</w:t>
      </w:r>
      <w:r w:rsidR="00541F6B" w:rsidRPr="00F975C1">
        <w:rPr>
          <w:rFonts w:ascii="Garamond" w:hAnsi="Garamond"/>
          <w:i/>
          <w:sz w:val="24"/>
          <w:szCs w:val="24"/>
          <w:vertAlign w:val="superscript"/>
        </w:rPr>
        <w:t>pos</w:t>
      </w:r>
      <w:proofErr w:type="spellEnd"/>
      <w:r w:rsidR="00541F6B" w:rsidRPr="00F975C1">
        <w:rPr>
          <w:rFonts w:ascii="Garamond" w:hAnsi="Garamond"/>
          <w:sz w:val="24"/>
          <w:szCs w:val="24"/>
        </w:rPr>
        <w:t>)</w:t>
      </w:r>
      <w:r w:rsidRPr="00F975C1">
        <w:rPr>
          <w:rFonts w:ascii="Garamond" w:hAnsi="Garamond"/>
          <w:sz w:val="24"/>
          <w:szCs w:val="24"/>
        </w:rPr>
        <w:t>, and the negative ones as an expansionary shock</w:t>
      </w:r>
      <w:r w:rsidR="00541F6B" w:rsidRPr="00F975C1">
        <w:rPr>
          <w:rFonts w:ascii="Garamond" w:hAnsi="Garamond"/>
          <w:sz w:val="24"/>
          <w:szCs w:val="24"/>
        </w:rPr>
        <w:t xml:space="preserve"> (</w:t>
      </w:r>
      <w:proofErr w:type="spellStart"/>
      <w:r w:rsidR="00541F6B" w:rsidRPr="00F975C1">
        <w:rPr>
          <w:rFonts w:ascii="Garamond" w:hAnsi="Garamond"/>
          <w:i/>
          <w:sz w:val="24"/>
          <w:szCs w:val="24"/>
        </w:rPr>
        <w:t>mps</w:t>
      </w:r>
      <w:r w:rsidR="00541F6B" w:rsidRPr="00F975C1">
        <w:rPr>
          <w:rFonts w:ascii="Garamond" w:hAnsi="Garamond"/>
          <w:i/>
          <w:sz w:val="24"/>
          <w:szCs w:val="24"/>
          <w:vertAlign w:val="superscript"/>
        </w:rPr>
        <w:t>neg</w:t>
      </w:r>
      <w:proofErr w:type="spellEnd"/>
      <w:r w:rsidR="00541F6B" w:rsidRPr="00F975C1">
        <w:rPr>
          <w:rFonts w:ascii="Garamond" w:hAnsi="Garamond"/>
          <w:sz w:val="24"/>
          <w:szCs w:val="24"/>
        </w:rPr>
        <w:t>)</w:t>
      </w:r>
      <w:r w:rsidRPr="00F975C1">
        <w:rPr>
          <w:rFonts w:ascii="Garamond" w:hAnsi="Garamond"/>
          <w:sz w:val="24"/>
          <w:szCs w:val="24"/>
        </w:rPr>
        <w:t>.</w:t>
      </w:r>
      <w:r w:rsidRPr="00F975C1">
        <w:rPr>
          <w:rStyle w:val="FootnoteReference"/>
          <w:rFonts w:ascii="Garamond" w:hAnsi="Garamond"/>
          <w:sz w:val="24"/>
          <w:szCs w:val="24"/>
        </w:rPr>
        <w:footnoteReference w:id="6"/>
      </w:r>
      <w:r w:rsidR="00603A4D" w:rsidRPr="00F975C1">
        <w:rPr>
          <w:rFonts w:ascii="Garamond" w:hAnsi="Garamond"/>
          <w:sz w:val="24"/>
          <w:szCs w:val="24"/>
        </w:rPr>
        <w:t xml:space="preserve"> As far as the interest rate variable is concerned, we use the 3-month Treasury bill rate over the period of 17</w:t>
      </w:r>
      <w:r w:rsidR="00603A4D" w:rsidRPr="00F975C1">
        <w:rPr>
          <w:rFonts w:ascii="Garamond" w:hAnsi="Garamond"/>
          <w:sz w:val="24"/>
          <w:szCs w:val="24"/>
          <w:vertAlign w:val="superscript"/>
        </w:rPr>
        <w:t>th</w:t>
      </w:r>
      <w:r w:rsidR="00603A4D" w:rsidRPr="00F975C1">
        <w:rPr>
          <w:rFonts w:ascii="Garamond" w:hAnsi="Garamond"/>
          <w:sz w:val="24"/>
          <w:szCs w:val="24"/>
        </w:rPr>
        <w:t xml:space="preserve"> March, 1936</w:t>
      </w:r>
      <w:r w:rsidRPr="00F975C1">
        <w:rPr>
          <w:rFonts w:ascii="Garamond" w:hAnsi="Garamond"/>
          <w:sz w:val="24"/>
          <w:szCs w:val="24"/>
        </w:rPr>
        <w:t xml:space="preserve"> </w:t>
      </w:r>
      <w:r w:rsidR="00603A4D" w:rsidRPr="00F975C1">
        <w:rPr>
          <w:rFonts w:ascii="Garamond" w:hAnsi="Garamond"/>
          <w:sz w:val="24"/>
          <w:szCs w:val="24"/>
        </w:rPr>
        <w:t>till 30</w:t>
      </w:r>
      <w:r w:rsidR="00603A4D" w:rsidRPr="00F975C1">
        <w:rPr>
          <w:rFonts w:ascii="Garamond" w:hAnsi="Garamond"/>
          <w:sz w:val="24"/>
          <w:szCs w:val="24"/>
          <w:vertAlign w:val="superscript"/>
        </w:rPr>
        <w:t>th</w:t>
      </w:r>
      <w:r w:rsidR="00603A4D" w:rsidRPr="00F975C1">
        <w:rPr>
          <w:rFonts w:ascii="Garamond" w:hAnsi="Garamond"/>
          <w:sz w:val="24"/>
          <w:szCs w:val="24"/>
        </w:rPr>
        <w:t xml:space="preserve"> June, 1954, the effective Federal funds rate from July 1</w:t>
      </w:r>
      <w:r w:rsidR="00603A4D" w:rsidRPr="00F975C1">
        <w:rPr>
          <w:rFonts w:ascii="Garamond" w:hAnsi="Garamond"/>
          <w:sz w:val="24"/>
          <w:szCs w:val="24"/>
          <w:vertAlign w:val="superscript"/>
        </w:rPr>
        <w:t>st</w:t>
      </w:r>
      <w:r w:rsidR="00603A4D" w:rsidRPr="00F975C1">
        <w:rPr>
          <w:rFonts w:ascii="Garamond" w:hAnsi="Garamond"/>
          <w:sz w:val="24"/>
          <w:szCs w:val="24"/>
        </w:rPr>
        <w:t>, 1954 to 15</w:t>
      </w:r>
      <w:r w:rsidR="00603A4D" w:rsidRPr="00F975C1">
        <w:rPr>
          <w:rFonts w:ascii="Garamond" w:hAnsi="Garamond"/>
          <w:sz w:val="24"/>
          <w:szCs w:val="24"/>
          <w:vertAlign w:val="superscript"/>
        </w:rPr>
        <w:t>th</w:t>
      </w:r>
      <w:r w:rsidR="00603A4D" w:rsidRPr="00F975C1">
        <w:rPr>
          <w:rFonts w:ascii="Garamond" w:hAnsi="Garamond"/>
          <w:sz w:val="24"/>
          <w:szCs w:val="24"/>
        </w:rPr>
        <w:t xml:space="preserve"> December, 2008 and then from </w:t>
      </w:r>
      <w:r w:rsidR="00ED1A5B" w:rsidRPr="00F975C1">
        <w:rPr>
          <w:rFonts w:ascii="Garamond" w:hAnsi="Garamond"/>
          <w:sz w:val="24"/>
          <w:szCs w:val="24"/>
        </w:rPr>
        <w:t xml:space="preserve"> </w:t>
      </w:r>
      <w:r w:rsidR="00C72CF0" w:rsidRPr="00F975C1">
        <w:rPr>
          <w:rFonts w:ascii="Garamond" w:hAnsi="Garamond"/>
          <w:sz w:val="24"/>
          <w:szCs w:val="24"/>
        </w:rPr>
        <w:t>16</w:t>
      </w:r>
      <w:r w:rsidR="00C72CF0" w:rsidRPr="00F975C1">
        <w:rPr>
          <w:rFonts w:ascii="Garamond" w:hAnsi="Garamond"/>
          <w:sz w:val="24"/>
          <w:szCs w:val="24"/>
          <w:vertAlign w:val="superscript"/>
        </w:rPr>
        <w:t>th</w:t>
      </w:r>
      <w:r w:rsidR="00C72CF0" w:rsidRPr="00F975C1">
        <w:rPr>
          <w:rFonts w:ascii="Garamond" w:hAnsi="Garamond"/>
          <w:sz w:val="24"/>
          <w:szCs w:val="24"/>
        </w:rPr>
        <w:t xml:space="preserve"> December 2015 to 30</w:t>
      </w:r>
      <w:r w:rsidR="00C72CF0" w:rsidRPr="00F975C1">
        <w:rPr>
          <w:rFonts w:ascii="Garamond" w:hAnsi="Garamond"/>
          <w:sz w:val="24"/>
          <w:szCs w:val="24"/>
          <w:vertAlign w:val="superscript"/>
        </w:rPr>
        <w:t>th</w:t>
      </w:r>
      <w:r w:rsidR="00C72CF0" w:rsidRPr="00F975C1">
        <w:rPr>
          <w:rFonts w:ascii="Garamond" w:hAnsi="Garamond"/>
          <w:sz w:val="24"/>
          <w:szCs w:val="24"/>
        </w:rPr>
        <w:t xml:space="preserve"> November, 2016, with data derived from the FRED database. For the </w:t>
      </w:r>
      <w:r w:rsidR="00693663">
        <w:rPr>
          <w:rFonts w:ascii="Garamond" w:hAnsi="Garamond"/>
          <w:sz w:val="24"/>
          <w:szCs w:val="24"/>
        </w:rPr>
        <w:t xml:space="preserve">time </w:t>
      </w:r>
      <w:r w:rsidR="00C72CF0" w:rsidRPr="00F975C1">
        <w:rPr>
          <w:rFonts w:ascii="Garamond" w:hAnsi="Garamond"/>
          <w:sz w:val="24"/>
          <w:szCs w:val="24"/>
        </w:rPr>
        <w:t>period of 16</w:t>
      </w:r>
      <w:r w:rsidR="00C72CF0" w:rsidRPr="00F975C1">
        <w:rPr>
          <w:rFonts w:ascii="Garamond" w:hAnsi="Garamond"/>
          <w:sz w:val="24"/>
          <w:szCs w:val="24"/>
          <w:vertAlign w:val="superscript"/>
        </w:rPr>
        <w:t>th</w:t>
      </w:r>
      <w:r w:rsidR="00C72CF0" w:rsidRPr="00F975C1">
        <w:rPr>
          <w:rFonts w:ascii="Garamond" w:hAnsi="Garamond"/>
          <w:sz w:val="24"/>
          <w:szCs w:val="24"/>
        </w:rPr>
        <w:t xml:space="preserve"> December, 2008 till 15</w:t>
      </w:r>
      <w:r w:rsidR="00C72CF0" w:rsidRPr="00F975C1">
        <w:rPr>
          <w:rFonts w:ascii="Garamond" w:hAnsi="Garamond"/>
          <w:sz w:val="24"/>
          <w:szCs w:val="24"/>
          <w:vertAlign w:val="superscript"/>
        </w:rPr>
        <w:t>th</w:t>
      </w:r>
      <w:r w:rsidR="00C72CF0" w:rsidRPr="00F975C1">
        <w:rPr>
          <w:rFonts w:ascii="Garamond" w:hAnsi="Garamond"/>
          <w:sz w:val="24"/>
          <w:szCs w:val="24"/>
        </w:rPr>
        <w:t xml:space="preserve"> December, 2015, which corresponds to the zero lower bond (</w:t>
      </w:r>
      <w:r w:rsidR="007C659B" w:rsidRPr="00F975C1">
        <w:rPr>
          <w:rFonts w:ascii="Garamond" w:hAnsi="Garamond"/>
          <w:sz w:val="24"/>
          <w:szCs w:val="24"/>
        </w:rPr>
        <w:t>ZLB</w:t>
      </w:r>
      <w:r w:rsidR="00C72CF0" w:rsidRPr="00F975C1">
        <w:rPr>
          <w:rFonts w:ascii="Garamond" w:hAnsi="Garamond"/>
          <w:sz w:val="24"/>
          <w:szCs w:val="24"/>
        </w:rPr>
        <w:t>) scenario, we used the shadow short rate developed by Krippner (2013</w:t>
      </w:r>
      <w:r w:rsidR="007C659B" w:rsidRPr="00F975C1">
        <w:rPr>
          <w:rFonts w:ascii="Garamond" w:hAnsi="Garamond"/>
          <w:sz w:val="24"/>
          <w:szCs w:val="24"/>
        </w:rPr>
        <w:t>) based on models of term-structure.</w:t>
      </w:r>
      <w:r w:rsidR="007C659B" w:rsidRPr="00F975C1">
        <w:rPr>
          <w:rStyle w:val="FootnoteReference"/>
          <w:rFonts w:ascii="Garamond" w:hAnsi="Garamond"/>
          <w:sz w:val="24"/>
          <w:szCs w:val="24"/>
        </w:rPr>
        <w:footnoteReference w:id="7"/>
      </w:r>
      <w:r w:rsidR="007C659B" w:rsidRPr="00F975C1">
        <w:rPr>
          <w:rFonts w:ascii="Garamond" w:hAnsi="Garamond"/>
          <w:sz w:val="24"/>
          <w:szCs w:val="24"/>
        </w:rPr>
        <w:t xml:space="preserve"> The yield curve-based framework developed by Krippner (2013) essentially removes the effect that the option to invest in physical currency (at an interest rate of zero) has on yield curves. This results in a hypothetical “shadow yield curve” that would exist if the physical currency were not available.</w:t>
      </w:r>
      <w:r w:rsidR="007C659B" w:rsidRPr="00F975C1">
        <w:rPr>
          <w:rStyle w:val="FootnoteReference"/>
          <w:rFonts w:ascii="Garamond" w:hAnsi="Garamond"/>
          <w:sz w:val="24"/>
          <w:szCs w:val="24"/>
        </w:rPr>
        <w:footnoteReference w:id="8"/>
      </w:r>
      <w:r w:rsidR="007C659B" w:rsidRPr="00F975C1">
        <w:rPr>
          <w:rFonts w:ascii="Garamond" w:hAnsi="Garamond"/>
          <w:sz w:val="24"/>
          <w:szCs w:val="24"/>
        </w:rPr>
        <w:t xml:space="preserve"> </w:t>
      </w:r>
    </w:p>
    <w:p w14:paraId="70686C27" w14:textId="44A8EF7F" w:rsidR="005E5024" w:rsidRPr="00F975C1" w:rsidRDefault="007C659B" w:rsidP="007C659B">
      <w:pPr>
        <w:jc w:val="both"/>
        <w:rPr>
          <w:rFonts w:ascii="Garamond" w:hAnsi="Garamond"/>
          <w:sz w:val="24"/>
          <w:szCs w:val="24"/>
        </w:rPr>
      </w:pPr>
      <w:r w:rsidRPr="00F975C1">
        <w:rPr>
          <w:rFonts w:ascii="Garamond" w:hAnsi="Garamond"/>
          <w:sz w:val="24"/>
          <w:szCs w:val="24"/>
        </w:rPr>
        <w:t xml:space="preserve">Finally, financial market uncertainty is </w:t>
      </w:r>
      <w:r w:rsidR="00A225A8" w:rsidRPr="00F975C1">
        <w:rPr>
          <w:rFonts w:ascii="Garamond" w:hAnsi="Garamond"/>
          <w:sz w:val="24"/>
          <w:szCs w:val="24"/>
        </w:rPr>
        <w:t>measured using the</w:t>
      </w:r>
      <w:r w:rsidR="00814ADD" w:rsidRPr="00F975C1">
        <w:rPr>
          <w:rFonts w:ascii="Garamond" w:hAnsi="Garamond"/>
          <w:sz w:val="24"/>
          <w:szCs w:val="24"/>
        </w:rPr>
        <w:t xml:space="preserve"> metric developed by </w:t>
      </w:r>
      <w:proofErr w:type="spellStart"/>
      <w:r w:rsidR="00814ADD" w:rsidRPr="00F975C1">
        <w:rPr>
          <w:rFonts w:ascii="Garamond" w:hAnsi="Garamond"/>
          <w:sz w:val="24"/>
          <w:szCs w:val="24"/>
        </w:rPr>
        <w:t>Chuliá</w:t>
      </w:r>
      <w:proofErr w:type="spellEnd"/>
      <w:r w:rsidR="00814ADD" w:rsidRPr="00F975C1">
        <w:rPr>
          <w:rFonts w:ascii="Garamond" w:hAnsi="Garamond"/>
          <w:sz w:val="24"/>
          <w:szCs w:val="24"/>
        </w:rPr>
        <w:t xml:space="preserve"> et al., (2017b), who</w:t>
      </w:r>
      <w:r w:rsidRPr="00F975C1">
        <w:rPr>
          <w:rFonts w:ascii="Garamond" w:hAnsi="Garamond"/>
          <w:sz w:val="24"/>
          <w:szCs w:val="24"/>
        </w:rPr>
        <w:t xml:space="preserve"> use</w:t>
      </w:r>
      <w:r w:rsidR="00814ADD" w:rsidRPr="00F975C1">
        <w:rPr>
          <w:rFonts w:ascii="Garamond" w:hAnsi="Garamond"/>
          <w:sz w:val="24"/>
          <w:szCs w:val="24"/>
        </w:rPr>
        <w:t>s</w:t>
      </w:r>
      <w:r w:rsidRPr="00F975C1">
        <w:rPr>
          <w:rFonts w:ascii="Garamond" w:hAnsi="Garamond"/>
          <w:sz w:val="24"/>
          <w:szCs w:val="24"/>
        </w:rPr>
        <w:t xml:space="preserve"> 25 portfolios of stocks belonging to the NYSE, AMEX, and NASDAQ,</w:t>
      </w:r>
      <w:r w:rsidR="00814ADD" w:rsidRPr="00F975C1">
        <w:rPr>
          <w:rFonts w:ascii="Garamond" w:hAnsi="Garamond"/>
          <w:sz w:val="24"/>
          <w:szCs w:val="24"/>
        </w:rPr>
        <w:t xml:space="preserve"> which comprises the CRSP stock index,</w:t>
      </w:r>
      <w:r w:rsidRPr="00F975C1">
        <w:rPr>
          <w:rFonts w:ascii="Garamond" w:hAnsi="Garamond"/>
          <w:sz w:val="24"/>
          <w:szCs w:val="24"/>
        </w:rPr>
        <w:t xml:space="preserve"> sorted according to size </w:t>
      </w:r>
      <w:r w:rsidR="00814ADD" w:rsidRPr="00F975C1">
        <w:rPr>
          <w:rFonts w:ascii="Garamond" w:hAnsi="Garamond"/>
          <w:sz w:val="24"/>
          <w:szCs w:val="24"/>
        </w:rPr>
        <w:t xml:space="preserve">and their book-to-market value. </w:t>
      </w:r>
      <w:r w:rsidRPr="00F975C1">
        <w:rPr>
          <w:rFonts w:ascii="Garamond" w:hAnsi="Garamond"/>
          <w:sz w:val="24"/>
          <w:szCs w:val="24"/>
        </w:rPr>
        <w:t>The</w:t>
      </w:r>
      <w:r w:rsidR="00814ADD" w:rsidRPr="00F975C1">
        <w:rPr>
          <w:rFonts w:ascii="Garamond" w:hAnsi="Garamond"/>
          <w:sz w:val="24"/>
          <w:szCs w:val="24"/>
        </w:rPr>
        <w:t>se author</w:t>
      </w:r>
      <w:r w:rsidR="00A225A8" w:rsidRPr="00F975C1">
        <w:rPr>
          <w:rFonts w:ascii="Garamond" w:hAnsi="Garamond"/>
          <w:sz w:val="24"/>
          <w:szCs w:val="24"/>
        </w:rPr>
        <w:t>s</w:t>
      </w:r>
      <w:r w:rsidR="00814ADD" w:rsidRPr="00F975C1">
        <w:rPr>
          <w:rFonts w:ascii="Garamond" w:hAnsi="Garamond"/>
          <w:sz w:val="24"/>
          <w:szCs w:val="24"/>
        </w:rPr>
        <w:t xml:space="preserve"> follow a two-step process for the</w:t>
      </w:r>
      <w:r w:rsidRPr="00F975C1">
        <w:rPr>
          <w:rFonts w:ascii="Garamond" w:hAnsi="Garamond"/>
          <w:sz w:val="24"/>
          <w:szCs w:val="24"/>
        </w:rPr>
        <w:t xml:space="preserve"> construction of </w:t>
      </w:r>
      <w:r w:rsidR="00814ADD" w:rsidRPr="00F975C1">
        <w:rPr>
          <w:rFonts w:ascii="Garamond" w:hAnsi="Garamond"/>
          <w:sz w:val="24"/>
          <w:szCs w:val="24"/>
        </w:rPr>
        <w:t>their</w:t>
      </w:r>
      <w:r w:rsidRPr="00F975C1">
        <w:rPr>
          <w:rFonts w:ascii="Garamond" w:hAnsi="Garamond"/>
          <w:sz w:val="24"/>
          <w:szCs w:val="24"/>
        </w:rPr>
        <w:t xml:space="preserve"> uncertainty index. First, </w:t>
      </w:r>
      <w:r w:rsidR="00814ADD" w:rsidRPr="00F975C1">
        <w:rPr>
          <w:rFonts w:ascii="Garamond" w:hAnsi="Garamond"/>
          <w:sz w:val="24"/>
          <w:szCs w:val="24"/>
        </w:rPr>
        <w:t>they</w:t>
      </w:r>
      <w:r w:rsidRPr="00F975C1">
        <w:rPr>
          <w:rFonts w:ascii="Garamond" w:hAnsi="Garamond"/>
          <w:sz w:val="24"/>
          <w:szCs w:val="24"/>
        </w:rPr>
        <w:t xml:space="preserve"> remove the common component of the series under study and calculate</w:t>
      </w:r>
      <w:r w:rsidR="00814ADD" w:rsidRPr="00F975C1">
        <w:rPr>
          <w:rFonts w:ascii="Garamond" w:hAnsi="Garamond"/>
          <w:sz w:val="24"/>
          <w:szCs w:val="24"/>
        </w:rPr>
        <w:t xml:space="preserve"> their idiosyncratic variation</w:t>
      </w:r>
      <w:r w:rsidR="00A225A8" w:rsidRPr="00F975C1">
        <w:rPr>
          <w:rFonts w:ascii="Garamond" w:hAnsi="Garamond"/>
          <w:sz w:val="24"/>
          <w:szCs w:val="24"/>
        </w:rPr>
        <w:t xml:space="preserve"> by filtering</w:t>
      </w:r>
      <w:r w:rsidRPr="00F975C1">
        <w:rPr>
          <w:rFonts w:ascii="Garamond" w:hAnsi="Garamond"/>
          <w:sz w:val="24"/>
          <w:szCs w:val="24"/>
        </w:rPr>
        <w:t xml:space="preserve"> the original series using a generalized dynamic factor model (GDFM). Second, </w:t>
      </w:r>
      <w:r w:rsidR="00814ADD" w:rsidRPr="00F975C1">
        <w:rPr>
          <w:rFonts w:ascii="Garamond" w:hAnsi="Garamond"/>
          <w:sz w:val="24"/>
          <w:szCs w:val="24"/>
        </w:rPr>
        <w:t>these authors</w:t>
      </w:r>
      <w:r w:rsidRPr="00F975C1">
        <w:rPr>
          <w:rFonts w:ascii="Garamond" w:hAnsi="Garamond"/>
          <w:sz w:val="24"/>
          <w:szCs w:val="24"/>
        </w:rPr>
        <w:t xml:space="preserve"> calculate the stochastic volatility of each residual in the previous step using Markov chain Monte Carlo (MCMC) techniques. Then, </w:t>
      </w:r>
      <w:proofErr w:type="spellStart"/>
      <w:r w:rsidR="00814ADD" w:rsidRPr="00F975C1">
        <w:rPr>
          <w:rFonts w:ascii="Garamond" w:hAnsi="Garamond"/>
          <w:sz w:val="24"/>
          <w:szCs w:val="24"/>
        </w:rPr>
        <w:t>Chuliá</w:t>
      </w:r>
      <w:proofErr w:type="spellEnd"/>
      <w:r w:rsidR="00814ADD" w:rsidRPr="00F975C1">
        <w:rPr>
          <w:rFonts w:ascii="Garamond" w:hAnsi="Garamond"/>
          <w:sz w:val="24"/>
          <w:szCs w:val="24"/>
        </w:rPr>
        <w:t xml:space="preserve"> et al., (2017b) </w:t>
      </w:r>
      <w:r w:rsidRPr="00F975C1">
        <w:rPr>
          <w:rFonts w:ascii="Garamond" w:hAnsi="Garamond"/>
          <w:sz w:val="24"/>
          <w:szCs w:val="24"/>
        </w:rPr>
        <w:t>obtain a single index of uncertainty for the stock market</w:t>
      </w:r>
      <w:r w:rsidR="00814ADD" w:rsidRPr="00F975C1">
        <w:rPr>
          <w:rFonts w:ascii="Garamond" w:hAnsi="Garamond"/>
          <w:sz w:val="24"/>
          <w:szCs w:val="24"/>
        </w:rPr>
        <w:t xml:space="preserve"> by average the series.</w:t>
      </w:r>
      <w:r w:rsidR="00814ADD" w:rsidRPr="00F975C1">
        <w:rPr>
          <w:rStyle w:val="FootnoteReference"/>
          <w:rFonts w:ascii="Garamond" w:hAnsi="Garamond"/>
          <w:sz w:val="24"/>
          <w:szCs w:val="24"/>
        </w:rPr>
        <w:footnoteReference w:id="9"/>
      </w:r>
      <w:r w:rsidR="00563A02" w:rsidRPr="00F975C1">
        <w:rPr>
          <w:rFonts w:ascii="Garamond" w:hAnsi="Garamond"/>
          <w:sz w:val="24"/>
          <w:szCs w:val="24"/>
        </w:rPr>
        <w:t xml:space="preserve"> As with the monetary policy</w:t>
      </w:r>
      <w:r w:rsidR="00A225A8" w:rsidRPr="00F975C1">
        <w:rPr>
          <w:rFonts w:ascii="Garamond" w:hAnsi="Garamond"/>
          <w:sz w:val="24"/>
          <w:szCs w:val="24"/>
        </w:rPr>
        <w:t>,</w:t>
      </w:r>
      <w:r w:rsidR="00563A02" w:rsidRPr="00F975C1">
        <w:rPr>
          <w:rFonts w:ascii="Garamond" w:hAnsi="Garamond"/>
          <w:sz w:val="24"/>
          <w:szCs w:val="24"/>
        </w:rPr>
        <w:t xml:space="preserve"> to capture possible asymmetric effects of increases and decreases in uncertainty changes (shocks), we work with the positive</w:t>
      </w:r>
      <w:r w:rsidR="00541F6B" w:rsidRPr="00F975C1">
        <w:rPr>
          <w:rFonts w:ascii="Garamond" w:hAnsi="Garamond"/>
          <w:sz w:val="24"/>
          <w:szCs w:val="24"/>
        </w:rPr>
        <w:t xml:space="preserve"> (</w:t>
      </w:r>
      <w:proofErr w:type="spellStart"/>
      <w:r w:rsidR="00541F6B" w:rsidRPr="00F975C1">
        <w:rPr>
          <w:rFonts w:ascii="Garamond" w:hAnsi="Garamond"/>
          <w:i/>
          <w:sz w:val="24"/>
          <w:szCs w:val="24"/>
        </w:rPr>
        <w:t>unc</w:t>
      </w:r>
      <w:r w:rsidR="00541F6B" w:rsidRPr="00F975C1">
        <w:rPr>
          <w:rFonts w:ascii="Garamond" w:hAnsi="Garamond"/>
          <w:i/>
          <w:sz w:val="24"/>
          <w:szCs w:val="24"/>
          <w:vertAlign w:val="superscript"/>
        </w:rPr>
        <w:t>pos</w:t>
      </w:r>
      <w:proofErr w:type="spellEnd"/>
      <w:r w:rsidR="00541F6B" w:rsidRPr="00F975C1">
        <w:rPr>
          <w:rFonts w:ascii="Garamond" w:hAnsi="Garamond"/>
          <w:sz w:val="24"/>
          <w:szCs w:val="24"/>
        </w:rPr>
        <w:t>)</w:t>
      </w:r>
      <w:r w:rsidR="00563A02" w:rsidRPr="00F975C1">
        <w:rPr>
          <w:rFonts w:ascii="Garamond" w:hAnsi="Garamond"/>
          <w:sz w:val="24"/>
          <w:szCs w:val="24"/>
        </w:rPr>
        <w:t xml:space="preserve"> and negative</w:t>
      </w:r>
      <w:r w:rsidR="00541F6B" w:rsidRPr="00F975C1">
        <w:rPr>
          <w:rFonts w:ascii="Garamond" w:hAnsi="Garamond"/>
          <w:sz w:val="24"/>
          <w:szCs w:val="24"/>
        </w:rPr>
        <w:t xml:space="preserve"> (</w:t>
      </w:r>
      <w:proofErr w:type="spellStart"/>
      <w:r w:rsidR="00541F6B" w:rsidRPr="00F975C1">
        <w:rPr>
          <w:rFonts w:ascii="Garamond" w:hAnsi="Garamond"/>
          <w:i/>
          <w:sz w:val="24"/>
          <w:szCs w:val="24"/>
        </w:rPr>
        <w:t>unc</w:t>
      </w:r>
      <w:r w:rsidR="00541F6B" w:rsidRPr="00F975C1">
        <w:rPr>
          <w:rFonts w:ascii="Garamond" w:hAnsi="Garamond"/>
          <w:i/>
          <w:sz w:val="24"/>
          <w:szCs w:val="24"/>
          <w:vertAlign w:val="superscript"/>
        </w:rPr>
        <w:t>neg</w:t>
      </w:r>
      <w:proofErr w:type="spellEnd"/>
      <w:r w:rsidR="00541F6B" w:rsidRPr="00F975C1">
        <w:rPr>
          <w:rFonts w:ascii="Garamond" w:hAnsi="Garamond"/>
          <w:sz w:val="24"/>
          <w:szCs w:val="24"/>
        </w:rPr>
        <w:t>)</w:t>
      </w:r>
      <w:r w:rsidR="00563A02" w:rsidRPr="00F975C1">
        <w:rPr>
          <w:rFonts w:ascii="Garamond" w:hAnsi="Garamond"/>
          <w:sz w:val="24"/>
          <w:szCs w:val="24"/>
        </w:rPr>
        <w:t xml:space="preserve"> growth rates of </w:t>
      </w:r>
      <w:r w:rsidR="00A225A8" w:rsidRPr="00F975C1">
        <w:rPr>
          <w:rFonts w:ascii="Garamond" w:hAnsi="Garamond"/>
          <w:sz w:val="24"/>
          <w:szCs w:val="24"/>
        </w:rPr>
        <w:t xml:space="preserve">this </w:t>
      </w:r>
      <w:r w:rsidR="00563A02" w:rsidRPr="00F975C1">
        <w:rPr>
          <w:rFonts w:ascii="Garamond" w:hAnsi="Garamond"/>
          <w:sz w:val="24"/>
          <w:szCs w:val="24"/>
        </w:rPr>
        <w:t>financial market uncertainty index.</w:t>
      </w:r>
      <w:r w:rsidR="00353627" w:rsidRPr="00F975C1">
        <w:rPr>
          <w:rStyle w:val="FootnoteReference"/>
          <w:rFonts w:ascii="Garamond" w:hAnsi="Garamond"/>
          <w:sz w:val="24"/>
          <w:szCs w:val="24"/>
        </w:rPr>
        <w:footnoteReference w:id="10"/>
      </w:r>
      <w:r w:rsidR="00563A02" w:rsidRPr="00F975C1">
        <w:rPr>
          <w:rFonts w:ascii="Garamond" w:hAnsi="Garamond"/>
          <w:sz w:val="24"/>
          <w:szCs w:val="24"/>
        </w:rPr>
        <w:t xml:space="preserve"> </w:t>
      </w:r>
      <w:r w:rsidRPr="00F975C1">
        <w:rPr>
          <w:rFonts w:ascii="Garamond" w:hAnsi="Garamond"/>
          <w:sz w:val="24"/>
          <w:szCs w:val="24"/>
        </w:rPr>
        <w:t xml:space="preserve">   </w:t>
      </w:r>
    </w:p>
    <w:p w14:paraId="7109FE30" w14:textId="2B1E203F" w:rsidR="00166DF7" w:rsidRPr="00F975C1" w:rsidRDefault="0075436B" w:rsidP="00166DF7">
      <w:pPr>
        <w:jc w:val="both"/>
        <w:rPr>
          <w:rFonts w:ascii="Garamond" w:hAnsi="Garamond"/>
          <w:sz w:val="24"/>
          <w:szCs w:val="24"/>
        </w:rPr>
      </w:pPr>
      <w:r w:rsidRPr="00F975C1">
        <w:rPr>
          <w:rFonts w:ascii="Garamond" w:hAnsi="Garamond"/>
          <w:sz w:val="24"/>
          <w:szCs w:val="24"/>
        </w:rPr>
        <w:t xml:space="preserve">Having defined the data, we </w:t>
      </w:r>
      <w:r w:rsidR="000F5619" w:rsidRPr="00F975C1">
        <w:rPr>
          <w:rFonts w:ascii="Garamond" w:hAnsi="Garamond"/>
          <w:sz w:val="24"/>
          <w:szCs w:val="24"/>
        </w:rPr>
        <w:t xml:space="preserve">now </w:t>
      </w:r>
      <w:r w:rsidRPr="00F975C1">
        <w:rPr>
          <w:rFonts w:ascii="Garamond" w:hAnsi="Garamond"/>
          <w:sz w:val="24"/>
          <w:szCs w:val="24"/>
        </w:rPr>
        <w:t>turn our attention to the econome</w:t>
      </w:r>
      <w:r w:rsidR="00166DF7" w:rsidRPr="00F975C1">
        <w:rPr>
          <w:rFonts w:ascii="Garamond" w:hAnsi="Garamond"/>
          <w:sz w:val="24"/>
          <w:szCs w:val="24"/>
        </w:rPr>
        <w:t>tric framework. Note that, one empirical observation associated with equity markets is that, the impact of negative price moves on future volatility is different from that of positive ones</w:t>
      </w:r>
      <w:r w:rsidR="00A225A8" w:rsidRPr="00F975C1">
        <w:rPr>
          <w:rFonts w:ascii="Garamond" w:hAnsi="Garamond"/>
          <w:sz w:val="24"/>
          <w:szCs w:val="24"/>
        </w:rPr>
        <w:t>.</w:t>
      </w:r>
      <w:r w:rsidR="00166DF7" w:rsidRPr="00F975C1">
        <w:rPr>
          <w:rFonts w:ascii="Garamond" w:hAnsi="Garamond"/>
          <w:sz w:val="24"/>
          <w:szCs w:val="24"/>
        </w:rPr>
        <w:t xml:space="preserve"> </w:t>
      </w:r>
      <w:r w:rsidR="00A225A8" w:rsidRPr="00F975C1">
        <w:rPr>
          <w:rFonts w:ascii="Garamond" w:hAnsi="Garamond"/>
          <w:sz w:val="24"/>
          <w:szCs w:val="24"/>
        </w:rPr>
        <w:t xml:space="preserve">The </w:t>
      </w:r>
      <w:r w:rsidR="00166DF7" w:rsidRPr="00F975C1">
        <w:rPr>
          <w:rFonts w:ascii="Garamond" w:hAnsi="Garamond"/>
          <w:sz w:val="24"/>
          <w:szCs w:val="24"/>
        </w:rPr>
        <w:t>E</w:t>
      </w:r>
      <w:r w:rsidR="00541F6B" w:rsidRPr="00F975C1">
        <w:rPr>
          <w:rFonts w:ascii="Garamond" w:hAnsi="Garamond"/>
          <w:sz w:val="24"/>
          <w:szCs w:val="24"/>
        </w:rPr>
        <w:t xml:space="preserve">xponential </w:t>
      </w:r>
      <w:r w:rsidR="00541F6B" w:rsidRPr="00F975C1">
        <w:rPr>
          <w:rFonts w:ascii="Garamond" w:hAnsi="Garamond" w:cs="Arial"/>
          <w:color w:val="222222"/>
          <w:sz w:val="24"/>
          <w:szCs w:val="24"/>
          <w:shd w:val="clear" w:color="auto" w:fill="FFFFFF"/>
        </w:rPr>
        <w:t>Generalized Autoregressive Conditional Heteroskedasticity</w:t>
      </w:r>
      <w:r w:rsidR="00541F6B" w:rsidRPr="00F975C1">
        <w:rPr>
          <w:rFonts w:ascii="Garamond" w:hAnsi="Garamond"/>
          <w:sz w:val="24"/>
          <w:szCs w:val="24"/>
        </w:rPr>
        <w:t xml:space="preserve"> (E</w:t>
      </w:r>
      <w:r w:rsidR="00166DF7" w:rsidRPr="00F975C1">
        <w:rPr>
          <w:rFonts w:ascii="Garamond" w:hAnsi="Garamond"/>
          <w:sz w:val="24"/>
          <w:szCs w:val="24"/>
        </w:rPr>
        <w:t>GARCH</w:t>
      </w:r>
      <w:r w:rsidR="00541F6B" w:rsidRPr="00F975C1">
        <w:rPr>
          <w:rFonts w:ascii="Garamond" w:hAnsi="Garamond"/>
          <w:sz w:val="24"/>
          <w:szCs w:val="24"/>
        </w:rPr>
        <w:t>)</w:t>
      </w:r>
      <w:r w:rsidR="00166DF7" w:rsidRPr="00F975C1">
        <w:rPr>
          <w:rFonts w:ascii="Garamond" w:hAnsi="Garamond"/>
          <w:sz w:val="24"/>
          <w:szCs w:val="24"/>
        </w:rPr>
        <w:t xml:space="preserve"> model of Nelson (1991) captures this feature by its design of the volatility process. Formally, the EGARCH model used in this paper can be described as follows:</w:t>
      </w:r>
    </w:p>
    <w:p w14:paraId="2769788A" w14:textId="77777777" w:rsidR="00166DF7" w:rsidRPr="00F975C1" w:rsidRDefault="00541F6B" w:rsidP="00166DF7">
      <w:pPr>
        <w:spacing w:after="0" w:line="240" w:lineRule="auto"/>
        <w:ind w:right="20"/>
        <w:contextualSpacing/>
        <w:jc w:val="both"/>
        <w:rPr>
          <w:rFonts w:ascii="Garamond" w:hAnsi="Garamond"/>
          <w:sz w:val="24"/>
          <w:szCs w:val="24"/>
        </w:rPr>
      </w:pPr>
      <w:r w:rsidRPr="004A43EF">
        <w:rPr>
          <w:rFonts w:ascii="Garamond" w:hAnsi="Garamond"/>
          <w:position w:val="-12"/>
          <w:sz w:val="24"/>
          <w:szCs w:val="24"/>
        </w:rPr>
        <w:object w:dxaOrig="5800" w:dyaOrig="380" w14:anchorId="41C61C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9.5pt;height:18pt" o:ole="">
            <v:imagedata r:id="rId8" o:title=""/>
          </v:shape>
          <o:OLEObject Type="Embed" ProgID="Equation.DSMT4" ShapeID="_x0000_i1025" DrawAspect="Content" ObjectID="_1646728386" r:id="rId9"/>
        </w:object>
      </w:r>
      <w:r w:rsidRPr="00F975C1">
        <w:rPr>
          <w:rFonts w:ascii="Garamond" w:hAnsi="Garamond"/>
          <w:sz w:val="24"/>
          <w:szCs w:val="24"/>
        </w:rPr>
        <w:tab/>
      </w:r>
      <w:r w:rsidRPr="00F975C1">
        <w:rPr>
          <w:rFonts w:ascii="Garamond" w:hAnsi="Garamond"/>
          <w:sz w:val="24"/>
          <w:szCs w:val="24"/>
        </w:rPr>
        <w:tab/>
      </w:r>
      <w:r w:rsidRPr="00F975C1">
        <w:rPr>
          <w:rFonts w:ascii="Garamond" w:hAnsi="Garamond"/>
          <w:sz w:val="24"/>
          <w:szCs w:val="24"/>
        </w:rPr>
        <w:tab/>
      </w:r>
      <w:r w:rsidRPr="00F975C1">
        <w:rPr>
          <w:rFonts w:ascii="Garamond" w:hAnsi="Garamond"/>
          <w:sz w:val="24"/>
          <w:szCs w:val="24"/>
        </w:rPr>
        <w:tab/>
      </w:r>
      <w:r w:rsidR="00166DF7" w:rsidRPr="00F975C1">
        <w:rPr>
          <w:rFonts w:ascii="Garamond" w:hAnsi="Garamond"/>
          <w:sz w:val="24"/>
          <w:szCs w:val="24"/>
        </w:rPr>
        <w:t xml:space="preserve"> (1)</w:t>
      </w:r>
    </w:p>
    <w:p w14:paraId="14421EC7" w14:textId="77777777" w:rsidR="00166DF7" w:rsidRPr="00F975C1" w:rsidRDefault="00166DF7" w:rsidP="00166DF7">
      <w:pPr>
        <w:spacing w:after="0" w:line="240" w:lineRule="auto"/>
        <w:ind w:right="20"/>
        <w:contextualSpacing/>
        <w:jc w:val="both"/>
        <w:rPr>
          <w:rFonts w:ascii="Garamond" w:hAnsi="Garamond" w:cs="cmr12"/>
          <w:sz w:val="24"/>
          <w:szCs w:val="24"/>
        </w:rPr>
      </w:pPr>
      <w:r w:rsidRPr="00F975C1">
        <w:rPr>
          <w:rFonts w:ascii="Garamond" w:hAnsi="Garamond"/>
          <w:sz w:val="24"/>
          <w:szCs w:val="24"/>
        </w:rPr>
        <w:t xml:space="preserve"> where, </w:t>
      </w:r>
      <w:r w:rsidRPr="004A43EF">
        <w:rPr>
          <w:rFonts w:ascii="Garamond" w:hAnsi="Garamond"/>
          <w:position w:val="-12"/>
          <w:sz w:val="24"/>
          <w:szCs w:val="24"/>
        </w:rPr>
        <w:object w:dxaOrig="240" w:dyaOrig="360" w14:anchorId="683781C5">
          <v:shape id="_x0000_i1026" type="#_x0000_t75" style="width:12pt;height:18pt" o:ole="">
            <v:imagedata r:id="rId10" o:title=""/>
          </v:shape>
          <o:OLEObject Type="Embed" ProgID="Equation.DSMT4" ShapeID="_x0000_i1026" DrawAspect="Content" ObjectID="_1646728387" r:id="rId11"/>
        </w:object>
      </w:r>
      <w:r w:rsidRPr="00F975C1">
        <w:rPr>
          <w:rFonts w:ascii="Garamond" w:hAnsi="Garamond" w:cs="cmr12"/>
          <w:sz w:val="24"/>
          <w:szCs w:val="24"/>
        </w:rPr>
        <w:t xml:space="preserve">is a sequence of </w:t>
      </w:r>
      <w:proofErr w:type="gramStart"/>
      <w:r w:rsidRPr="00F975C1">
        <w:rPr>
          <w:rFonts w:ascii="Garamond" w:hAnsi="Garamond" w:cs="cmmi12"/>
          <w:i/>
          <w:sz w:val="24"/>
          <w:szCs w:val="24"/>
        </w:rPr>
        <w:t>N</w:t>
      </w:r>
      <w:r w:rsidRPr="00F975C1">
        <w:rPr>
          <w:rFonts w:ascii="Garamond" w:hAnsi="Garamond" w:cs="cmr12"/>
          <w:sz w:val="24"/>
          <w:szCs w:val="24"/>
        </w:rPr>
        <w:t>(</w:t>
      </w:r>
      <w:proofErr w:type="gramEnd"/>
      <w:r w:rsidRPr="00F975C1">
        <w:rPr>
          <w:rFonts w:ascii="Garamond" w:hAnsi="Garamond" w:cs="cmr12"/>
          <w:sz w:val="24"/>
          <w:szCs w:val="24"/>
        </w:rPr>
        <w:t>0</w:t>
      </w:r>
      <w:r w:rsidRPr="00F975C1">
        <w:rPr>
          <w:rFonts w:ascii="Garamond" w:hAnsi="Garamond" w:cs="cmmi12"/>
          <w:sz w:val="24"/>
          <w:szCs w:val="24"/>
        </w:rPr>
        <w:t xml:space="preserve">, </w:t>
      </w:r>
      <w:r w:rsidRPr="00F975C1">
        <w:rPr>
          <w:rFonts w:ascii="Garamond" w:hAnsi="Garamond" w:cs="cmr12"/>
          <w:sz w:val="24"/>
          <w:szCs w:val="24"/>
        </w:rPr>
        <w:t xml:space="preserve">1) </w:t>
      </w:r>
      <w:proofErr w:type="spellStart"/>
      <w:r w:rsidRPr="00F975C1">
        <w:rPr>
          <w:rFonts w:ascii="Garamond" w:hAnsi="Garamond" w:cs="cmr12"/>
          <w:i/>
          <w:sz w:val="24"/>
          <w:szCs w:val="24"/>
        </w:rPr>
        <w:t>i.i.d</w:t>
      </w:r>
      <w:proofErr w:type="spellEnd"/>
      <w:r w:rsidRPr="00F975C1">
        <w:rPr>
          <w:rFonts w:ascii="Garamond" w:hAnsi="Garamond" w:cs="cmr12"/>
          <w:i/>
          <w:sz w:val="24"/>
          <w:szCs w:val="24"/>
        </w:rPr>
        <w:t>.</w:t>
      </w:r>
      <w:r w:rsidRPr="00F975C1">
        <w:rPr>
          <w:rFonts w:ascii="Garamond" w:hAnsi="Garamond" w:cs="cmr12"/>
          <w:sz w:val="24"/>
          <w:szCs w:val="24"/>
        </w:rPr>
        <w:t xml:space="preserve"> random variables, and</w:t>
      </w:r>
    </w:p>
    <w:p w14:paraId="47A36733" w14:textId="77777777" w:rsidR="00166DF7" w:rsidRPr="00F975C1" w:rsidRDefault="00541F6B" w:rsidP="00166DF7">
      <w:pPr>
        <w:pStyle w:val="MTDisplayEquation"/>
        <w:contextualSpacing/>
      </w:pPr>
      <w:r w:rsidRPr="004A43EF">
        <w:rPr>
          <w:position w:val="-30"/>
        </w:rPr>
        <w:object w:dxaOrig="8300" w:dyaOrig="680" w14:anchorId="347A4253">
          <v:shape id="_x0000_i1027" type="#_x0000_t75" style="width:415.5pt;height:33.75pt" o:ole="">
            <v:imagedata r:id="rId12" o:title=""/>
          </v:shape>
          <o:OLEObject Type="Embed" ProgID="Equation.DSMT4" ShapeID="_x0000_i1027" DrawAspect="Content" ObjectID="_1646728388" r:id="rId13"/>
        </w:object>
      </w:r>
      <w:r w:rsidR="00166DF7" w:rsidRPr="00F975C1">
        <w:t xml:space="preserve"> </w:t>
      </w:r>
      <w:r w:rsidR="00166DF7" w:rsidRPr="00F975C1">
        <w:tab/>
        <w:t>(2)</w:t>
      </w:r>
    </w:p>
    <w:p w14:paraId="62BADE20" w14:textId="77777777" w:rsidR="00166DF7" w:rsidRPr="00F975C1" w:rsidRDefault="00166DF7" w:rsidP="00166DF7">
      <w:pPr>
        <w:spacing w:after="0" w:line="240" w:lineRule="auto"/>
        <w:ind w:right="20"/>
        <w:contextualSpacing/>
        <w:jc w:val="both"/>
        <w:rPr>
          <w:rFonts w:ascii="Garamond" w:hAnsi="Garamond"/>
          <w:sz w:val="24"/>
          <w:szCs w:val="24"/>
        </w:rPr>
      </w:pPr>
    </w:p>
    <w:p w14:paraId="35E86038" w14:textId="77777777" w:rsidR="0058713C" w:rsidRPr="00F975C1" w:rsidRDefault="00166DF7" w:rsidP="00166DF7">
      <w:pPr>
        <w:spacing w:after="0" w:line="240" w:lineRule="auto"/>
        <w:ind w:right="20"/>
        <w:contextualSpacing/>
        <w:jc w:val="both"/>
        <w:rPr>
          <w:rFonts w:ascii="Garamond" w:hAnsi="Garamond"/>
          <w:sz w:val="24"/>
          <w:szCs w:val="24"/>
        </w:rPr>
      </w:pPr>
      <w:r w:rsidRPr="00F975C1">
        <w:rPr>
          <w:rFonts w:ascii="Garamond" w:hAnsi="Garamond"/>
          <w:sz w:val="24"/>
          <w:szCs w:val="24"/>
        </w:rPr>
        <w:t xml:space="preserve">where </w:t>
      </w:r>
      <w:r w:rsidRPr="004A43EF">
        <w:rPr>
          <w:rFonts w:ascii="Garamond" w:hAnsi="Garamond"/>
          <w:position w:val="-12"/>
          <w:sz w:val="24"/>
          <w:szCs w:val="24"/>
        </w:rPr>
        <w:object w:dxaOrig="859" w:dyaOrig="340" w14:anchorId="514F493C">
          <v:shape id="_x0000_i1028" type="#_x0000_t75" style="width:42.75pt;height:16.5pt" o:ole="">
            <v:imagedata r:id="rId14" o:title=""/>
          </v:shape>
          <o:OLEObject Type="Embed" ProgID="Equation.DSMT4" ShapeID="_x0000_i1028" DrawAspect="Content" ObjectID="_1646728389" r:id="rId15"/>
        </w:object>
      </w:r>
      <w:r w:rsidRPr="00F975C1">
        <w:rPr>
          <w:rFonts w:ascii="Garamond" w:hAnsi="Garamond"/>
          <w:sz w:val="24"/>
          <w:szCs w:val="24"/>
        </w:rPr>
        <w:t xml:space="preserve">. </w:t>
      </w:r>
      <w:r w:rsidRPr="00F975C1">
        <w:rPr>
          <w:rFonts w:ascii="Garamond" w:hAnsi="Garamond" w:cs="cmr12"/>
          <w:sz w:val="24"/>
          <w:szCs w:val="24"/>
        </w:rPr>
        <w:t xml:space="preserve">Notice that there is an asymmetric effect between positive and negative returns. Also, to avoid the possibility of a negative variance, the model is an </w:t>
      </w:r>
      <w:r w:rsidRPr="00F975C1">
        <w:rPr>
          <w:rFonts w:ascii="Garamond" w:hAnsi="Garamond" w:cs="cmr12"/>
          <w:i/>
          <w:sz w:val="24"/>
          <w:szCs w:val="24"/>
        </w:rPr>
        <w:t>AR</w:t>
      </w:r>
      <w:r w:rsidRPr="00F975C1">
        <w:rPr>
          <w:rFonts w:ascii="Garamond" w:hAnsi="Garamond" w:cs="cmr12"/>
          <w:sz w:val="24"/>
          <w:szCs w:val="24"/>
        </w:rPr>
        <w:t xml:space="preserve">(1) on </w:t>
      </w:r>
      <w:r w:rsidRPr="004A43EF">
        <w:rPr>
          <w:rFonts w:ascii="Garamond" w:hAnsi="Garamond"/>
          <w:position w:val="-12"/>
          <w:sz w:val="24"/>
          <w:szCs w:val="24"/>
        </w:rPr>
        <w:object w:dxaOrig="660" w:dyaOrig="380" w14:anchorId="69B96FE4">
          <v:shape id="_x0000_i1029" type="#_x0000_t75" style="width:33pt;height:18.75pt" o:ole="">
            <v:imagedata r:id="rId16" o:title=""/>
          </v:shape>
          <o:OLEObject Type="Embed" ProgID="Equation.DSMT4" ShapeID="_x0000_i1029" DrawAspect="Content" ObjectID="_1646728390" r:id="rId17"/>
        </w:object>
      </w:r>
      <w:r w:rsidRPr="00F975C1">
        <w:rPr>
          <w:rFonts w:ascii="Garamond" w:hAnsi="Garamond"/>
          <w:sz w:val="24"/>
          <w:szCs w:val="24"/>
        </w:rPr>
        <w:t xml:space="preserve"> rather than </w:t>
      </w:r>
      <w:r w:rsidRPr="004A43EF">
        <w:rPr>
          <w:rFonts w:ascii="Garamond" w:hAnsi="Garamond"/>
          <w:position w:val="-12"/>
          <w:sz w:val="24"/>
          <w:szCs w:val="24"/>
        </w:rPr>
        <w:object w:dxaOrig="300" w:dyaOrig="380" w14:anchorId="0A0669A7">
          <v:shape id="_x0000_i1030" type="#_x0000_t75" style="width:15pt;height:18.75pt" o:ole="">
            <v:imagedata r:id="rId18" o:title=""/>
          </v:shape>
          <o:OLEObject Type="Embed" ProgID="Equation.DSMT4" ShapeID="_x0000_i1030" DrawAspect="Content" ObjectID="_1646728391" r:id="rId19"/>
        </w:object>
      </w:r>
      <w:r w:rsidRPr="00F975C1">
        <w:rPr>
          <w:rFonts w:ascii="Garamond" w:hAnsi="Garamond"/>
          <w:sz w:val="24"/>
          <w:szCs w:val="24"/>
        </w:rPr>
        <w:t xml:space="preserve">. </w:t>
      </w:r>
      <w:r w:rsidR="000E7FB2" w:rsidRPr="00F975C1">
        <w:rPr>
          <w:rFonts w:ascii="Garamond" w:hAnsi="Garamond"/>
          <w:sz w:val="24"/>
          <w:szCs w:val="24"/>
        </w:rPr>
        <w:t>Based on our discussion in the introduction, we allow both monetary policy and un</w:t>
      </w:r>
      <w:r w:rsidR="0058713C" w:rsidRPr="00F975C1">
        <w:rPr>
          <w:rFonts w:ascii="Garamond" w:hAnsi="Garamond"/>
          <w:sz w:val="24"/>
          <w:szCs w:val="24"/>
        </w:rPr>
        <w:t>certainty shocks, as well as</w:t>
      </w:r>
      <w:r w:rsidR="000E7FB2" w:rsidRPr="00F975C1">
        <w:rPr>
          <w:rFonts w:ascii="Garamond" w:hAnsi="Garamond"/>
          <w:sz w:val="24"/>
          <w:szCs w:val="24"/>
        </w:rPr>
        <w:t xml:space="preserve"> recession</w:t>
      </w:r>
      <w:r w:rsidR="0058713C" w:rsidRPr="00F975C1">
        <w:rPr>
          <w:rFonts w:ascii="Garamond" w:hAnsi="Garamond"/>
          <w:sz w:val="24"/>
          <w:szCs w:val="24"/>
        </w:rPr>
        <w:t>s</w:t>
      </w:r>
      <w:r w:rsidR="000E7FB2" w:rsidRPr="00F975C1">
        <w:rPr>
          <w:rFonts w:ascii="Garamond" w:hAnsi="Garamond"/>
          <w:sz w:val="24"/>
          <w:szCs w:val="24"/>
        </w:rPr>
        <w:t xml:space="preserve"> (see for example, Hamilton and Lin (1996) and </w:t>
      </w:r>
      <w:proofErr w:type="spellStart"/>
      <w:r w:rsidR="000E7FB2" w:rsidRPr="00F975C1">
        <w:rPr>
          <w:rFonts w:ascii="Garamond" w:hAnsi="Garamond"/>
          <w:sz w:val="24"/>
          <w:szCs w:val="24"/>
        </w:rPr>
        <w:t>Atanasov</w:t>
      </w:r>
      <w:proofErr w:type="spellEnd"/>
      <w:r w:rsidR="000E7FB2" w:rsidRPr="00F975C1">
        <w:rPr>
          <w:rFonts w:ascii="Garamond" w:hAnsi="Garamond"/>
          <w:sz w:val="24"/>
          <w:szCs w:val="24"/>
        </w:rPr>
        <w:t xml:space="preserve"> (2018)), to affect both stock returns and its volatility.</w:t>
      </w:r>
      <w:r w:rsidR="00B9299F" w:rsidRPr="00F975C1">
        <w:rPr>
          <w:rFonts w:ascii="Garamond" w:hAnsi="Garamond"/>
          <w:sz w:val="24"/>
          <w:szCs w:val="24"/>
        </w:rPr>
        <w:t xml:space="preserve"> </w:t>
      </w:r>
    </w:p>
    <w:p w14:paraId="2EC02215" w14:textId="77777777" w:rsidR="0058713C" w:rsidRPr="00F975C1" w:rsidRDefault="0058713C" w:rsidP="00166DF7">
      <w:pPr>
        <w:spacing w:after="0" w:line="240" w:lineRule="auto"/>
        <w:ind w:right="20"/>
        <w:contextualSpacing/>
        <w:jc w:val="both"/>
        <w:rPr>
          <w:rFonts w:ascii="Garamond" w:hAnsi="Garamond"/>
          <w:sz w:val="24"/>
          <w:szCs w:val="24"/>
        </w:rPr>
      </w:pPr>
    </w:p>
    <w:p w14:paraId="1BE83C06" w14:textId="77777777" w:rsidR="0058713C" w:rsidRPr="00F975C1" w:rsidRDefault="0058713C" w:rsidP="0058713C">
      <w:pPr>
        <w:pStyle w:val="ListParagraph"/>
        <w:numPr>
          <w:ilvl w:val="0"/>
          <w:numId w:val="1"/>
        </w:numPr>
        <w:spacing w:after="0" w:line="240" w:lineRule="auto"/>
        <w:ind w:right="20"/>
        <w:jc w:val="both"/>
        <w:rPr>
          <w:rFonts w:ascii="Garamond" w:hAnsi="Garamond"/>
          <w:b/>
          <w:sz w:val="24"/>
          <w:szCs w:val="24"/>
        </w:rPr>
      </w:pPr>
      <w:r w:rsidRPr="00F975C1">
        <w:rPr>
          <w:rFonts w:ascii="Garamond" w:hAnsi="Garamond"/>
          <w:b/>
          <w:sz w:val="24"/>
          <w:szCs w:val="24"/>
        </w:rPr>
        <w:t>Empirical Findings</w:t>
      </w:r>
    </w:p>
    <w:p w14:paraId="37537517" w14:textId="6D208288" w:rsidR="00B50207" w:rsidRDefault="00667CC5" w:rsidP="00166DF7">
      <w:pPr>
        <w:spacing w:after="0" w:line="240" w:lineRule="auto"/>
        <w:ind w:right="20"/>
        <w:contextualSpacing/>
        <w:jc w:val="both"/>
        <w:rPr>
          <w:rFonts w:ascii="Garamond" w:hAnsi="Garamond"/>
          <w:sz w:val="24"/>
          <w:szCs w:val="24"/>
        </w:rPr>
      </w:pPr>
      <w:r w:rsidRPr="00F975C1">
        <w:rPr>
          <w:rFonts w:ascii="Garamond" w:hAnsi="Garamond"/>
          <w:sz w:val="24"/>
          <w:szCs w:val="24"/>
        </w:rPr>
        <w:t xml:space="preserve">The estimation results </w:t>
      </w:r>
      <w:r w:rsidR="0058713C" w:rsidRPr="00F975C1">
        <w:rPr>
          <w:rFonts w:ascii="Garamond" w:hAnsi="Garamond"/>
          <w:sz w:val="24"/>
          <w:szCs w:val="24"/>
        </w:rPr>
        <w:t xml:space="preserve">for equations (1) and (2) </w:t>
      </w:r>
      <w:r w:rsidRPr="00F975C1">
        <w:rPr>
          <w:rFonts w:ascii="Garamond" w:hAnsi="Garamond"/>
          <w:sz w:val="24"/>
          <w:szCs w:val="24"/>
        </w:rPr>
        <w:t xml:space="preserve">have been reported in Table 1. As can be seen from </w:t>
      </w:r>
      <w:r w:rsidR="0058713C" w:rsidRPr="00F975C1">
        <w:rPr>
          <w:rFonts w:ascii="Garamond" w:hAnsi="Garamond"/>
          <w:sz w:val="24"/>
          <w:szCs w:val="24"/>
        </w:rPr>
        <w:t>the t</w:t>
      </w:r>
      <w:r w:rsidRPr="00F975C1">
        <w:rPr>
          <w:rFonts w:ascii="Garamond" w:hAnsi="Garamond"/>
          <w:sz w:val="24"/>
          <w:szCs w:val="24"/>
        </w:rPr>
        <w:t xml:space="preserve">able, </w:t>
      </w:r>
      <w:r w:rsidR="00B9299F" w:rsidRPr="00F975C1">
        <w:rPr>
          <w:rFonts w:ascii="Garamond" w:hAnsi="Garamond"/>
          <w:sz w:val="24"/>
          <w:szCs w:val="24"/>
        </w:rPr>
        <w:t xml:space="preserve">the leverage effect, as suggested by a negative and statistically significant estimate of </w:t>
      </w:r>
      <w:r w:rsidR="00B9299F" w:rsidRPr="00F975C1">
        <w:rPr>
          <w:rFonts w:ascii="Garamond" w:hAnsi="Garamond"/>
          <w:i/>
          <w:sz w:val="24"/>
          <w:szCs w:val="24"/>
        </w:rPr>
        <w:sym w:font="Symbol" w:char="F061"/>
      </w:r>
      <w:r w:rsidR="00B9299F" w:rsidRPr="00F975C1">
        <w:rPr>
          <w:rFonts w:ascii="Garamond" w:hAnsi="Garamond"/>
          <w:i/>
          <w:sz w:val="24"/>
          <w:szCs w:val="24"/>
          <w:vertAlign w:val="subscript"/>
        </w:rPr>
        <w:t>1</w:t>
      </w:r>
      <w:r w:rsidR="00B9299F" w:rsidRPr="00F975C1">
        <w:rPr>
          <w:rFonts w:ascii="Garamond" w:hAnsi="Garamond"/>
          <w:sz w:val="24"/>
          <w:szCs w:val="24"/>
        </w:rPr>
        <w:t>, is clearly visible</w:t>
      </w:r>
      <w:r w:rsidR="00462F6B" w:rsidRPr="00F975C1">
        <w:rPr>
          <w:rFonts w:ascii="Garamond" w:hAnsi="Garamond"/>
          <w:sz w:val="24"/>
          <w:szCs w:val="24"/>
        </w:rPr>
        <w:t xml:space="preserve">. This clearly supports </w:t>
      </w:r>
      <w:r w:rsidR="00B9299F" w:rsidRPr="00F975C1">
        <w:rPr>
          <w:rFonts w:ascii="Garamond" w:hAnsi="Garamond"/>
          <w:sz w:val="24"/>
          <w:szCs w:val="24"/>
        </w:rPr>
        <w:t xml:space="preserve">our modelling strategy. </w:t>
      </w:r>
      <w:r w:rsidR="00462F6B" w:rsidRPr="00F975C1">
        <w:rPr>
          <w:rFonts w:ascii="Garamond" w:hAnsi="Garamond"/>
          <w:sz w:val="24"/>
          <w:szCs w:val="24"/>
        </w:rPr>
        <w:t xml:space="preserve">Evaluating the impact of monetary policy, we find that </w:t>
      </w:r>
      <w:r w:rsidRPr="00F975C1">
        <w:rPr>
          <w:rFonts w:ascii="Garamond" w:hAnsi="Garamond"/>
          <w:sz w:val="24"/>
          <w:szCs w:val="24"/>
        </w:rPr>
        <w:t>contractionary monetary policy</w:t>
      </w:r>
      <w:r w:rsidR="00E61A0F" w:rsidRPr="00F975C1">
        <w:rPr>
          <w:rFonts w:ascii="Garamond" w:hAnsi="Garamond"/>
          <w:sz w:val="24"/>
          <w:szCs w:val="24"/>
        </w:rPr>
        <w:t xml:space="preserve"> </w:t>
      </w:r>
      <w:r w:rsidR="002C25D9" w:rsidRPr="00F975C1">
        <w:rPr>
          <w:rFonts w:ascii="Garamond" w:hAnsi="Garamond"/>
          <w:sz w:val="24"/>
          <w:szCs w:val="24"/>
        </w:rPr>
        <w:t>(</w:t>
      </w:r>
      <w:proofErr w:type="spellStart"/>
      <w:r w:rsidR="002C25D9" w:rsidRPr="00F975C1">
        <w:rPr>
          <w:rFonts w:ascii="Garamond" w:hAnsi="Garamond"/>
          <w:i/>
          <w:sz w:val="24"/>
          <w:szCs w:val="24"/>
        </w:rPr>
        <w:t>mps</w:t>
      </w:r>
      <w:r w:rsidR="002C25D9" w:rsidRPr="00F975C1">
        <w:rPr>
          <w:rFonts w:ascii="Garamond" w:hAnsi="Garamond"/>
          <w:i/>
          <w:sz w:val="24"/>
          <w:szCs w:val="24"/>
          <w:vertAlign w:val="superscript"/>
        </w:rPr>
        <w:t>pos</w:t>
      </w:r>
      <w:proofErr w:type="spellEnd"/>
      <w:r w:rsidR="002C25D9" w:rsidRPr="00F975C1">
        <w:rPr>
          <w:rFonts w:ascii="Garamond" w:hAnsi="Garamond"/>
          <w:sz w:val="24"/>
          <w:szCs w:val="24"/>
        </w:rPr>
        <w:t>)</w:t>
      </w:r>
      <w:r w:rsidRPr="00F975C1">
        <w:rPr>
          <w:rFonts w:ascii="Garamond" w:hAnsi="Garamond"/>
          <w:sz w:val="24"/>
          <w:szCs w:val="24"/>
        </w:rPr>
        <w:t xml:space="preserve"> reduces stock returns in a statistically significant</w:t>
      </w:r>
      <w:r w:rsidR="00E61A0F" w:rsidRPr="00F975C1">
        <w:rPr>
          <w:rFonts w:ascii="Garamond" w:hAnsi="Garamond"/>
          <w:sz w:val="24"/>
          <w:szCs w:val="24"/>
        </w:rPr>
        <w:t xml:space="preserve"> manner at the 5% level with no impact on volatility</w:t>
      </w:r>
      <w:r w:rsidR="00462F6B" w:rsidRPr="00F975C1">
        <w:rPr>
          <w:rFonts w:ascii="Garamond" w:hAnsi="Garamond"/>
          <w:sz w:val="24"/>
          <w:szCs w:val="24"/>
        </w:rPr>
        <w:t xml:space="preserve">. However, </w:t>
      </w:r>
      <w:r w:rsidR="002C25D9" w:rsidRPr="00F975C1">
        <w:rPr>
          <w:rFonts w:ascii="Garamond" w:hAnsi="Garamond"/>
          <w:sz w:val="24"/>
          <w:szCs w:val="24"/>
        </w:rPr>
        <w:t>expansionary monetary policy</w:t>
      </w:r>
      <w:r w:rsidR="00E61A0F" w:rsidRPr="00F975C1">
        <w:rPr>
          <w:rFonts w:ascii="Garamond" w:hAnsi="Garamond"/>
          <w:sz w:val="24"/>
          <w:szCs w:val="24"/>
        </w:rPr>
        <w:t xml:space="preserve"> (</w:t>
      </w:r>
      <w:proofErr w:type="spellStart"/>
      <w:r w:rsidR="00E61A0F" w:rsidRPr="00F975C1">
        <w:rPr>
          <w:rFonts w:ascii="Garamond" w:hAnsi="Garamond"/>
          <w:i/>
          <w:sz w:val="24"/>
          <w:szCs w:val="24"/>
        </w:rPr>
        <w:t>mps</w:t>
      </w:r>
      <w:r w:rsidR="00E61A0F" w:rsidRPr="00F975C1">
        <w:rPr>
          <w:rFonts w:ascii="Garamond" w:hAnsi="Garamond"/>
          <w:i/>
          <w:sz w:val="24"/>
          <w:szCs w:val="24"/>
          <w:vertAlign w:val="superscript"/>
        </w:rPr>
        <w:t>neg</w:t>
      </w:r>
      <w:proofErr w:type="spellEnd"/>
      <w:r w:rsidR="00E61A0F" w:rsidRPr="00F975C1">
        <w:rPr>
          <w:rFonts w:ascii="Garamond" w:hAnsi="Garamond"/>
          <w:sz w:val="24"/>
          <w:szCs w:val="24"/>
        </w:rPr>
        <w:t>)</w:t>
      </w:r>
      <w:r w:rsidR="002C25D9" w:rsidRPr="00F975C1">
        <w:rPr>
          <w:rFonts w:ascii="Garamond" w:hAnsi="Garamond"/>
          <w:sz w:val="24"/>
          <w:szCs w:val="24"/>
        </w:rPr>
        <w:t xml:space="preserve"> </w:t>
      </w:r>
      <w:r w:rsidR="00E61A0F" w:rsidRPr="00F975C1">
        <w:rPr>
          <w:rFonts w:ascii="Garamond" w:hAnsi="Garamond"/>
          <w:sz w:val="24"/>
          <w:szCs w:val="24"/>
        </w:rPr>
        <w:t>increases volatility significantly but does not impact returns</w:t>
      </w:r>
      <w:r w:rsidR="002C25D9" w:rsidRPr="00F975C1">
        <w:rPr>
          <w:rFonts w:ascii="Garamond" w:hAnsi="Garamond"/>
          <w:sz w:val="24"/>
          <w:szCs w:val="24"/>
        </w:rPr>
        <w:t>. Recession</w:t>
      </w:r>
      <w:r w:rsidR="00462F6B" w:rsidRPr="00F975C1">
        <w:rPr>
          <w:rFonts w:ascii="Garamond" w:hAnsi="Garamond"/>
          <w:sz w:val="24"/>
          <w:szCs w:val="24"/>
        </w:rPr>
        <w:t>s</w:t>
      </w:r>
      <w:r w:rsidR="002C25D9" w:rsidRPr="00F975C1">
        <w:rPr>
          <w:rFonts w:ascii="Garamond" w:hAnsi="Garamond"/>
          <w:sz w:val="24"/>
          <w:szCs w:val="24"/>
        </w:rPr>
        <w:t xml:space="preserve"> </w:t>
      </w:r>
      <w:r w:rsidR="00462F6B" w:rsidRPr="00F975C1">
        <w:rPr>
          <w:rFonts w:ascii="Garamond" w:hAnsi="Garamond"/>
          <w:sz w:val="24"/>
          <w:szCs w:val="24"/>
        </w:rPr>
        <w:t xml:space="preserve">are </w:t>
      </w:r>
      <w:r w:rsidR="002C25D9" w:rsidRPr="00F975C1">
        <w:rPr>
          <w:rFonts w:ascii="Garamond" w:hAnsi="Garamond"/>
          <w:sz w:val="24"/>
          <w:szCs w:val="24"/>
        </w:rPr>
        <w:t>found to increase volatility at the 1% level of significance</w:t>
      </w:r>
      <w:r w:rsidR="008B65A3" w:rsidRPr="00F975C1">
        <w:rPr>
          <w:rFonts w:ascii="Garamond" w:hAnsi="Garamond"/>
          <w:sz w:val="24"/>
          <w:szCs w:val="24"/>
        </w:rPr>
        <w:t>.</w:t>
      </w:r>
      <w:r w:rsidR="002C25D9" w:rsidRPr="00F975C1">
        <w:rPr>
          <w:rFonts w:ascii="Garamond" w:hAnsi="Garamond"/>
          <w:sz w:val="24"/>
          <w:szCs w:val="24"/>
        </w:rPr>
        <w:t xml:space="preserve"> As far as uncertainties are concerned,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pos</w:t>
      </w:r>
      <w:proofErr w:type="spellEnd"/>
      <w:r w:rsidR="002C25D9" w:rsidRPr="00F975C1">
        <w:rPr>
          <w:rFonts w:ascii="Garamond" w:hAnsi="Garamond"/>
          <w:sz w:val="24"/>
          <w:szCs w:val="24"/>
        </w:rPr>
        <w:t xml:space="preserve"> reduces stock returns at the 1% level of significance, while a decline in the uncertainty growth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neg</w:t>
      </w:r>
      <w:proofErr w:type="spellEnd"/>
      <w:r w:rsidR="002C25D9" w:rsidRPr="00F975C1">
        <w:rPr>
          <w:rFonts w:ascii="Garamond" w:hAnsi="Garamond"/>
          <w:sz w:val="24"/>
          <w:szCs w:val="24"/>
        </w:rPr>
        <w:t xml:space="preserve">) enhances stock returns weakly at the 10% level of significance. Both these </w:t>
      </w:r>
      <w:proofErr w:type="gramStart"/>
      <w:r w:rsidR="002C25D9" w:rsidRPr="00F975C1">
        <w:rPr>
          <w:rFonts w:ascii="Garamond" w:hAnsi="Garamond"/>
          <w:sz w:val="24"/>
          <w:szCs w:val="24"/>
        </w:rPr>
        <w:t>measures</w:t>
      </w:r>
      <w:proofErr w:type="gramEnd"/>
      <w:r w:rsidR="002C25D9" w:rsidRPr="00F975C1">
        <w:rPr>
          <w:rFonts w:ascii="Garamond" w:hAnsi="Garamond"/>
          <w:sz w:val="24"/>
          <w:szCs w:val="24"/>
        </w:rPr>
        <w:t xml:space="preserve"> however, have a </w:t>
      </w:r>
      <w:r w:rsidR="00462F6B" w:rsidRPr="00F975C1">
        <w:rPr>
          <w:rFonts w:ascii="Garamond" w:hAnsi="Garamond"/>
          <w:sz w:val="24"/>
          <w:szCs w:val="24"/>
        </w:rPr>
        <w:t xml:space="preserve">statistically significant </w:t>
      </w:r>
      <w:r w:rsidR="002C25D9" w:rsidRPr="00F975C1">
        <w:rPr>
          <w:rFonts w:ascii="Garamond" w:hAnsi="Garamond"/>
          <w:sz w:val="24"/>
          <w:szCs w:val="24"/>
        </w:rPr>
        <w:t xml:space="preserve">impact on volatility, with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pos</w:t>
      </w:r>
      <w:proofErr w:type="spellEnd"/>
      <w:r w:rsidRPr="00F975C1">
        <w:rPr>
          <w:rFonts w:ascii="Garamond" w:hAnsi="Garamond"/>
          <w:sz w:val="24"/>
          <w:szCs w:val="24"/>
        </w:rPr>
        <w:t xml:space="preserve"> </w:t>
      </w:r>
      <w:r w:rsidR="002C25D9" w:rsidRPr="00F975C1">
        <w:rPr>
          <w:rFonts w:ascii="Garamond" w:hAnsi="Garamond"/>
          <w:sz w:val="24"/>
          <w:szCs w:val="24"/>
        </w:rPr>
        <w:t xml:space="preserve">increasing volatility and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neg</w:t>
      </w:r>
      <w:proofErr w:type="spellEnd"/>
      <w:r w:rsidRPr="00F975C1">
        <w:rPr>
          <w:rFonts w:ascii="Garamond" w:hAnsi="Garamond"/>
          <w:sz w:val="24"/>
          <w:szCs w:val="24"/>
        </w:rPr>
        <w:t xml:space="preserve"> </w:t>
      </w:r>
      <w:r w:rsidR="002C25D9" w:rsidRPr="00F975C1">
        <w:rPr>
          <w:rFonts w:ascii="Garamond" w:hAnsi="Garamond"/>
          <w:sz w:val="24"/>
          <w:szCs w:val="24"/>
        </w:rPr>
        <w:t xml:space="preserve">reducing the same at the 1% level of significance. But the impact of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pos</w:t>
      </w:r>
      <w:proofErr w:type="spellEnd"/>
      <w:r w:rsidR="002C25D9" w:rsidRPr="00F975C1">
        <w:rPr>
          <w:rFonts w:ascii="Garamond" w:hAnsi="Garamond"/>
          <w:i/>
          <w:sz w:val="24"/>
          <w:szCs w:val="24"/>
          <w:vertAlign w:val="superscript"/>
        </w:rPr>
        <w:t xml:space="preserve"> </w:t>
      </w:r>
      <w:r w:rsidR="002C25D9" w:rsidRPr="00F975C1">
        <w:rPr>
          <w:rFonts w:ascii="Garamond" w:hAnsi="Garamond"/>
          <w:sz w:val="24"/>
          <w:szCs w:val="24"/>
        </w:rPr>
        <w:t xml:space="preserve">is much stronger than that of </w:t>
      </w:r>
      <w:proofErr w:type="spellStart"/>
      <w:r w:rsidR="002C25D9" w:rsidRPr="00F975C1">
        <w:rPr>
          <w:rFonts w:ascii="Garamond" w:hAnsi="Garamond"/>
          <w:i/>
          <w:sz w:val="24"/>
          <w:szCs w:val="24"/>
        </w:rPr>
        <w:t>unc</w:t>
      </w:r>
      <w:r w:rsidR="002C25D9" w:rsidRPr="00F975C1">
        <w:rPr>
          <w:rFonts w:ascii="Garamond" w:hAnsi="Garamond"/>
          <w:i/>
          <w:sz w:val="24"/>
          <w:szCs w:val="24"/>
          <w:vertAlign w:val="superscript"/>
        </w:rPr>
        <w:t>neg</w:t>
      </w:r>
      <w:proofErr w:type="spellEnd"/>
      <w:r w:rsidR="002C25D9" w:rsidRPr="00F975C1">
        <w:rPr>
          <w:rFonts w:ascii="Garamond" w:hAnsi="Garamond"/>
          <w:sz w:val="24"/>
          <w:szCs w:val="24"/>
        </w:rPr>
        <w:t xml:space="preserve"> in terms of its impact on the risk associated with the U</w:t>
      </w:r>
      <w:r w:rsidR="00DC2264">
        <w:rPr>
          <w:rFonts w:ascii="Garamond" w:hAnsi="Garamond"/>
          <w:sz w:val="24"/>
          <w:szCs w:val="24"/>
        </w:rPr>
        <w:t>.</w:t>
      </w:r>
      <w:r w:rsidR="002C25D9" w:rsidRPr="00F975C1">
        <w:rPr>
          <w:rFonts w:ascii="Garamond" w:hAnsi="Garamond"/>
          <w:sz w:val="24"/>
          <w:szCs w:val="24"/>
        </w:rPr>
        <w:t>S</w:t>
      </w:r>
      <w:r w:rsidR="00DC2264">
        <w:rPr>
          <w:rFonts w:ascii="Garamond" w:hAnsi="Garamond"/>
          <w:sz w:val="24"/>
          <w:szCs w:val="24"/>
        </w:rPr>
        <w:t>.</w:t>
      </w:r>
      <w:r w:rsidR="002C25D9" w:rsidRPr="00F975C1">
        <w:rPr>
          <w:rFonts w:ascii="Garamond" w:hAnsi="Garamond"/>
          <w:sz w:val="24"/>
          <w:szCs w:val="24"/>
        </w:rPr>
        <w:t xml:space="preserve"> stock returns</w:t>
      </w:r>
      <w:r w:rsidR="00E0191E" w:rsidRPr="00F975C1">
        <w:rPr>
          <w:rFonts w:ascii="Garamond" w:hAnsi="Garamond"/>
          <w:sz w:val="24"/>
          <w:szCs w:val="24"/>
        </w:rPr>
        <w:t>, as suggested by the rejection of the null of equality</w:t>
      </w:r>
      <w:r w:rsidR="00943850" w:rsidRPr="00F975C1">
        <w:rPr>
          <w:rFonts w:ascii="Garamond" w:hAnsi="Garamond"/>
          <w:sz w:val="24"/>
          <w:szCs w:val="24"/>
        </w:rPr>
        <w:t xml:space="preserve"> (</w:t>
      </w:r>
      <w:r w:rsidR="00943850" w:rsidRPr="00F975C1">
        <w:rPr>
          <w:rFonts w:ascii="Garamond" w:hAnsi="Garamond"/>
          <w:i/>
          <w:sz w:val="24"/>
          <w:szCs w:val="24"/>
        </w:rPr>
        <w:sym w:font="Symbol" w:char="F071"/>
      </w:r>
      <w:r w:rsidR="00943850" w:rsidRPr="00F975C1">
        <w:rPr>
          <w:rFonts w:ascii="Garamond" w:hAnsi="Garamond"/>
          <w:i/>
          <w:sz w:val="24"/>
          <w:szCs w:val="24"/>
          <w:vertAlign w:val="subscript"/>
        </w:rPr>
        <w:t>3</w:t>
      </w:r>
      <w:r w:rsidR="00943850" w:rsidRPr="00F975C1">
        <w:rPr>
          <w:rFonts w:ascii="Garamond" w:hAnsi="Garamond"/>
          <w:sz w:val="24"/>
          <w:szCs w:val="24"/>
        </w:rPr>
        <w:t>=</w:t>
      </w:r>
      <w:r w:rsidR="00943850" w:rsidRPr="00F975C1">
        <w:rPr>
          <w:rFonts w:ascii="Garamond" w:hAnsi="Garamond"/>
          <w:i/>
          <w:sz w:val="24"/>
          <w:szCs w:val="24"/>
        </w:rPr>
        <w:sym w:font="Symbol" w:char="F071"/>
      </w:r>
      <w:r w:rsidR="00943850" w:rsidRPr="00F975C1">
        <w:rPr>
          <w:rFonts w:ascii="Garamond" w:hAnsi="Garamond"/>
          <w:i/>
          <w:sz w:val="24"/>
          <w:szCs w:val="24"/>
          <w:vertAlign w:val="subscript"/>
        </w:rPr>
        <w:t>4</w:t>
      </w:r>
      <w:r w:rsidR="00943850" w:rsidRPr="00F975C1">
        <w:rPr>
          <w:rFonts w:ascii="Garamond" w:hAnsi="Garamond"/>
          <w:sz w:val="24"/>
          <w:szCs w:val="24"/>
        </w:rPr>
        <w:t>)</w:t>
      </w:r>
      <w:r w:rsidR="00E0191E" w:rsidRPr="00F975C1">
        <w:rPr>
          <w:rFonts w:ascii="Garamond" w:hAnsi="Garamond"/>
          <w:sz w:val="24"/>
          <w:szCs w:val="24"/>
        </w:rPr>
        <w:t xml:space="preserve"> under a Wald test at the highest possible level of significance</w:t>
      </w:r>
      <w:r w:rsidR="002C25D9" w:rsidRPr="00F975C1">
        <w:rPr>
          <w:rFonts w:ascii="Garamond" w:hAnsi="Garamond"/>
          <w:sz w:val="24"/>
          <w:szCs w:val="24"/>
        </w:rPr>
        <w:t>. In general, our results are in line with common intuition</w:t>
      </w:r>
      <w:r w:rsidR="00462F6B" w:rsidRPr="00F975C1">
        <w:rPr>
          <w:rFonts w:ascii="Garamond" w:hAnsi="Garamond"/>
          <w:sz w:val="24"/>
          <w:szCs w:val="24"/>
        </w:rPr>
        <w:t>. Negative</w:t>
      </w:r>
      <w:r w:rsidR="002C25D9" w:rsidRPr="00F975C1">
        <w:rPr>
          <w:rFonts w:ascii="Garamond" w:hAnsi="Garamond"/>
          <w:sz w:val="24"/>
          <w:szCs w:val="24"/>
        </w:rPr>
        <w:t xml:space="preserve"> news, i.e., increases in uncertainty, </w:t>
      </w:r>
      <w:r w:rsidR="00553DCC" w:rsidRPr="00F975C1">
        <w:rPr>
          <w:rFonts w:ascii="Garamond" w:hAnsi="Garamond"/>
          <w:sz w:val="24"/>
          <w:szCs w:val="24"/>
        </w:rPr>
        <w:t>has</w:t>
      </w:r>
      <w:r w:rsidR="002C25D9" w:rsidRPr="00F975C1">
        <w:rPr>
          <w:rFonts w:ascii="Garamond" w:hAnsi="Garamond"/>
          <w:sz w:val="24"/>
          <w:szCs w:val="24"/>
        </w:rPr>
        <w:t xml:space="preserve"> a stronger impact on financial markets, than positive news, i.e., a decline in the growth of uncertainty (</w:t>
      </w:r>
      <w:r w:rsidR="00640EE3" w:rsidRPr="00F975C1">
        <w:rPr>
          <w:rFonts w:ascii="Garamond" w:hAnsi="Garamond"/>
          <w:sz w:val="24"/>
          <w:szCs w:val="24"/>
        </w:rPr>
        <w:t>Hatemi-J, 2012</w:t>
      </w:r>
      <w:r w:rsidR="002C25D9" w:rsidRPr="00F975C1">
        <w:rPr>
          <w:rFonts w:ascii="Garamond" w:hAnsi="Garamond"/>
          <w:sz w:val="24"/>
          <w:szCs w:val="24"/>
        </w:rPr>
        <w:t xml:space="preserve">). In addition, uncertainty is found to influence the second moment more strongly than the first moment, a result in line with general findings associated with stock market movements and uncertainty, since uncertainty affects the variance of </w:t>
      </w:r>
      <w:r w:rsidR="005244D6" w:rsidRPr="00F975C1">
        <w:rPr>
          <w:rFonts w:ascii="Garamond" w:hAnsi="Garamond"/>
          <w:sz w:val="24"/>
          <w:szCs w:val="24"/>
        </w:rPr>
        <w:t>financial</w:t>
      </w:r>
      <w:r w:rsidR="002C25D9" w:rsidRPr="00F975C1">
        <w:rPr>
          <w:rFonts w:ascii="Garamond" w:hAnsi="Garamond"/>
          <w:sz w:val="24"/>
          <w:szCs w:val="24"/>
        </w:rPr>
        <w:t xml:space="preserve"> market</w:t>
      </w:r>
      <w:r w:rsidR="005244D6" w:rsidRPr="00F975C1">
        <w:rPr>
          <w:rFonts w:ascii="Garamond" w:hAnsi="Garamond"/>
          <w:sz w:val="24"/>
          <w:szCs w:val="24"/>
        </w:rPr>
        <w:t>s</w:t>
      </w:r>
      <w:r w:rsidR="002C25D9" w:rsidRPr="00F975C1">
        <w:rPr>
          <w:rFonts w:ascii="Garamond" w:hAnsi="Garamond"/>
          <w:sz w:val="24"/>
          <w:szCs w:val="24"/>
        </w:rPr>
        <w:t xml:space="preserve"> through volatility jumps (</w:t>
      </w:r>
      <w:r w:rsidR="00A53FEA" w:rsidRPr="00F975C1">
        <w:rPr>
          <w:rFonts w:ascii="Garamond" w:hAnsi="Garamond"/>
          <w:sz w:val="24"/>
          <w:szCs w:val="24"/>
        </w:rPr>
        <w:t>Gupta et al</w:t>
      </w:r>
      <w:r w:rsidR="00F51DE9" w:rsidRPr="00F975C1">
        <w:rPr>
          <w:rFonts w:ascii="Garamond" w:hAnsi="Garamond"/>
          <w:sz w:val="24"/>
          <w:szCs w:val="24"/>
        </w:rPr>
        <w:t xml:space="preserve">., </w:t>
      </w:r>
      <w:r w:rsidR="00A53FEA" w:rsidRPr="00F975C1">
        <w:rPr>
          <w:rFonts w:ascii="Garamond" w:hAnsi="Garamond"/>
          <w:sz w:val="24"/>
          <w:szCs w:val="24"/>
        </w:rPr>
        <w:t>2018</w:t>
      </w:r>
      <w:r w:rsidR="002C25D9" w:rsidRPr="00F975C1">
        <w:rPr>
          <w:rFonts w:ascii="Garamond" w:hAnsi="Garamond"/>
          <w:sz w:val="24"/>
          <w:szCs w:val="24"/>
        </w:rPr>
        <w:t>).</w:t>
      </w:r>
      <w:r w:rsidR="00870E71" w:rsidRPr="00F975C1">
        <w:rPr>
          <w:rStyle w:val="FootnoteReference"/>
          <w:rFonts w:ascii="Garamond" w:hAnsi="Garamond"/>
          <w:sz w:val="24"/>
          <w:szCs w:val="24"/>
        </w:rPr>
        <w:footnoteReference w:id="11"/>
      </w:r>
      <w:r w:rsidR="00553DCC" w:rsidRPr="00F975C1">
        <w:rPr>
          <w:rFonts w:ascii="Garamond" w:hAnsi="Garamond"/>
          <w:sz w:val="24"/>
          <w:szCs w:val="24"/>
        </w:rPr>
        <w:t xml:space="preserve"> In sum, the effect of uncertainty on stock market is found to be theoretically consistent, with </w:t>
      </w:r>
      <w:r w:rsidR="00083AC4" w:rsidRPr="00F975C1">
        <w:rPr>
          <w:rFonts w:ascii="Garamond" w:hAnsi="Garamond"/>
          <w:sz w:val="24"/>
          <w:szCs w:val="24"/>
        </w:rPr>
        <w:t xml:space="preserve">increases in </w:t>
      </w:r>
      <w:r w:rsidR="00553DCC" w:rsidRPr="00F975C1">
        <w:rPr>
          <w:rFonts w:ascii="Garamond" w:hAnsi="Garamond"/>
          <w:sz w:val="24"/>
          <w:szCs w:val="24"/>
        </w:rPr>
        <w:t>uncertainty reducing returns and enhancing volatility.</w:t>
      </w:r>
    </w:p>
    <w:p w14:paraId="133C923F" w14:textId="61F0A8DD" w:rsidR="0081418F" w:rsidRDefault="0081418F" w:rsidP="00166DF7">
      <w:pPr>
        <w:spacing w:after="0" w:line="240" w:lineRule="auto"/>
        <w:ind w:right="20"/>
        <w:contextualSpacing/>
        <w:jc w:val="both"/>
        <w:rPr>
          <w:rFonts w:ascii="Garamond" w:hAnsi="Garamond"/>
          <w:sz w:val="24"/>
          <w:szCs w:val="24"/>
        </w:rPr>
      </w:pPr>
    </w:p>
    <w:p w14:paraId="688B19E6" w14:textId="3B6D70CF" w:rsidR="0081418F" w:rsidRDefault="0081418F" w:rsidP="00166DF7">
      <w:pPr>
        <w:spacing w:after="0" w:line="240" w:lineRule="auto"/>
        <w:ind w:right="20"/>
        <w:contextualSpacing/>
        <w:jc w:val="both"/>
        <w:rPr>
          <w:rFonts w:ascii="Garamond" w:hAnsi="Garamond"/>
          <w:sz w:val="24"/>
          <w:szCs w:val="24"/>
        </w:rPr>
      </w:pPr>
    </w:p>
    <w:p w14:paraId="708D9062" w14:textId="01E901FB" w:rsidR="0081418F" w:rsidRDefault="0081418F" w:rsidP="00166DF7">
      <w:pPr>
        <w:spacing w:after="0" w:line="240" w:lineRule="auto"/>
        <w:ind w:right="20"/>
        <w:contextualSpacing/>
        <w:jc w:val="both"/>
        <w:rPr>
          <w:rFonts w:ascii="Garamond" w:hAnsi="Garamond"/>
          <w:sz w:val="24"/>
          <w:szCs w:val="24"/>
        </w:rPr>
      </w:pPr>
    </w:p>
    <w:p w14:paraId="62FDAFC1" w14:textId="394C7A73" w:rsidR="0081418F" w:rsidRDefault="0081418F" w:rsidP="00166DF7">
      <w:pPr>
        <w:spacing w:after="0" w:line="240" w:lineRule="auto"/>
        <w:ind w:right="20"/>
        <w:contextualSpacing/>
        <w:jc w:val="both"/>
        <w:rPr>
          <w:rFonts w:ascii="Garamond" w:hAnsi="Garamond"/>
          <w:sz w:val="24"/>
          <w:szCs w:val="24"/>
        </w:rPr>
      </w:pPr>
    </w:p>
    <w:p w14:paraId="46025782" w14:textId="62E3E5E0" w:rsidR="0081418F" w:rsidRDefault="0081418F" w:rsidP="00166DF7">
      <w:pPr>
        <w:spacing w:after="0" w:line="240" w:lineRule="auto"/>
        <w:ind w:right="20"/>
        <w:contextualSpacing/>
        <w:jc w:val="both"/>
        <w:rPr>
          <w:rFonts w:ascii="Garamond" w:hAnsi="Garamond"/>
          <w:sz w:val="24"/>
          <w:szCs w:val="24"/>
        </w:rPr>
      </w:pPr>
    </w:p>
    <w:p w14:paraId="5BF69F6F" w14:textId="1F4F5618" w:rsidR="0081418F" w:rsidRDefault="0081418F" w:rsidP="00166DF7">
      <w:pPr>
        <w:spacing w:after="0" w:line="240" w:lineRule="auto"/>
        <w:ind w:right="20"/>
        <w:contextualSpacing/>
        <w:jc w:val="both"/>
        <w:rPr>
          <w:rFonts w:ascii="Garamond" w:hAnsi="Garamond"/>
          <w:sz w:val="24"/>
          <w:szCs w:val="24"/>
        </w:rPr>
      </w:pPr>
    </w:p>
    <w:p w14:paraId="41A6985B" w14:textId="2F2FB965" w:rsidR="0081418F" w:rsidRDefault="0081418F" w:rsidP="00166DF7">
      <w:pPr>
        <w:spacing w:after="0" w:line="240" w:lineRule="auto"/>
        <w:ind w:right="20"/>
        <w:contextualSpacing/>
        <w:jc w:val="both"/>
        <w:rPr>
          <w:rFonts w:ascii="Garamond" w:hAnsi="Garamond"/>
          <w:sz w:val="24"/>
          <w:szCs w:val="24"/>
        </w:rPr>
      </w:pPr>
    </w:p>
    <w:p w14:paraId="54E82577" w14:textId="68F234E6" w:rsidR="0081418F" w:rsidRDefault="0081418F" w:rsidP="00166DF7">
      <w:pPr>
        <w:spacing w:after="0" w:line="240" w:lineRule="auto"/>
        <w:ind w:right="20"/>
        <w:contextualSpacing/>
        <w:jc w:val="both"/>
        <w:rPr>
          <w:rFonts w:ascii="Garamond" w:hAnsi="Garamond"/>
          <w:sz w:val="24"/>
          <w:szCs w:val="24"/>
        </w:rPr>
      </w:pPr>
    </w:p>
    <w:p w14:paraId="2EE44042" w14:textId="0582029D" w:rsidR="0081418F" w:rsidRDefault="0081418F" w:rsidP="00166DF7">
      <w:pPr>
        <w:spacing w:after="0" w:line="240" w:lineRule="auto"/>
        <w:ind w:right="20"/>
        <w:contextualSpacing/>
        <w:jc w:val="both"/>
        <w:rPr>
          <w:rFonts w:ascii="Garamond" w:hAnsi="Garamond"/>
          <w:sz w:val="24"/>
          <w:szCs w:val="24"/>
        </w:rPr>
      </w:pPr>
    </w:p>
    <w:p w14:paraId="67AB0452" w14:textId="26D19BFA" w:rsidR="0081418F" w:rsidRDefault="0081418F" w:rsidP="00166DF7">
      <w:pPr>
        <w:spacing w:after="0" w:line="240" w:lineRule="auto"/>
        <w:ind w:right="20"/>
        <w:contextualSpacing/>
        <w:jc w:val="both"/>
        <w:rPr>
          <w:rFonts w:ascii="Garamond" w:hAnsi="Garamond"/>
          <w:sz w:val="24"/>
          <w:szCs w:val="24"/>
        </w:rPr>
      </w:pPr>
    </w:p>
    <w:p w14:paraId="525985A9" w14:textId="4F6974F1" w:rsidR="0081418F" w:rsidRDefault="0081418F" w:rsidP="00166DF7">
      <w:pPr>
        <w:spacing w:after="0" w:line="240" w:lineRule="auto"/>
        <w:ind w:right="20"/>
        <w:contextualSpacing/>
        <w:jc w:val="both"/>
        <w:rPr>
          <w:rFonts w:ascii="Garamond" w:hAnsi="Garamond"/>
          <w:sz w:val="24"/>
          <w:szCs w:val="24"/>
        </w:rPr>
      </w:pPr>
    </w:p>
    <w:p w14:paraId="1BB82582" w14:textId="77777777" w:rsidR="0081418F" w:rsidRPr="00F975C1" w:rsidRDefault="0081418F" w:rsidP="00166DF7">
      <w:pPr>
        <w:spacing w:after="0" w:line="240" w:lineRule="auto"/>
        <w:ind w:right="20"/>
        <w:contextualSpacing/>
        <w:jc w:val="both"/>
        <w:rPr>
          <w:rFonts w:ascii="Garamond" w:hAnsi="Garamond"/>
          <w:sz w:val="24"/>
          <w:szCs w:val="24"/>
        </w:rPr>
      </w:pPr>
    </w:p>
    <w:p w14:paraId="17BFD511" w14:textId="77777777" w:rsidR="00333E87" w:rsidRPr="00F975C1" w:rsidRDefault="00333E87" w:rsidP="00333E87">
      <w:pPr>
        <w:autoSpaceDE w:val="0"/>
        <w:autoSpaceDN w:val="0"/>
        <w:adjustRightInd w:val="0"/>
        <w:spacing w:after="0" w:line="240" w:lineRule="auto"/>
        <w:rPr>
          <w:rFonts w:ascii="Garamond" w:hAnsi="Garamond" w:cs="Arial"/>
          <w:b/>
          <w:sz w:val="24"/>
          <w:szCs w:val="24"/>
        </w:rPr>
      </w:pPr>
    </w:p>
    <w:p w14:paraId="355D9B42" w14:textId="77777777" w:rsidR="00333E87" w:rsidRPr="00F975C1" w:rsidRDefault="00333E87" w:rsidP="00333E87">
      <w:pPr>
        <w:autoSpaceDE w:val="0"/>
        <w:autoSpaceDN w:val="0"/>
        <w:adjustRightInd w:val="0"/>
        <w:spacing w:after="0" w:line="240" w:lineRule="auto"/>
        <w:rPr>
          <w:rFonts w:ascii="Garamond" w:hAnsi="Garamond" w:cs="Arial"/>
          <w:sz w:val="24"/>
          <w:szCs w:val="24"/>
        </w:rPr>
      </w:pPr>
      <w:r w:rsidRPr="00F975C1">
        <w:rPr>
          <w:rFonts w:ascii="Garamond" w:hAnsi="Garamond" w:cs="Arial"/>
          <w:b/>
          <w:sz w:val="24"/>
          <w:szCs w:val="24"/>
        </w:rPr>
        <w:lastRenderedPageBreak/>
        <w:t>Table 1.</w:t>
      </w:r>
      <w:r w:rsidRPr="00F975C1">
        <w:rPr>
          <w:rFonts w:ascii="Garamond" w:hAnsi="Garamond" w:cs="Arial"/>
          <w:sz w:val="24"/>
          <w:szCs w:val="24"/>
        </w:rPr>
        <w:t xml:space="preserve"> Estimation Results of EGARCH Model (</w:t>
      </w:r>
      <w:r w:rsidRPr="00F975C1">
        <w:rPr>
          <w:rFonts w:ascii="Garamond" w:hAnsi="Garamond"/>
          <w:sz w:val="24"/>
          <w:szCs w:val="24"/>
        </w:rPr>
        <w:t>18</w:t>
      </w:r>
      <w:r w:rsidRPr="00F975C1">
        <w:rPr>
          <w:rFonts w:ascii="Garamond" w:hAnsi="Garamond"/>
          <w:sz w:val="24"/>
          <w:szCs w:val="24"/>
          <w:vertAlign w:val="superscript"/>
        </w:rPr>
        <w:t>th</w:t>
      </w:r>
      <w:r w:rsidRPr="00F975C1">
        <w:rPr>
          <w:rFonts w:ascii="Garamond" w:hAnsi="Garamond"/>
          <w:sz w:val="24"/>
          <w:szCs w:val="24"/>
        </w:rPr>
        <w:t xml:space="preserve"> </w:t>
      </w:r>
      <w:proofErr w:type="gramStart"/>
      <w:r w:rsidRPr="00F975C1">
        <w:rPr>
          <w:rFonts w:ascii="Garamond" w:hAnsi="Garamond"/>
          <w:sz w:val="24"/>
          <w:szCs w:val="24"/>
        </w:rPr>
        <w:t>March,</w:t>
      </w:r>
      <w:proofErr w:type="gramEnd"/>
      <w:r w:rsidRPr="00F975C1">
        <w:rPr>
          <w:rFonts w:ascii="Garamond" w:hAnsi="Garamond"/>
          <w:sz w:val="24"/>
          <w:szCs w:val="24"/>
        </w:rPr>
        <w:t xml:space="preserve"> 1936 - 30</w:t>
      </w:r>
      <w:r w:rsidRPr="00F975C1">
        <w:rPr>
          <w:rFonts w:ascii="Garamond" w:hAnsi="Garamond"/>
          <w:sz w:val="24"/>
          <w:szCs w:val="24"/>
          <w:vertAlign w:val="superscript"/>
        </w:rPr>
        <w:t>th</w:t>
      </w:r>
      <w:r w:rsidRPr="00F975C1">
        <w:rPr>
          <w:rFonts w:ascii="Garamond" w:hAnsi="Garamond"/>
          <w:sz w:val="24"/>
          <w:szCs w:val="24"/>
        </w:rPr>
        <w:t xml:space="preserve"> November, 2016</w:t>
      </w:r>
      <w:r w:rsidRPr="00F975C1">
        <w:rPr>
          <w:rFonts w:ascii="Garamond" w:hAnsi="Garamond" w:cs="Arial"/>
          <w:sz w:val="24"/>
          <w:szCs w:val="24"/>
        </w:rPr>
        <w:t>)</w:t>
      </w:r>
    </w:p>
    <w:tbl>
      <w:tblPr>
        <w:tblW w:w="0" w:type="auto"/>
        <w:tblInd w:w="30" w:type="dxa"/>
        <w:tblLayout w:type="fixed"/>
        <w:tblCellMar>
          <w:left w:w="0" w:type="dxa"/>
          <w:right w:w="0" w:type="dxa"/>
        </w:tblCellMar>
        <w:tblLook w:val="0000" w:firstRow="0" w:lastRow="0" w:firstColumn="0" w:lastColumn="0" w:noHBand="0" w:noVBand="0"/>
      </w:tblPr>
      <w:tblGrid>
        <w:gridCol w:w="1920"/>
        <w:gridCol w:w="1050"/>
        <w:gridCol w:w="1150"/>
        <w:gridCol w:w="1150"/>
        <w:gridCol w:w="950"/>
      </w:tblGrid>
      <w:tr w:rsidR="00333E87" w:rsidRPr="00F975C1" w14:paraId="616C5D6E" w14:textId="77777777" w:rsidTr="00F90590">
        <w:trPr>
          <w:trHeight w:hRule="exact" w:val="88"/>
        </w:trPr>
        <w:tc>
          <w:tcPr>
            <w:tcW w:w="1920" w:type="dxa"/>
            <w:tcBorders>
              <w:top w:val="nil"/>
              <w:left w:val="nil"/>
              <w:bottom w:val="double" w:sz="6" w:space="2" w:color="auto"/>
              <w:right w:val="nil"/>
            </w:tcBorders>
            <w:vAlign w:val="bottom"/>
          </w:tcPr>
          <w:p w14:paraId="631A01A6"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77BE32D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56B2484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108B1579"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42C38259"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42C18C49" w14:textId="77777777" w:rsidTr="00F90590">
        <w:trPr>
          <w:trHeight w:hRule="exact" w:val="132"/>
        </w:trPr>
        <w:tc>
          <w:tcPr>
            <w:tcW w:w="1920" w:type="dxa"/>
            <w:tcBorders>
              <w:top w:val="nil"/>
              <w:left w:val="nil"/>
              <w:bottom w:val="nil"/>
              <w:right w:val="nil"/>
            </w:tcBorders>
            <w:vAlign w:val="bottom"/>
          </w:tcPr>
          <w:p w14:paraId="154941A5"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nil"/>
              <w:right w:val="nil"/>
            </w:tcBorders>
            <w:vAlign w:val="bottom"/>
          </w:tcPr>
          <w:p w14:paraId="36681402"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51D46BF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5D3FABE4"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nil"/>
              <w:right w:val="nil"/>
            </w:tcBorders>
            <w:vAlign w:val="bottom"/>
          </w:tcPr>
          <w:p w14:paraId="6EB221A4"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7DCDE56A" w14:textId="77777777" w:rsidTr="00C65E24">
        <w:trPr>
          <w:trHeight w:val="220"/>
        </w:trPr>
        <w:tc>
          <w:tcPr>
            <w:tcW w:w="1920" w:type="dxa"/>
            <w:tcBorders>
              <w:top w:val="nil"/>
              <w:left w:val="nil"/>
              <w:bottom w:val="single" w:sz="4" w:space="0" w:color="auto"/>
              <w:right w:val="nil"/>
            </w:tcBorders>
            <w:vAlign w:val="bottom"/>
          </w:tcPr>
          <w:p w14:paraId="162FA22A"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r w:rsidRPr="00F975C1">
              <w:rPr>
                <w:rFonts w:ascii="Garamond" w:hAnsi="Garamond" w:cs="Arial"/>
                <w:color w:val="000000"/>
                <w:sz w:val="24"/>
                <w:szCs w:val="24"/>
              </w:rPr>
              <w:t>Parameter</w:t>
            </w:r>
          </w:p>
        </w:tc>
        <w:tc>
          <w:tcPr>
            <w:tcW w:w="1050" w:type="dxa"/>
            <w:tcBorders>
              <w:top w:val="nil"/>
              <w:left w:val="nil"/>
              <w:bottom w:val="single" w:sz="4" w:space="0" w:color="auto"/>
              <w:right w:val="nil"/>
            </w:tcBorders>
            <w:vAlign w:val="bottom"/>
          </w:tcPr>
          <w:p w14:paraId="3C6CF056"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Estimate</w:t>
            </w:r>
          </w:p>
        </w:tc>
        <w:tc>
          <w:tcPr>
            <w:tcW w:w="1150" w:type="dxa"/>
            <w:tcBorders>
              <w:top w:val="nil"/>
              <w:left w:val="nil"/>
              <w:bottom w:val="single" w:sz="4" w:space="0" w:color="auto"/>
              <w:right w:val="nil"/>
            </w:tcBorders>
            <w:vAlign w:val="bottom"/>
          </w:tcPr>
          <w:p w14:paraId="3A4CED3B"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Std. Error</w:t>
            </w:r>
          </w:p>
        </w:tc>
        <w:tc>
          <w:tcPr>
            <w:tcW w:w="1150" w:type="dxa"/>
            <w:tcBorders>
              <w:top w:val="nil"/>
              <w:left w:val="nil"/>
              <w:bottom w:val="single" w:sz="4" w:space="0" w:color="auto"/>
              <w:right w:val="nil"/>
            </w:tcBorders>
            <w:vAlign w:val="bottom"/>
          </w:tcPr>
          <w:p w14:paraId="3435D00B"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z-Statistic</w:t>
            </w:r>
          </w:p>
        </w:tc>
        <w:tc>
          <w:tcPr>
            <w:tcW w:w="950" w:type="dxa"/>
            <w:tcBorders>
              <w:top w:val="nil"/>
              <w:left w:val="nil"/>
              <w:bottom w:val="single" w:sz="4" w:space="0" w:color="auto"/>
              <w:right w:val="nil"/>
            </w:tcBorders>
            <w:vAlign w:val="bottom"/>
          </w:tcPr>
          <w:p w14:paraId="0F7B0726"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Prob.  </w:t>
            </w:r>
          </w:p>
        </w:tc>
      </w:tr>
      <w:tr w:rsidR="00C65E24" w:rsidRPr="00F975C1" w14:paraId="4D720040" w14:textId="77777777" w:rsidTr="00C65E24">
        <w:trPr>
          <w:trHeight w:val="220"/>
        </w:trPr>
        <w:tc>
          <w:tcPr>
            <w:tcW w:w="1920" w:type="dxa"/>
            <w:tcBorders>
              <w:top w:val="single" w:sz="4" w:space="0" w:color="auto"/>
              <w:left w:val="nil"/>
              <w:bottom w:val="nil"/>
              <w:right w:val="nil"/>
            </w:tcBorders>
            <w:vAlign w:val="bottom"/>
          </w:tcPr>
          <w:p w14:paraId="5EE6FE94" w14:textId="77777777" w:rsidR="00C65E24" w:rsidRPr="00F975C1" w:rsidRDefault="00C65E24"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single" w:sz="4" w:space="0" w:color="auto"/>
              <w:left w:val="nil"/>
              <w:bottom w:val="nil"/>
              <w:right w:val="nil"/>
            </w:tcBorders>
            <w:vAlign w:val="bottom"/>
          </w:tcPr>
          <w:p w14:paraId="5EC16355" w14:textId="77777777" w:rsidR="00C65E24" w:rsidRPr="00F975C1" w:rsidRDefault="00C65E24" w:rsidP="00F90590">
            <w:pPr>
              <w:autoSpaceDE w:val="0"/>
              <w:autoSpaceDN w:val="0"/>
              <w:adjustRightInd w:val="0"/>
              <w:spacing w:after="0" w:line="240" w:lineRule="auto"/>
              <w:ind w:right="20"/>
              <w:jc w:val="right"/>
              <w:rPr>
                <w:rFonts w:ascii="Garamond" w:hAnsi="Garamond" w:cs="Arial"/>
                <w:color w:val="000000"/>
                <w:sz w:val="24"/>
                <w:szCs w:val="24"/>
              </w:rPr>
            </w:pPr>
          </w:p>
        </w:tc>
        <w:tc>
          <w:tcPr>
            <w:tcW w:w="1150" w:type="dxa"/>
            <w:tcBorders>
              <w:top w:val="single" w:sz="4" w:space="0" w:color="auto"/>
              <w:left w:val="nil"/>
              <w:bottom w:val="nil"/>
              <w:right w:val="nil"/>
            </w:tcBorders>
            <w:vAlign w:val="bottom"/>
          </w:tcPr>
          <w:p w14:paraId="3C0C9F7A" w14:textId="77777777" w:rsidR="00C65E24" w:rsidRPr="00F975C1" w:rsidRDefault="00C65E24" w:rsidP="00C65E24">
            <w:pPr>
              <w:autoSpaceDE w:val="0"/>
              <w:autoSpaceDN w:val="0"/>
              <w:adjustRightInd w:val="0"/>
              <w:spacing w:after="0" w:line="240" w:lineRule="auto"/>
              <w:ind w:right="20"/>
              <w:jc w:val="center"/>
              <w:rPr>
                <w:rFonts w:ascii="Garamond" w:hAnsi="Garamond" w:cs="Arial"/>
                <w:color w:val="000000"/>
                <w:sz w:val="24"/>
                <w:szCs w:val="24"/>
              </w:rPr>
            </w:pPr>
            <w:r w:rsidRPr="00F975C1">
              <w:rPr>
                <w:rFonts w:ascii="Garamond" w:hAnsi="Garamond" w:cs="Arial"/>
                <w:color w:val="000000"/>
                <w:sz w:val="24"/>
                <w:szCs w:val="24"/>
              </w:rPr>
              <w:t>Mean Eq.</w:t>
            </w:r>
          </w:p>
        </w:tc>
        <w:tc>
          <w:tcPr>
            <w:tcW w:w="1150" w:type="dxa"/>
            <w:tcBorders>
              <w:top w:val="single" w:sz="4" w:space="0" w:color="auto"/>
              <w:left w:val="nil"/>
              <w:bottom w:val="nil"/>
              <w:right w:val="nil"/>
            </w:tcBorders>
            <w:vAlign w:val="bottom"/>
          </w:tcPr>
          <w:p w14:paraId="4B4EDEDD" w14:textId="77777777" w:rsidR="00C65E24" w:rsidRPr="00F975C1" w:rsidRDefault="00C65E24" w:rsidP="00F90590">
            <w:pPr>
              <w:autoSpaceDE w:val="0"/>
              <w:autoSpaceDN w:val="0"/>
              <w:adjustRightInd w:val="0"/>
              <w:spacing w:after="0" w:line="240" w:lineRule="auto"/>
              <w:ind w:right="20"/>
              <w:jc w:val="right"/>
              <w:rPr>
                <w:rFonts w:ascii="Garamond" w:hAnsi="Garamond" w:cs="Arial"/>
                <w:color w:val="000000"/>
                <w:sz w:val="24"/>
                <w:szCs w:val="24"/>
              </w:rPr>
            </w:pPr>
          </w:p>
        </w:tc>
        <w:tc>
          <w:tcPr>
            <w:tcW w:w="950" w:type="dxa"/>
            <w:tcBorders>
              <w:top w:val="single" w:sz="4" w:space="0" w:color="auto"/>
              <w:left w:val="nil"/>
              <w:bottom w:val="nil"/>
              <w:right w:val="nil"/>
            </w:tcBorders>
            <w:vAlign w:val="bottom"/>
          </w:tcPr>
          <w:p w14:paraId="2BC8B26E" w14:textId="77777777" w:rsidR="00C65E24" w:rsidRPr="00F975C1" w:rsidRDefault="00C65E24" w:rsidP="00F90590">
            <w:pPr>
              <w:autoSpaceDE w:val="0"/>
              <w:autoSpaceDN w:val="0"/>
              <w:adjustRightInd w:val="0"/>
              <w:spacing w:after="0" w:line="240" w:lineRule="auto"/>
              <w:ind w:right="20"/>
              <w:jc w:val="right"/>
              <w:rPr>
                <w:rFonts w:ascii="Garamond" w:hAnsi="Garamond" w:cs="Arial"/>
                <w:color w:val="000000"/>
                <w:sz w:val="24"/>
                <w:szCs w:val="24"/>
              </w:rPr>
            </w:pPr>
          </w:p>
        </w:tc>
      </w:tr>
      <w:tr w:rsidR="00333E87" w:rsidRPr="00F975C1" w14:paraId="7FCBF422" w14:textId="77777777" w:rsidTr="00F90590">
        <w:trPr>
          <w:trHeight w:hRule="exact" w:val="88"/>
        </w:trPr>
        <w:tc>
          <w:tcPr>
            <w:tcW w:w="1920" w:type="dxa"/>
            <w:tcBorders>
              <w:top w:val="nil"/>
              <w:left w:val="nil"/>
              <w:bottom w:val="double" w:sz="6" w:space="2" w:color="auto"/>
              <w:right w:val="nil"/>
            </w:tcBorders>
            <w:vAlign w:val="bottom"/>
          </w:tcPr>
          <w:p w14:paraId="29806C5F"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3ECA392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6F0043D1"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7836AC46"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647BE34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37FA1AC4" w14:textId="77777777" w:rsidTr="00F90590">
        <w:trPr>
          <w:trHeight w:hRule="exact" w:val="132"/>
        </w:trPr>
        <w:tc>
          <w:tcPr>
            <w:tcW w:w="1920" w:type="dxa"/>
            <w:tcBorders>
              <w:top w:val="nil"/>
              <w:left w:val="nil"/>
              <w:bottom w:val="nil"/>
              <w:right w:val="nil"/>
            </w:tcBorders>
            <w:vAlign w:val="bottom"/>
          </w:tcPr>
          <w:p w14:paraId="4E61C386"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nil"/>
              <w:right w:val="nil"/>
            </w:tcBorders>
            <w:vAlign w:val="bottom"/>
          </w:tcPr>
          <w:p w14:paraId="1796B93C"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0C4CE63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7D27FD3A"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nil"/>
              <w:right w:val="nil"/>
            </w:tcBorders>
            <w:vAlign w:val="bottom"/>
          </w:tcPr>
          <w:p w14:paraId="022A9DF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56ECCEA9" w14:textId="77777777" w:rsidTr="00F90590">
        <w:trPr>
          <w:trHeight w:val="220"/>
        </w:trPr>
        <w:tc>
          <w:tcPr>
            <w:tcW w:w="1920" w:type="dxa"/>
            <w:tcBorders>
              <w:top w:val="nil"/>
              <w:left w:val="nil"/>
              <w:bottom w:val="nil"/>
              <w:right w:val="nil"/>
            </w:tcBorders>
            <w:vAlign w:val="center"/>
          </w:tcPr>
          <w:p w14:paraId="10E1A07C"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0"/>
            </w:r>
          </w:p>
        </w:tc>
        <w:tc>
          <w:tcPr>
            <w:tcW w:w="1050" w:type="dxa"/>
            <w:tcBorders>
              <w:top w:val="nil"/>
              <w:left w:val="nil"/>
              <w:bottom w:val="nil"/>
              <w:right w:val="nil"/>
            </w:tcBorders>
            <w:vAlign w:val="center"/>
          </w:tcPr>
          <w:p w14:paraId="3AD65FE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0.0598</w:t>
            </w:r>
          </w:p>
        </w:tc>
        <w:tc>
          <w:tcPr>
            <w:tcW w:w="1150" w:type="dxa"/>
            <w:tcBorders>
              <w:top w:val="nil"/>
              <w:left w:val="nil"/>
              <w:bottom w:val="nil"/>
              <w:right w:val="nil"/>
            </w:tcBorders>
            <w:vAlign w:val="center"/>
          </w:tcPr>
          <w:p w14:paraId="4D2A1D39"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0.0068</w:t>
            </w:r>
          </w:p>
        </w:tc>
        <w:tc>
          <w:tcPr>
            <w:tcW w:w="1150" w:type="dxa"/>
            <w:tcBorders>
              <w:top w:val="nil"/>
              <w:left w:val="nil"/>
              <w:bottom w:val="nil"/>
              <w:right w:val="nil"/>
            </w:tcBorders>
            <w:vAlign w:val="center"/>
          </w:tcPr>
          <w:p w14:paraId="63AFFAA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8.7984</w:t>
            </w:r>
          </w:p>
        </w:tc>
        <w:tc>
          <w:tcPr>
            <w:tcW w:w="950" w:type="dxa"/>
            <w:tcBorders>
              <w:top w:val="nil"/>
              <w:left w:val="nil"/>
              <w:bottom w:val="nil"/>
              <w:right w:val="nil"/>
            </w:tcBorders>
            <w:vAlign w:val="center"/>
          </w:tcPr>
          <w:p w14:paraId="712FEEE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2F90C9FC" w14:textId="77777777" w:rsidTr="00F90590">
        <w:trPr>
          <w:trHeight w:val="220"/>
        </w:trPr>
        <w:tc>
          <w:tcPr>
            <w:tcW w:w="1920" w:type="dxa"/>
            <w:tcBorders>
              <w:top w:val="nil"/>
              <w:left w:val="nil"/>
              <w:bottom w:val="nil"/>
              <w:right w:val="nil"/>
            </w:tcBorders>
            <w:vAlign w:val="center"/>
          </w:tcPr>
          <w:p w14:paraId="55C112D1"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6AFBCB91"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-0.1774</w:t>
            </w:r>
          </w:p>
        </w:tc>
        <w:tc>
          <w:tcPr>
            <w:tcW w:w="1150" w:type="dxa"/>
            <w:tcBorders>
              <w:top w:val="nil"/>
              <w:left w:val="nil"/>
              <w:bottom w:val="nil"/>
              <w:right w:val="nil"/>
            </w:tcBorders>
            <w:vAlign w:val="center"/>
          </w:tcPr>
          <w:p w14:paraId="58BD6C3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0.0896</w:t>
            </w:r>
          </w:p>
        </w:tc>
        <w:tc>
          <w:tcPr>
            <w:tcW w:w="1150" w:type="dxa"/>
            <w:tcBorders>
              <w:top w:val="nil"/>
              <w:left w:val="nil"/>
              <w:bottom w:val="nil"/>
              <w:right w:val="nil"/>
            </w:tcBorders>
            <w:vAlign w:val="center"/>
          </w:tcPr>
          <w:p w14:paraId="75EE560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-1.9786</w:t>
            </w:r>
          </w:p>
        </w:tc>
        <w:tc>
          <w:tcPr>
            <w:tcW w:w="950" w:type="dxa"/>
            <w:tcBorders>
              <w:top w:val="nil"/>
              <w:left w:val="nil"/>
              <w:bottom w:val="nil"/>
              <w:right w:val="nil"/>
            </w:tcBorders>
            <w:vAlign w:val="center"/>
          </w:tcPr>
          <w:p w14:paraId="5366F34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0.0479</w:t>
            </w:r>
          </w:p>
        </w:tc>
      </w:tr>
      <w:tr w:rsidR="00333E87" w:rsidRPr="00F975C1" w14:paraId="5B84F6D0" w14:textId="77777777" w:rsidTr="00F90590">
        <w:trPr>
          <w:trHeight w:val="220"/>
        </w:trPr>
        <w:tc>
          <w:tcPr>
            <w:tcW w:w="1920" w:type="dxa"/>
            <w:tcBorders>
              <w:top w:val="nil"/>
              <w:left w:val="nil"/>
              <w:bottom w:val="nil"/>
              <w:right w:val="nil"/>
            </w:tcBorders>
            <w:vAlign w:val="center"/>
          </w:tcPr>
          <w:p w14:paraId="60A1896F"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2"/>
            </w:r>
          </w:p>
        </w:tc>
        <w:tc>
          <w:tcPr>
            <w:tcW w:w="1050" w:type="dxa"/>
            <w:tcBorders>
              <w:top w:val="nil"/>
              <w:left w:val="nil"/>
              <w:bottom w:val="nil"/>
              <w:right w:val="nil"/>
            </w:tcBorders>
            <w:vAlign w:val="center"/>
          </w:tcPr>
          <w:p w14:paraId="30224CB4"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0.0342</w:t>
            </w:r>
          </w:p>
        </w:tc>
        <w:tc>
          <w:tcPr>
            <w:tcW w:w="1150" w:type="dxa"/>
            <w:tcBorders>
              <w:top w:val="nil"/>
              <w:left w:val="nil"/>
              <w:bottom w:val="nil"/>
              <w:right w:val="nil"/>
            </w:tcBorders>
            <w:vAlign w:val="center"/>
          </w:tcPr>
          <w:p w14:paraId="2EE56604"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0.0618</w:t>
            </w:r>
          </w:p>
        </w:tc>
        <w:tc>
          <w:tcPr>
            <w:tcW w:w="1150" w:type="dxa"/>
            <w:tcBorders>
              <w:top w:val="nil"/>
              <w:left w:val="nil"/>
              <w:bottom w:val="nil"/>
              <w:right w:val="nil"/>
            </w:tcBorders>
            <w:vAlign w:val="center"/>
          </w:tcPr>
          <w:p w14:paraId="31876C04"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0.5538</w:t>
            </w:r>
          </w:p>
        </w:tc>
        <w:tc>
          <w:tcPr>
            <w:tcW w:w="950" w:type="dxa"/>
            <w:tcBorders>
              <w:top w:val="nil"/>
              <w:left w:val="nil"/>
              <w:bottom w:val="nil"/>
              <w:right w:val="nil"/>
            </w:tcBorders>
            <w:vAlign w:val="center"/>
          </w:tcPr>
          <w:p w14:paraId="334790A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0.5797</w:t>
            </w:r>
          </w:p>
        </w:tc>
      </w:tr>
      <w:tr w:rsidR="00333E87" w:rsidRPr="00F975C1" w14:paraId="6A5E6E02" w14:textId="77777777" w:rsidTr="00F90590">
        <w:trPr>
          <w:trHeight w:val="220"/>
        </w:trPr>
        <w:tc>
          <w:tcPr>
            <w:tcW w:w="1920" w:type="dxa"/>
            <w:tcBorders>
              <w:top w:val="nil"/>
              <w:left w:val="nil"/>
              <w:bottom w:val="nil"/>
              <w:right w:val="nil"/>
            </w:tcBorders>
            <w:vAlign w:val="center"/>
          </w:tcPr>
          <w:p w14:paraId="16FD607B"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3"/>
            </w:r>
          </w:p>
        </w:tc>
        <w:tc>
          <w:tcPr>
            <w:tcW w:w="1050" w:type="dxa"/>
            <w:tcBorders>
              <w:top w:val="nil"/>
              <w:left w:val="nil"/>
              <w:bottom w:val="nil"/>
              <w:right w:val="nil"/>
            </w:tcBorders>
            <w:vAlign w:val="center"/>
          </w:tcPr>
          <w:p w14:paraId="116B1D2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-4.2402</w:t>
            </w:r>
          </w:p>
        </w:tc>
        <w:tc>
          <w:tcPr>
            <w:tcW w:w="1150" w:type="dxa"/>
            <w:tcBorders>
              <w:top w:val="nil"/>
              <w:left w:val="nil"/>
              <w:bottom w:val="nil"/>
              <w:right w:val="nil"/>
            </w:tcBorders>
            <w:vAlign w:val="center"/>
          </w:tcPr>
          <w:p w14:paraId="5549820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1.5505</w:t>
            </w:r>
          </w:p>
        </w:tc>
        <w:tc>
          <w:tcPr>
            <w:tcW w:w="1150" w:type="dxa"/>
            <w:tcBorders>
              <w:top w:val="nil"/>
              <w:left w:val="nil"/>
              <w:bottom w:val="nil"/>
              <w:right w:val="nil"/>
            </w:tcBorders>
            <w:vAlign w:val="center"/>
          </w:tcPr>
          <w:p w14:paraId="000D6CB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-2.7347</w:t>
            </w:r>
          </w:p>
        </w:tc>
        <w:tc>
          <w:tcPr>
            <w:tcW w:w="950" w:type="dxa"/>
            <w:tcBorders>
              <w:top w:val="nil"/>
              <w:left w:val="nil"/>
              <w:bottom w:val="nil"/>
              <w:right w:val="nil"/>
            </w:tcBorders>
            <w:vAlign w:val="center"/>
          </w:tcPr>
          <w:p w14:paraId="1E10176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0.0062</w:t>
            </w:r>
          </w:p>
        </w:tc>
      </w:tr>
      <w:tr w:rsidR="00333E87" w:rsidRPr="00F975C1" w14:paraId="44D4D3D6" w14:textId="77777777" w:rsidTr="00F90590">
        <w:trPr>
          <w:trHeight w:val="220"/>
        </w:trPr>
        <w:tc>
          <w:tcPr>
            <w:tcW w:w="1920" w:type="dxa"/>
            <w:tcBorders>
              <w:top w:val="nil"/>
              <w:left w:val="nil"/>
              <w:bottom w:val="nil"/>
              <w:right w:val="nil"/>
            </w:tcBorders>
            <w:vAlign w:val="center"/>
          </w:tcPr>
          <w:p w14:paraId="43AF34EB"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4"/>
            </w:r>
          </w:p>
        </w:tc>
        <w:tc>
          <w:tcPr>
            <w:tcW w:w="1050" w:type="dxa"/>
            <w:tcBorders>
              <w:top w:val="nil"/>
              <w:left w:val="nil"/>
              <w:bottom w:val="nil"/>
              <w:right w:val="nil"/>
            </w:tcBorders>
            <w:vAlign w:val="center"/>
          </w:tcPr>
          <w:p w14:paraId="338DEE51"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2.8767</w:t>
            </w:r>
          </w:p>
        </w:tc>
        <w:tc>
          <w:tcPr>
            <w:tcW w:w="1150" w:type="dxa"/>
            <w:tcBorders>
              <w:top w:val="nil"/>
              <w:left w:val="nil"/>
              <w:bottom w:val="nil"/>
              <w:right w:val="nil"/>
            </w:tcBorders>
            <w:vAlign w:val="center"/>
          </w:tcPr>
          <w:p w14:paraId="66FC762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1.4843</w:t>
            </w:r>
          </w:p>
        </w:tc>
        <w:tc>
          <w:tcPr>
            <w:tcW w:w="1150" w:type="dxa"/>
            <w:tcBorders>
              <w:top w:val="nil"/>
              <w:left w:val="nil"/>
              <w:bottom w:val="nil"/>
              <w:right w:val="nil"/>
            </w:tcBorders>
            <w:vAlign w:val="center"/>
          </w:tcPr>
          <w:p w14:paraId="7E4EE454"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1.9381</w:t>
            </w:r>
          </w:p>
        </w:tc>
        <w:tc>
          <w:tcPr>
            <w:tcW w:w="950" w:type="dxa"/>
            <w:tcBorders>
              <w:top w:val="nil"/>
              <w:left w:val="nil"/>
              <w:bottom w:val="nil"/>
              <w:right w:val="nil"/>
            </w:tcBorders>
            <w:vAlign w:val="center"/>
          </w:tcPr>
          <w:p w14:paraId="339A630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0.0526</w:t>
            </w:r>
          </w:p>
        </w:tc>
      </w:tr>
      <w:tr w:rsidR="00333E87" w:rsidRPr="00F975C1" w14:paraId="5D3B236B" w14:textId="77777777" w:rsidTr="00F90590">
        <w:trPr>
          <w:trHeight w:val="220"/>
        </w:trPr>
        <w:tc>
          <w:tcPr>
            <w:tcW w:w="1920" w:type="dxa"/>
            <w:tcBorders>
              <w:top w:val="nil"/>
              <w:left w:val="nil"/>
              <w:bottom w:val="nil"/>
              <w:right w:val="nil"/>
            </w:tcBorders>
            <w:vAlign w:val="center"/>
          </w:tcPr>
          <w:p w14:paraId="33CF949B"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5"/>
            </w:r>
          </w:p>
        </w:tc>
        <w:tc>
          <w:tcPr>
            <w:tcW w:w="1050" w:type="dxa"/>
            <w:tcBorders>
              <w:top w:val="nil"/>
              <w:left w:val="nil"/>
              <w:bottom w:val="nil"/>
              <w:right w:val="nil"/>
            </w:tcBorders>
            <w:vAlign w:val="center"/>
          </w:tcPr>
          <w:p w14:paraId="3D84CC4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0.0027</w:t>
            </w:r>
          </w:p>
        </w:tc>
        <w:tc>
          <w:tcPr>
            <w:tcW w:w="1150" w:type="dxa"/>
            <w:tcBorders>
              <w:top w:val="nil"/>
              <w:left w:val="nil"/>
              <w:bottom w:val="nil"/>
              <w:right w:val="nil"/>
            </w:tcBorders>
            <w:vAlign w:val="center"/>
          </w:tcPr>
          <w:p w14:paraId="2A9ECFE9"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0.0163</w:t>
            </w:r>
          </w:p>
        </w:tc>
        <w:tc>
          <w:tcPr>
            <w:tcW w:w="1150" w:type="dxa"/>
            <w:tcBorders>
              <w:top w:val="nil"/>
              <w:left w:val="nil"/>
              <w:bottom w:val="nil"/>
              <w:right w:val="nil"/>
            </w:tcBorders>
            <w:vAlign w:val="center"/>
          </w:tcPr>
          <w:p w14:paraId="299AF5F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0.1662</w:t>
            </w:r>
          </w:p>
        </w:tc>
        <w:tc>
          <w:tcPr>
            <w:tcW w:w="950" w:type="dxa"/>
            <w:tcBorders>
              <w:top w:val="nil"/>
              <w:left w:val="nil"/>
              <w:bottom w:val="nil"/>
              <w:right w:val="nil"/>
            </w:tcBorders>
            <w:vAlign w:val="center"/>
          </w:tcPr>
          <w:p w14:paraId="38DBA44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0.8680</w:t>
            </w:r>
          </w:p>
        </w:tc>
      </w:tr>
      <w:tr w:rsidR="00333E87" w:rsidRPr="00F975C1" w14:paraId="002B1575" w14:textId="77777777" w:rsidTr="00F90590">
        <w:trPr>
          <w:trHeight w:hRule="exact" w:val="88"/>
        </w:trPr>
        <w:tc>
          <w:tcPr>
            <w:tcW w:w="1920" w:type="dxa"/>
            <w:tcBorders>
              <w:top w:val="nil"/>
              <w:left w:val="nil"/>
              <w:bottom w:val="double" w:sz="6" w:space="2" w:color="auto"/>
              <w:right w:val="nil"/>
            </w:tcBorders>
            <w:vAlign w:val="bottom"/>
          </w:tcPr>
          <w:p w14:paraId="40CAACF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3A5A6B8E"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39DCE8A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6AD6F043"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52CC3C1D"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33F42213" w14:textId="77777777" w:rsidTr="00F90590">
        <w:trPr>
          <w:trHeight w:hRule="exact" w:val="132"/>
        </w:trPr>
        <w:tc>
          <w:tcPr>
            <w:tcW w:w="1920" w:type="dxa"/>
            <w:tcBorders>
              <w:top w:val="nil"/>
              <w:left w:val="nil"/>
              <w:bottom w:val="nil"/>
              <w:right w:val="nil"/>
            </w:tcBorders>
            <w:vAlign w:val="bottom"/>
          </w:tcPr>
          <w:p w14:paraId="0FE2D2B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0BBA8C94"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0EAFC04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0770E7EE"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117E439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0067C0BC" w14:textId="77777777" w:rsidTr="00F90590">
        <w:trPr>
          <w:trHeight w:val="220"/>
        </w:trPr>
        <w:tc>
          <w:tcPr>
            <w:tcW w:w="1920" w:type="dxa"/>
            <w:tcBorders>
              <w:top w:val="nil"/>
              <w:left w:val="nil"/>
              <w:bottom w:val="nil"/>
              <w:right w:val="nil"/>
            </w:tcBorders>
            <w:vAlign w:val="bottom"/>
          </w:tcPr>
          <w:p w14:paraId="37CC089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2200" w:type="dxa"/>
            <w:gridSpan w:val="2"/>
            <w:tcBorders>
              <w:top w:val="nil"/>
              <w:left w:val="nil"/>
              <w:bottom w:val="nil"/>
              <w:right w:val="nil"/>
            </w:tcBorders>
            <w:vAlign w:val="bottom"/>
          </w:tcPr>
          <w:p w14:paraId="2972D5DC" w14:textId="77777777" w:rsidR="00333E87" w:rsidRPr="00F975C1" w:rsidRDefault="00C65E24" w:rsidP="00F90590">
            <w:pPr>
              <w:autoSpaceDE w:val="0"/>
              <w:autoSpaceDN w:val="0"/>
              <w:adjustRightInd w:val="0"/>
              <w:spacing w:after="0" w:line="240" w:lineRule="auto"/>
              <w:contextualSpacing/>
              <w:jc w:val="center"/>
              <w:rPr>
                <w:rFonts w:ascii="Garamond" w:hAnsi="Garamond" w:cs="Arial"/>
                <w:color w:val="000000"/>
                <w:sz w:val="24"/>
                <w:szCs w:val="24"/>
              </w:rPr>
            </w:pPr>
            <w:r w:rsidRPr="00F975C1">
              <w:rPr>
                <w:rFonts w:ascii="Garamond" w:hAnsi="Garamond" w:cs="Arial"/>
                <w:color w:val="000000"/>
                <w:sz w:val="24"/>
                <w:szCs w:val="24"/>
              </w:rPr>
              <w:t>Variance Eq.</w:t>
            </w:r>
          </w:p>
        </w:tc>
        <w:tc>
          <w:tcPr>
            <w:tcW w:w="1150" w:type="dxa"/>
            <w:tcBorders>
              <w:top w:val="nil"/>
              <w:left w:val="nil"/>
              <w:bottom w:val="nil"/>
              <w:right w:val="nil"/>
            </w:tcBorders>
            <w:vAlign w:val="bottom"/>
          </w:tcPr>
          <w:p w14:paraId="3583319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0511369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7E9B0339" w14:textId="77777777" w:rsidTr="00F90590">
        <w:trPr>
          <w:trHeight w:hRule="exact" w:val="88"/>
        </w:trPr>
        <w:tc>
          <w:tcPr>
            <w:tcW w:w="1920" w:type="dxa"/>
            <w:tcBorders>
              <w:top w:val="nil"/>
              <w:left w:val="nil"/>
              <w:bottom w:val="double" w:sz="6" w:space="2" w:color="auto"/>
              <w:right w:val="nil"/>
            </w:tcBorders>
            <w:vAlign w:val="bottom"/>
          </w:tcPr>
          <w:p w14:paraId="27598E2B"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31AFBEFF"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3E3F076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130C51FD"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5AB220A3"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6AB0E16D" w14:textId="77777777" w:rsidTr="00F90590">
        <w:trPr>
          <w:trHeight w:hRule="exact" w:val="132"/>
        </w:trPr>
        <w:tc>
          <w:tcPr>
            <w:tcW w:w="1920" w:type="dxa"/>
            <w:tcBorders>
              <w:top w:val="nil"/>
              <w:left w:val="nil"/>
              <w:bottom w:val="nil"/>
              <w:right w:val="nil"/>
            </w:tcBorders>
            <w:vAlign w:val="bottom"/>
          </w:tcPr>
          <w:p w14:paraId="1BD7A522"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3AE6D3E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445C3ADB"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214AB9A7"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4AC10A31"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5E2B0FAE" w14:textId="77777777" w:rsidTr="00F90590">
        <w:trPr>
          <w:trHeight w:val="220"/>
        </w:trPr>
        <w:tc>
          <w:tcPr>
            <w:tcW w:w="1920" w:type="dxa"/>
            <w:tcBorders>
              <w:top w:val="nil"/>
              <w:left w:val="nil"/>
              <w:bottom w:val="nil"/>
              <w:right w:val="nil"/>
            </w:tcBorders>
            <w:vAlign w:val="center"/>
          </w:tcPr>
          <w:p w14:paraId="1EC4F475"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1"/>
            </w:r>
            <w:r w:rsidRPr="004A43EF">
              <w:rPr>
                <w:rFonts w:ascii="Garamond" w:hAnsi="Garamond" w:cs="Calibri"/>
                <w:color w:val="000000"/>
                <w:sz w:val="24"/>
                <w:szCs w:val="24"/>
                <w:vertAlign w:val="subscript"/>
              </w:rPr>
              <w:sym w:font="Symbol" w:char="F030"/>
            </w:r>
          </w:p>
        </w:tc>
        <w:tc>
          <w:tcPr>
            <w:tcW w:w="1050" w:type="dxa"/>
            <w:tcBorders>
              <w:top w:val="nil"/>
              <w:left w:val="nil"/>
              <w:bottom w:val="nil"/>
              <w:right w:val="nil"/>
            </w:tcBorders>
            <w:vAlign w:val="center"/>
          </w:tcPr>
          <w:p w14:paraId="04E2E88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-0.1040</w:t>
            </w:r>
          </w:p>
        </w:tc>
        <w:tc>
          <w:tcPr>
            <w:tcW w:w="1150" w:type="dxa"/>
            <w:tcBorders>
              <w:top w:val="nil"/>
              <w:left w:val="nil"/>
              <w:bottom w:val="nil"/>
              <w:right w:val="nil"/>
            </w:tcBorders>
            <w:vAlign w:val="center"/>
          </w:tcPr>
          <w:p w14:paraId="0FFF231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0.0032</w:t>
            </w:r>
          </w:p>
        </w:tc>
        <w:tc>
          <w:tcPr>
            <w:tcW w:w="1150" w:type="dxa"/>
            <w:tcBorders>
              <w:top w:val="nil"/>
              <w:left w:val="nil"/>
              <w:bottom w:val="nil"/>
              <w:right w:val="nil"/>
            </w:tcBorders>
            <w:vAlign w:val="center"/>
          </w:tcPr>
          <w:p w14:paraId="49F2DF7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-32.3967</w:t>
            </w:r>
          </w:p>
        </w:tc>
        <w:tc>
          <w:tcPr>
            <w:tcW w:w="950" w:type="dxa"/>
            <w:tcBorders>
              <w:top w:val="nil"/>
              <w:left w:val="nil"/>
              <w:bottom w:val="nil"/>
              <w:right w:val="nil"/>
            </w:tcBorders>
            <w:vAlign w:val="center"/>
          </w:tcPr>
          <w:p w14:paraId="05746A9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17320C7D" w14:textId="77777777" w:rsidTr="00F90590">
        <w:trPr>
          <w:trHeight w:val="220"/>
        </w:trPr>
        <w:tc>
          <w:tcPr>
            <w:tcW w:w="1920" w:type="dxa"/>
            <w:tcBorders>
              <w:top w:val="nil"/>
              <w:left w:val="nil"/>
              <w:bottom w:val="nil"/>
              <w:right w:val="nil"/>
            </w:tcBorders>
            <w:vAlign w:val="center"/>
          </w:tcPr>
          <w:p w14:paraId="35056FB6"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1"/>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2C9B695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-0.0631</w:t>
            </w:r>
          </w:p>
        </w:tc>
        <w:tc>
          <w:tcPr>
            <w:tcW w:w="1150" w:type="dxa"/>
            <w:tcBorders>
              <w:top w:val="nil"/>
              <w:left w:val="nil"/>
              <w:bottom w:val="nil"/>
              <w:right w:val="nil"/>
            </w:tcBorders>
            <w:vAlign w:val="center"/>
          </w:tcPr>
          <w:p w14:paraId="6126033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0.0021</w:t>
            </w:r>
          </w:p>
        </w:tc>
        <w:tc>
          <w:tcPr>
            <w:tcW w:w="1150" w:type="dxa"/>
            <w:tcBorders>
              <w:top w:val="nil"/>
              <w:left w:val="nil"/>
              <w:bottom w:val="nil"/>
              <w:right w:val="nil"/>
            </w:tcBorders>
            <w:vAlign w:val="center"/>
          </w:tcPr>
          <w:p w14:paraId="0A56BE3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-30.0341</w:t>
            </w:r>
          </w:p>
        </w:tc>
        <w:tc>
          <w:tcPr>
            <w:tcW w:w="950" w:type="dxa"/>
            <w:tcBorders>
              <w:top w:val="nil"/>
              <w:left w:val="nil"/>
              <w:bottom w:val="nil"/>
              <w:right w:val="nil"/>
            </w:tcBorders>
            <w:vAlign w:val="center"/>
          </w:tcPr>
          <w:p w14:paraId="3CCCC86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049BCFBF" w14:textId="77777777" w:rsidTr="00F90590">
        <w:trPr>
          <w:trHeight w:val="220"/>
        </w:trPr>
        <w:tc>
          <w:tcPr>
            <w:tcW w:w="1920" w:type="dxa"/>
            <w:tcBorders>
              <w:top w:val="nil"/>
              <w:left w:val="nil"/>
              <w:bottom w:val="nil"/>
              <w:right w:val="nil"/>
            </w:tcBorders>
            <w:vAlign w:val="center"/>
          </w:tcPr>
          <w:p w14:paraId="7615D9CB"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7"/>
            </w:r>
          </w:p>
        </w:tc>
        <w:tc>
          <w:tcPr>
            <w:tcW w:w="1050" w:type="dxa"/>
            <w:tcBorders>
              <w:top w:val="nil"/>
              <w:left w:val="nil"/>
              <w:bottom w:val="nil"/>
              <w:right w:val="nil"/>
            </w:tcBorders>
            <w:vAlign w:val="center"/>
          </w:tcPr>
          <w:p w14:paraId="3F513E6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0.1111</w:t>
            </w:r>
          </w:p>
        </w:tc>
        <w:tc>
          <w:tcPr>
            <w:tcW w:w="1150" w:type="dxa"/>
            <w:tcBorders>
              <w:top w:val="nil"/>
              <w:left w:val="nil"/>
              <w:bottom w:val="nil"/>
              <w:right w:val="nil"/>
            </w:tcBorders>
            <w:vAlign w:val="center"/>
          </w:tcPr>
          <w:p w14:paraId="2AD3C06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0.0034</w:t>
            </w:r>
          </w:p>
        </w:tc>
        <w:tc>
          <w:tcPr>
            <w:tcW w:w="1150" w:type="dxa"/>
            <w:tcBorders>
              <w:top w:val="nil"/>
              <w:left w:val="nil"/>
              <w:bottom w:val="nil"/>
              <w:right w:val="nil"/>
            </w:tcBorders>
            <w:vAlign w:val="center"/>
          </w:tcPr>
          <w:p w14:paraId="1889C24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32.9180</w:t>
            </w:r>
          </w:p>
        </w:tc>
        <w:tc>
          <w:tcPr>
            <w:tcW w:w="950" w:type="dxa"/>
            <w:tcBorders>
              <w:top w:val="nil"/>
              <w:left w:val="nil"/>
              <w:bottom w:val="nil"/>
              <w:right w:val="nil"/>
            </w:tcBorders>
            <w:vAlign w:val="center"/>
          </w:tcPr>
          <w:p w14:paraId="77EE1B5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3ABC1796" w14:textId="77777777" w:rsidTr="00F90590">
        <w:trPr>
          <w:trHeight w:val="220"/>
        </w:trPr>
        <w:tc>
          <w:tcPr>
            <w:tcW w:w="1920" w:type="dxa"/>
            <w:tcBorders>
              <w:top w:val="nil"/>
              <w:left w:val="nil"/>
              <w:bottom w:val="nil"/>
              <w:right w:val="nil"/>
            </w:tcBorders>
            <w:vAlign w:val="center"/>
          </w:tcPr>
          <w:p w14:paraId="687D7EAB"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2"/>
            </w:r>
          </w:p>
        </w:tc>
        <w:tc>
          <w:tcPr>
            <w:tcW w:w="1050" w:type="dxa"/>
            <w:tcBorders>
              <w:top w:val="nil"/>
              <w:left w:val="nil"/>
              <w:bottom w:val="nil"/>
              <w:right w:val="nil"/>
            </w:tcBorders>
            <w:vAlign w:val="center"/>
          </w:tcPr>
          <w:p w14:paraId="31714D6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0.9798</w:t>
            </w:r>
          </w:p>
        </w:tc>
        <w:tc>
          <w:tcPr>
            <w:tcW w:w="1150" w:type="dxa"/>
            <w:tcBorders>
              <w:top w:val="nil"/>
              <w:left w:val="nil"/>
              <w:bottom w:val="nil"/>
              <w:right w:val="nil"/>
            </w:tcBorders>
            <w:vAlign w:val="center"/>
          </w:tcPr>
          <w:p w14:paraId="62B21AE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0.0010</w:t>
            </w:r>
          </w:p>
        </w:tc>
        <w:tc>
          <w:tcPr>
            <w:tcW w:w="1150" w:type="dxa"/>
            <w:tcBorders>
              <w:top w:val="nil"/>
              <w:left w:val="nil"/>
              <w:bottom w:val="nil"/>
              <w:right w:val="nil"/>
            </w:tcBorders>
            <w:vAlign w:val="center"/>
          </w:tcPr>
          <w:p w14:paraId="65BE6D7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967.1584</w:t>
            </w:r>
          </w:p>
        </w:tc>
        <w:tc>
          <w:tcPr>
            <w:tcW w:w="950" w:type="dxa"/>
            <w:tcBorders>
              <w:top w:val="nil"/>
              <w:left w:val="nil"/>
              <w:bottom w:val="nil"/>
              <w:right w:val="nil"/>
            </w:tcBorders>
            <w:vAlign w:val="center"/>
          </w:tcPr>
          <w:p w14:paraId="5579BFB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60C444D5" w14:textId="77777777" w:rsidTr="00F90590">
        <w:trPr>
          <w:trHeight w:val="220"/>
        </w:trPr>
        <w:tc>
          <w:tcPr>
            <w:tcW w:w="1920" w:type="dxa"/>
            <w:tcBorders>
              <w:top w:val="nil"/>
              <w:left w:val="nil"/>
              <w:bottom w:val="nil"/>
              <w:right w:val="nil"/>
            </w:tcBorders>
            <w:vAlign w:val="center"/>
          </w:tcPr>
          <w:p w14:paraId="5CE19C00"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562A82E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-0.0021</w:t>
            </w:r>
          </w:p>
        </w:tc>
        <w:tc>
          <w:tcPr>
            <w:tcW w:w="1150" w:type="dxa"/>
            <w:tcBorders>
              <w:top w:val="nil"/>
              <w:left w:val="nil"/>
              <w:bottom w:val="nil"/>
              <w:right w:val="nil"/>
            </w:tcBorders>
            <w:vAlign w:val="center"/>
          </w:tcPr>
          <w:p w14:paraId="37ED3FD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0.0595</w:t>
            </w:r>
          </w:p>
        </w:tc>
        <w:tc>
          <w:tcPr>
            <w:tcW w:w="1150" w:type="dxa"/>
            <w:tcBorders>
              <w:top w:val="nil"/>
              <w:left w:val="nil"/>
              <w:bottom w:val="nil"/>
              <w:right w:val="nil"/>
            </w:tcBorders>
            <w:vAlign w:val="center"/>
          </w:tcPr>
          <w:p w14:paraId="23B63BF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-0.0347</w:t>
            </w:r>
          </w:p>
        </w:tc>
        <w:tc>
          <w:tcPr>
            <w:tcW w:w="950" w:type="dxa"/>
            <w:tcBorders>
              <w:top w:val="nil"/>
              <w:left w:val="nil"/>
              <w:bottom w:val="nil"/>
              <w:right w:val="nil"/>
            </w:tcBorders>
            <w:vAlign w:val="center"/>
          </w:tcPr>
          <w:p w14:paraId="212698E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0.9723</w:t>
            </w:r>
          </w:p>
        </w:tc>
      </w:tr>
      <w:tr w:rsidR="00333E87" w:rsidRPr="00F975C1" w14:paraId="40F4B5C8" w14:textId="77777777" w:rsidTr="00F90590">
        <w:trPr>
          <w:trHeight w:val="220"/>
        </w:trPr>
        <w:tc>
          <w:tcPr>
            <w:tcW w:w="1920" w:type="dxa"/>
            <w:tcBorders>
              <w:top w:val="nil"/>
              <w:left w:val="nil"/>
              <w:bottom w:val="nil"/>
              <w:right w:val="nil"/>
            </w:tcBorders>
            <w:vAlign w:val="center"/>
          </w:tcPr>
          <w:p w14:paraId="64918FB2"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2"/>
            </w:r>
          </w:p>
        </w:tc>
        <w:tc>
          <w:tcPr>
            <w:tcW w:w="1050" w:type="dxa"/>
            <w:tcBorders>
              <w:top w:val="nil"/>
              <w:left w:val="nil"/>
              <w:bottom w:val="nil"/>
              <w:right w:val="nil"/>
            </w:tcBorders>
            <w:vAlign w:val="center"/>
          </w:tcPr>
          <w:p w14:paraId="3F42843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0.0915</w:t>
            </w:r>
          </w:p>
        </w:tc>
        <w:tc>
          <w:tcPr>
            <w:tcW w:w="1150" w:type="dxa"/>
            <w:tcBorders>
              <w:top w:val="nil"/>
              <w:left w:val="nil"/>
              <w:bottom w:val="nil"/>
              <w:right w:val="nil"/>
            </w:tcBorders>
            <w:vAlign w:val="center"/>
          </w:tcPr>
          <w:p w14:paraId="75D7290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0.0404</w:t>
            </w:r>
          </w:p>
        </w:tc>
        <w:tc>
          <w:tcPr>
            <w:tcW w:w="1150" w:type="dxa"/>
            <w:tcBorders>
              <w:top w:val="nil"/>
              <w:left w:val="nil"/>
              <w:bottom w:val="nil"/>
              <w:right w:val="nil"/>
            </w:tcBorders>
            <w:vAlign w:val="center"/>
          </w:tcPr>
          <w:p w14:paraId="5A4E568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2.2661</w:t>
            </w:r>
          </w:p>
        </w:tc>
        <w:tc>
          <w:tcPr>
            <w:tcW w:w="950" w:type="dxa"/>
            <w:tcBorders>
              <w:top w:val="nil"/>
              <w:left w:val="nil"/>
              <w:bottom w:val="nil"/>
              <w:right w:val="nil"/>
            </w:tcBorders>
            <w:vAlign w:val="center"/>
          </w:tcPr>
          <w:p w14:paraId="0A5A301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0.0234</w:t>
            </w:r>
          </w:p>
        </w:tc>
      </w:tr>
      <w:tr w:rsidR="00333E87" w:rsidRPr="00F975C1" w14:paraId="29834BA0" w14:textId="77777777" w:rsidTr="00F90590">
        <w:trPr>
          <w:trHeight w:val="220"/>
        </w:trPr>
        <w:tc>
          <w:tcPr>
            <w:tcW w:w="1920" w:type="dxa"/>
            <w:tcBorders>
              <w:top w:val="nil"/>
              <w:left w:val="nil"/>
              <w:bottom w:val="nil"/>
              <w:right w:val="nil"/>
            </w:tcBorders>
            <w:vAlign w:val="center"/>
          </w:tcPr>
          <w:p w14:paraId="06EE8D0E"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3"/>
            </w:r>
          </w:p>
        </w:tc>
        <w:tc>
          <w:tcPr>
            <w:tcW w:w="1050" w:type="dxa"/>
            <w:tcBorders>
              <w:top w:val="nil"/>
              <w:left w:val="nil"/>
              <w:bottom w:val="nil"/>
              <w:right w:val="nil"/>
            </w:tcBorders>
            <w:vAlign w:val="center"/>
          </w:tcPr>
          <w:p w14:paraId="08A60BE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-0.8974</w:t>
            </w:r>
          </w:p>
        </w:tc>
        <w:tc>
          <w:tcPr>
            <w:tcW w:w="1150" w:type="dxa"/>
            <w:tcBorders>
              <w:top w:val="nil"/>
              <w:left w:val="nil"/>
              <w:bottom w:val="nil"/>
              <w:right w:val="nil"/>
            </w:tcBorders>
            <w:vAlign w:val="center"/>
          </w:tcPr>
          <w:p w14:paraId="65248BF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0.1692</w:t>
            </w:r>
          </w:p>
        </w:tc>
        <w:tc>
          <w:tcPr>
            <w:tcW w:w="1150" w:type="dxa"/>
            <w:tcBorders>
              <w:top w:val="nil"/>
              <w:left w:val="nil"/>
              <w:bottom w:val="nil"/>
              <w:right w:val="nil"/>
            </w:tcBorders>
            <w:vAlign w:val="center"/>
          </w:tcPr>
          <w:p w14:paraId="461B63A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-5.3033</w:t>
            </w:r>
          </w:p>
        </w:tc>
        <w:tc>
          <w:tcPr>
            <w:tcW w:w="950" w:type="dxa"/>
            <w:tcBorders>
              <w:top w:val="nil"/>
              <w:left w:val="nil"/>
              <w:bottom w:val="nil"/>
              <w:right w:val="nil"/>
            </w:tcBorders>
            <w:vAlign w:val="center"/>
          </w:tcPr>
          <w:p w14:paraId="23CA78A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418FD06C" w14:textId="77777777" w:rsidTr="00F90590">
        <w:trPr>
          <w:trHeight w:val="220"/>
        </w:trPr>
        <w:tc>
          <w:tcPr>
            <w:tcW w:w="1920" w:type="dxa"/>
            <w:tcBorders>
              <w:top w:val="nil"/>
              <w:left w:val="nil"/>
              <w:bottom w:val="nil"/>
              <w:right w:val="nil"/>
            </w:tcBorders>
            <w:vAlign w:val="center"/>
          </w:tcPr>
          <w:p w14:paraId="2CF9125E"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4"/>
            </w:r>
          </w:p>
        </w:tc>
        <w:tc>
          <w:tcPr>
            <w:tcW w:w="1050" w:type="dxa"/>
            <w:tcBorders>
              <w:top w:val="nil"/>
              <w:left w:val="nil"/>
              <w:bottom w:val="nil"/>
              <w:right w:val="nil"/>
            </w:tcBorders>
            <w:vAlign w:val="center"/>
          </w:tcPr>
          <w:p w14:paraId="6A42606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3.2338</w:t>
            </w:r>
          </w:p>
        </w:tc>
        <w:tc>
          <w:tcPr>
            <w:tcW w:w="1150" w:type="dxa"/>
            <w:tcBorders>
              <w:top w:val="nil"/>
              <w:left w:val="nil"/>
              <w:bottom w:val="nil"/>
              <w:right w:val="nil"/>
            </w:tcBorders>
            <w:vAlign w:val="center"/>
          </w:tcPr>
          <w:p w14:paraId="0F7A7CA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0.1346</w:t>
            </w:r>
          </w:p>
        </w:tc>
        <w:tc>
          <w:tcPr>
            <w:tcW w:w="1150" w:type="dxa"/>
            <w:tcBorders>
              <w:top w:val="nil"/>
              <w:left w:val="nil"/>
              <w:bottom w:val="nil"/>
              <w:right w:val="nil"/>
            </w:tcBorders>
            <w:vAlign w:val="center"/>
          </w:tcPr>
          <w:p w14:paraId="690E10C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24.0307</w:t>
            </w:r>
          </w:p>
        </w:tc>
        <w:tc>
          <w:tcPr>
            <w:tcW w:w="950" w:type="dxa"/>
            <w:tcBorders>
              <w:top w:val="nil"/>
              <w:left w:val="nil"/>
              <w:bottom w:val="nil"/>
              <w:right w:val="nil"/>
            </w:tcBorders>
            <w:vAlign w:val="center"/>
          </w:tcPr>
          <w:p w14:paraId="5BA7706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1D84EB97" w14:textId="77777777" w:rsidTr="00F90590">
        <w:trPr>
          <w:trHeight w:val="220"/>
        </w:trPr>
        <w:tc>
          <w:tcPr>
            <w:tcW w:w="1920" w:type="dxa"/>
            <w:tcBorders>
              <w:top w:val="nil"/>
              <w:left w:val="nil"/>
              <w:bottom w:val="nil"/>
              <w:right w:val="nil"/>
            </w:tcBorders>
            <w:vAlign w:val="center"/>
          </w:tcPr>
          <w:p w14:paraId="453B9122"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5"/>
            </w:r>
          </w:p>
        </w:tc>
        <w:tc>
          <w:tcPr>
            <w:tcW w:w="1050" w:type="dxa"/>
            <w:tcBorders>
              <w:top w:val="nil"/>
              <w:left w:val="nil"/>
              <w:bottom w:val="nil"/>
              <w:right w:val="nil"/>
            </w:tcBorders>
            <w:vAlign w:val="center"/>
          </w:tcPr>
          <w:p w14:paraId="193B8D49"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0.0051</w:t>
            </w:r>
          </w:p>
        </w:tc>
        <w:tc>
          <w:tcPr>
            <w:tcW w:w="1150" w:type="dxa"/>
            <w:tcBorders>
              <w:top w:val="nil"/>
              <w:left w:val="nil"/>
              <w:bottom w:val="nil"/>
              <w:right w:val="nil"/>
            </w:tcBorders>
            <w:vAlign w:val="center"/>
          </w:tcPr>
          <w:p w14:paraId="1CA7EB6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0.0018</w:t>
            </w:r>
          </w:p>
        </w:tc>
        <w:tc>
          <w:tcPr>
            <w:tcW w:w="1150" w:type="dxa"/>
            <w:tcBorders>
              <w:top w:val="nil"/>
              <w:left w:val="nil"/>
              <w:bottom w:val="nil"/>
              <w:right w:val="nil"/>
            </w:tcBorders>
            <w:vAlign w:val="center"/>
          </w:tcPr>
          <w:p w14:paraId="70FDDB7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2.8232</w:t>
            </w:r>
          </w:p>
        </w:tc>
        <w:tc>
          <w:tcPr>
            <w:tcW w:w="950" w:type="dxa"/>
            <w:tcBorders>
              <w:top w:val="nil"/>
              <w:left w:val="nil"/>
              <w:bottom w:val="nil"/>
              <w:right w:val="nil"/>
            </w:tcBorders>
            <w:vAlign w:val="center"/>
          </w:tcPr>
          <w:p w14:paraId="55D9BF1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0.0048</w:t>
            </w:r>
          </w:p>
        </w:tc>
      </w:tr>
      <w:tr w:rsidR="00333E87" w:rsidRPr="00F975C1" w14:paraId="3C6FC09F" w14:textId="77777777" w:rsidTr="00F90590">
        <w:trPr>
          <w:trHeight w:hRule="exact" w:val="88"/>
        </w:trPr>
        <w:tc>
          <w:tcPr>
            <w:tcW w:w="1920" w:type="dxa"/>
            <w:tcBorders>
              <w:top w:val="nil"/>
              <w:left w:val="nil"/>
              <w:bottom w:val="double" w:sz="6" w:space="2" w:color="auto"/>
              <w:right w:val="nil"/>
            </w:tcBorders>
            <w:vAlign w:val="bottom"/>
          </w:tcPr>
          <w:p w14:paraId="0F4EBA9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r w:rsidRPr="00F975C1">
              <w:rPr>
                <w:rFonts w:ascii="Garamond" w:hAnsi="Garamond" w:cs="Arial"/>
                <w:color w:val="000000"/>
                <w:sz w:val="24"/>
                <w:szCs w:val="24"/>
              </w:rPr>
              <w:sym w:font="Symbol" w:char="F061"/>
            </w:r>
            <w:r w:rsidRPr="00F975C1">
              <w:rPr>
                <w:rFonts w:ascii="Garamond" w:hAnsi="Garamond" w:cs="Arial"/>
                <w:color w:val="000000"/>
                <w:sz w:val="24"/>
                <w:szCs w:val="24"/>
                <w:vertAlign w:val="subscript"/>
              </w:rPr>
              <w:t>0</w:t>
            </w:r>
          </w:p>
        </w:tc>
        <w:tc>
          <w:tcPr>
            <w:tcW w:w="1050" w:type="dxa"/>
            <w:tcBorders>
              <w:top w:val="nil"/>
              <w:left w:val="nil"/>
              <w:bottom w:val="double" w:sz="6" w:space="2" w:color="auto"/>
              <w:right w:val="nil"/>
            </w:tcBorders>
            <w:vAlign w:val="bottom"/>
          </w:tcPr>
          <w:p w14:paraId="5A596901"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331E3B02"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29CA87EE"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59CD84E2"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6102CD69" w14:textId="77777777" w:rsidTr="00F90590">
        <w:trPr>
          <w:trHeight w:hRule="exact" w:val="132"/>
        </w:trPr>
        <w:tc>
          <w:tcPr>
            <w:tcW w:w="1920" w:type="dxa"/>
            <w:tcBorders>
              <w:top w:val="nil"/>
              <w:left w:val="nil"/>
              <w:bottom w:val="nil"/>
              <w:right w:val="nil"/>
            </w:tcBorders>
            <w:vAlign w:val="bottom"/>
          </w:tcPr>
          <w:p w14:paraId="263D6A8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1D2CA3E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54995745"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19B5D74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7011414B"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43B6031E" w14:textId="77777777" w:rsidTr="00F90590">
        <w:trPr>
          <w:trHeight w:val="220"/>
        </w:trPr>
        <w:tc>
          <w:tcPr>
            <w:tcW w:w="1920" w:type="dxa"/>
            <w:tcBorders>
              <w:top w:val="nil"/>
              <w:left w:val="nil"/>
              <w:bottom w:val="nil"/>
              <w:right w:val="nil"/>
            </w:tcBorders>
            <w:vAlign w:val="bottom"/>
          </w:tcPr>
          <w:p w14:paraId="438F1607" w14:textId="77777777" w:rsidR="00333E87" w:rsidRPr="00F975C1" w:rsidRDefault="00333E87" w:rsidP="00F90590">
            <w:pPr>
              <w:autoSpaceDE w:val="0"/>
              <w:autoSpaceDN w:val="0"/>
              <w:adjustRightInd w:val="0"/>
              <w:spacing w:after="0" w:line="240" w:lineRule="auto"/>
              <w:contextualSpacing/>
              <w:rPr>
                <w:rFonts w:ascii="Garamond" w:hAnsi="Garamond" w:cs="Arial"/>
                <w:color w:val="000000"/>
                <w:sz w:val="24"/>
                <w:szCs w:val="24"/>
              </w:rPr>
            </w:pPr>
            <w:r w:rsidRPr="00F975C1">
              <w:rPr>
                <w:rFonts w:ascii="Garamond" w:hAnsi="Garamond" w:cs="Arial"/>
                <w:color w:val="000000"/>
                <w:sz w:val="24"/>
                <w:szCs w:val="24"/>
              </w:rPr>
              <w:t>Log-Likelihood</w:t>
            </w:r>
          </w:p>
        </w:tc>
        <w:tc>
          <w:tcPr>
            <w:tcW w:w="1050" w:type="dxa"/>
            <w:tcBorders>
              <w:top w:val="nil"/>
              <w:left w:val="nil"/>
              <w:bottom w:val="nil"/>
              <w:right w:val="nil"/>
            </w:tcBorders>
            <w:vAlign w:val="bottom"/>
          </w:tcPr>
          <w:p w14:paraId="634CDF0F" w14:textId="77777777" w:rsidR="00333E87" w:rsidRPr="00F975C1" w:rsidRDefault="00333E87" w:rsidP="00F90590">
            <w:pPr>
              <w:autoSpaceDE w:val="0"/>
              <w:autoSpaceDN w:val="0"/>
              <w:adjustRightInd w:val="0"/>
              <w:spacing w:after="0" w:line="240" w:lineRule="auto"/>
              <w:ind w:right="20"/>
              <w:contextualSpacing/>
              <w:jc w:val="right"/>
              <w:rPr>
                <w:rFonts w:ascii="Garamond" w:hAnsi="Garamond" w:cs="Arial"/>
                <w:color w:val="000000"/>
                <w:sz w:val="24"/>
                <w:szCs w:val="24"/>
              </w:rPr>
            </w:pPr>
            <w:r w:rsidRPr="00F975C1">
              <w:rPr>
                <w:rFonts w:ascii="Garamond" w:hAnsi="Garamond" w:cs="Arial"/>
                <w:color w:val="000000"/>
                <w:sz w:val="24"/>
                <w:szCs w:val="24"/>
              </w:rPr>
              <w:t>-24037.30</w:t>
            </w:r>
          </w:p>
        </w:tc>
        <w:tc>
          <w:tcPr>
            <w:tcW w:w="2300" w:type="dxa"/>
            <w:gridSpan w:val="2"/>
            <w:tcBorders>
              <w:top w:val="nil"/>
              <w:left w:val="nil"/>
              <w:bottom w:val="nil"/>
              <w:right w:val="nil"/>
            </w:tcBorders>
            <w:vAlign w:val="bottom"/>
          </w:tcPr>
          <w:p w14:paraId="17163E75" w14:textId="77777777" w:rsidR="00333E87" w:rsidRPr="00F975C1" w:rsidRDefault="00333E87" w:rsidP="00F90590">
            <w:pPr>
              <w:autoSpaceDE w:val="0"/>
              <w:autoSpaceDN w:val="0"/>
              <w:adjustRightInd w:val="0"/>
              <w:spacing w:after="0" w:line="240" w:lineRule="auto"/>
              <w:ind w:right="20"/>
              <w:contextualSpacing/>
              <w:rPr>
                <w:rFonts w:ascii="Garamond" w:hAnsi="Garamond" w:cs="Arial"/>
                <w:color w:val="000000"/>
                <w:sz w:val="24"/>
                <w:szCs w:val="24"/>
              </w:rPr>
            </w:pPr>
            <w:r w:rsidRPr="00F975C1">
              <w:rPr>
                <w:rFonts w:ascii="Garamond" w:hAnsi="Garamond" w:cs="Arial"/>
                <w:color w:val="000000"/>
                <w:sz w:val="24"/>
                <w:szCs w:val="24"/>
              </w:rPr>
              <w:t>    AIC</w:t>
            </w:r>
          </w:p>
        </w:tc>
        <w:tc>
          <w:tcPr>
            <w:tcW w:w="950" w:type="dxa"/>
            <w:tcBorders>
              <w:top w:val="nil"/>
              <w:left w:val="nil"/>
              <w:bottom w:val="nil"/>
              <w:right w:val="nil"/>
            </w:tcBorders>
            <w:vAlign w:val="bottom"/>
          </w:tcPr>
          <w:p w14:paraId="4B66D995" w14:textId="77777777" w:rsidR="00333E87" w:rsidRPr="00F975C1" w:rsidRDefault="00333E87" w:rsidP="00F90590">
            <w:pPr>
              <w:autoSpaceDE w:val="0"/>
              <w:autoSpaceDN w:val="0"/>
              <w:adjustRightInd w:val="0"/>
              <w:spacing w:after="0" w:line="240" w:lineRule="auto"/>
              <w:ind w:right="20"/>
              <w:contextualSpacing/>
              <w:jc w:val="right"/>
              <w:rPr>
                <w:rFonts w:ascii="Garamond" w:hAnsi="Garamond" w:cs="Arial"/>
                <w:color w:val="000000"/>
                <w:sz w:val="24"/>
                <w:szCs w:val="24"/>
              </w:rPr>
            </w:pPr>
            <w:r w:rsidRPr="00F975C1">
              <w:rPr>
                <w:rFonts w:ascii="Garamond" w:hAnsi="Garamond" w:cs="Arial"/>
                <w:color w:val="000000"/>
                <w:sz w:val="24"/>
                <w:szCs w:val="24"/>
              </w:rPr>
              <w:t>2.3007</w:t>
            </w:r>
          </w:p>
        </w:tc>
      </w:tr>
      <w:tr w:rsidR="00333E87" w:rsidRPr="00F975C1" w14:paraId="4C0732A5" w14:textId="77777777" w:rsidTr="00F90590">
        <w:trPr>
          <w:trHeight w:hRule="exact" w:val="88"/>
        </w:trPr>
        <w:tc>
          <w:tcPr>
            <w:tcW w:w="1920" w:type="dxa"/>
            <w:tcBorders>
              <w:top w:val="nil"/>
              <w:left w:val="nil"/>
              <w:bottom w:val="double" w:sz="6" w:space="0" w:color="auto"/>
              <w:right w:val="nil"/>
            </w:tcBorders>
            <w:vAlign w:val="bottom"/>
          </w:tcPr>
          <w:p w14:paraId="38A27582"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0" w:color="auto"/>
              <w:right w:val="nil"/>
            </w:tcBorders>
            <w:vAlign w:val="bottom"/>
          </w:tcPr>
          <w:p w14:paraId="4B82CD6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0" w:color="auto"/>
              <w:right w:val="nil"/>
            </w:tcBorders>
            <w:vAlign w:val="bottom"/>
          </w:tcPr>
          <w:p w14:paraId="740DAAD9"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0" w:color="auto"/>
              <w:right w:val="nil"/>
            </w:tcBorders>
            <w:vAlign w:val="bottom"/>
          </w:tcPr>
          <w:p w14:paraId="4B6031E7"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0" w:color="auto"/>
              <w:right w:val="nil"/>
            </w:tcBorders>
            <w:vAlign w:val="bottom"/>
          </w:tcPr>
          <w:p w14:paraId="44675A7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4F629305" w14:textId="77777777" w:rsidTr="00F90590">
        <w:trPr>
          <w:trHeight w:hRule="exact" w:val="132"/>
        </w:trPr>
        <w:tc>
          <w:tcPr>
            <w:tcW w:w="1920" w:type="dxa"/>
            <w:tcBorders>
              <w:top w:val="nil"/>
              <w:left w:val="nil"/>
              <w:bottom w:val="nil"/>
              <w:right w:val="nil"/>
            </w:tcBorders>
            <w:vAlign w:val="bottom"/>
          </w:tcPr>
          <w:p w14:paraId="4B2EB77C"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nil"/>
              <w:right w:val="nil"/>
            </w:tcBorders>
            <w:vAlign w:val="bottom"/>
          </w:tcPr>
          <w:p w14:paraId="5A41FE31"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30C17817"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0928DF7A"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nil"/>
              <w:right w:val="nil"/>
            </w:tcBorders>
            <w:vAlign w:val="bottom"/>
          </w:tcPr>
          <w:p w14:paraId="00120BF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81418F" w:rsidRPr="00F975C1" w14:paraId="1035CD66" w14:textId="77777777" w:rsidTr="00F90590">
        <w:trPr>
          <w:trHeight w:hRule="exact" w:val="132"/>
        </w:trPr>
        <w:tc>
          <w:tcPr>
            <w:tcW w:w="1920" w:type="dxa"/>
            <w:tcBorders>
              <w:top w:val="nil"/>
              <w:left w:val="nil"/>
              <w:bottom w:val="nil"/>
              <w:right w:val="nil"/>
            </w:tcBorders>
            <w:vAlign w:val="bottom"/>
          </w:tcPr>
          <w:p w14:paraId="0865464D" w14:textId="77777777" w:rsidR="0081418F" w:rsidRPr="00F975C1" w:rsidRDefault="0081418F"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nil"/>
              <w:right w:val="nil"/>
            </w:tcBorders>
            <w:vAlign w:val="bottom"/>
          </w:tcPr>
          <w:p w14:paraId="3046A78E" w14:textId="77777777" w:rsidR="0081418F" w:rsidRPr="00F975C1" w:rsidRDefault="0081418F"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2196B32D" w14:textId="77777777" w:rsidR="0081418F" w:rsidRPr="00F975C1" w:rsidRDefault="0081418F"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2D648EDB" w14:textId="77777777" w:rsidR="0081418F" w:rsidRPr="00F975C1" w:rsidRDefault="0081418F"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nil"/>
              <w:right w:val="nil"/>
            </w:tcBorders>
            <w:vAlign w:val="bottom"/>
          </w:tcPr>
          <w:p w14:paraId="05C9224E" w14:textId="77777777" w:rsidR="0081418F" w:rsidRPr="00F975C1" w:rsidRDefault="0081418F" w:rsidP="00F90590">
            <w:pPr>
              <w:autoSpaceDE w:val="0"/>
              <w:autoSpaceDN w:val="0"/>
              <w:adjustRightInd w:val="0"/>
              <w:spacing w:after="0" w:line="240" w:lineRule="auto"/>
              <w:jc w:val="center"/>
              <w:rPr>
                <w:rFonts w:ascii="Garamond" w:hAnsi="Garamond" w:cs="Arial"/>
                <w:color w:val="000000"/>
                <w:sz w:val="24"/>
                <w:szCs w:val="24"/>
              </w:rPr>
            </w:pPr>
          </w:p>
        </w:tc>
      </w:tr>
    </w:tbl>
    <w:p w14:paraId="13AF03CF" w14:textId="77777777" w:rsidR="00333E87" w:rsidRPr="004A43EF" w:rsidRDefault="00333E87" w:rsidP="00333E87">
      <w:pPr>
        <w:spacing w:after="0" w:line="240" w:lineRule="auto"/>
        <w:ind w:right="20"/>
        <w:contextualSpacing/>
        <w:jc w:val="both"/>
        <w:rPr>
          <w:rFonts w:ascii="Garamond" w:hAnsi="Garamond"/>
          <w:sz w:val="24"/>
          <w:szCs w:val="24"/>
        </w:rPr>
      </w:pPr>
      <w:r w:rsidRPr="004A43EF">
        <w:rPr>
          <w:rFonts w:ascii="Garamond" w:hAnsi="Garamond" w:cs="Arial"/>
          <w:b/>
          <w:sz w:val="24"/>
          <w:szCs w:val="24"/>
        </w:rPr>
        <w:t>Note:</w:t>
      </w:r>
      <w:r w:rsidRPr="004A43EF">
        <w:rPr>
          <w:rFonts w:ascii="Garamond" w:hAnsi="Garamond" w:cs="Arial"/>
          <w:sz w:val="24"/>
          <w:szCs w:val="24"/>
        </w:rPr>
        <w:t xml:space="preserve"> The estimates correspond to the following EGARCH model: </w:t>
      </w:r>
      <w:r w:rsidR="00D3116B" w:rsidRPr="004A43EF">
        <w:rPr>
          <w:rFonts w:ascii="Garamond" w:hAnsi="Garamond" w:cs="Arial"/>
          <w:sz w:val="24"/>
          <w:szCs w:val="24"/>
        </w:rPr>
        <w:t xml:space="preserve"> </w:t>
      </w:r>
      <w:r w:rsidRPr="004A43EF">
        <w:rPr>
          <w:rFonts w:ascii="Garamond" w:hAnsi="Garamond"/>
          <w:position w:val="-12"/>
          <w:sz w:val="24"/>
          <w:szCs w:val="24"/>
        </w:rPr>
        <w:object w:dxaOrig="5800" w:dyaOrig="380" w14:anchorId="330FEDC1">
          <v:shape id="_x0000_i1031" type="#_x0000_t75" style="width:289.5pt;height:18pt" o:ole="">
            <v:imagedata r:id="rId8" o:title=""/>
          </v:shape>
          <o:OLEObject Type="Embed" ProgID="Equation.DSMT4" ShapeID="_x0000_i1031" DrawAspect="Content" ObjectID="_1646728392" r:id="rId20"/>
        </w:object>
      </w:r>
      <w:r w:rsidR="00D3116B" w:rsidRPr="004A43EF">
        <w:rPr>
          <w:rFonts w:ascii="Garamond" w:hAnsi="Garamond"/>
          <w:sz w:val="24"/>
          <w:szCs w:val="24"/>
        </w:rPr>
        <w:t xml:space="preserve"> (Mean Eq.)</w:t>
      </w:r>
      <w:r w:rsidRPr="004A43EF">
        <w:rPr>
          <w:rFonts w:ascii="Garamond" w:hAnsi="Garamond" w:cs="cmr12"/>
          <w:sz w:val="24"/>
          <w:szCs w:val="24"/>
        </w:rPr>
        <w:t>, and</w:t>
      </w:r>
    </w:p>
    <w:p w14:paraId="3C31C6E9" w14:textId="77777777" w:rsidR="00333E87" w:rsidRPr="004A43EF" w:rsidRDefault="00333E87" w:rsidP="00333E87">
      <w:pPr>
        <w:pStyle w:val="MTDisplayEquation"/>
        <w:contextualSpacing/>
      </w:pPr>
      <w:r w:rsidRPr="004A43EF">
        <w:rPr>
          <w:position w:val="-30"/>
        </w:rPr>
        <w:object w:dxaOrig="8300" w:dyaOrig="680" w14:anchorId="0520E6E6">
          <v:shape id="_x0000_i1032" type="#_x0000_t75" style="width:415.5pt;height:33.75pt" o:ole="">
            <v:imagedata r:id="rId12" o:title=""/>
          </v:shape>
          <o:OLEObject Type="Embed" ProgID="Equation.DSMT4" ShapeID="_x0000_i1032" DrawAspect="Content" ObjectID="_1646728393" r:id="rId21"/>
        </w:object>
      </w:r>
      <w:r w:rsidR="00D3116B" w:rsidRPr="004A43EF">
        <w:t xml:space="preserve"> (Variance Eq.).</w:t>
      </w:r>
    </w:p>
    <w:p w14:paraId="5CA8A0A6" w14:textId="77777777" w:rsidR="00333E87" w:rsidRPr="00F975C1" w:rsidRDefault="00333E87" w:rsidP="00166DF7">
      <w:pPr>
        <w:spacing w:after="0" w:line="240" w:lineRule="auto"/>
        <w:ind w:right="20"/>
        <w:contextualSpacing/>
        <w:jc w:val="both"/>
        <w:rPr>
          <w:rFonts w:ascii="Garamond" w:hAnsi="Garamond"/>
          <w:sz w:val="24"/>
          <w:szCs w:val="24"/>
        </w:rPr>
      </w:pPr>
    </w:p>
    <w:p w14:paraId="29D5B01D" w14:textId="21B09785" w:rsidR="009C1846" w:rsidRDefault="008656C9" w:rsidP="00166DF7">
      <w:pPr>
        <w:spacing w:after="0" w:line="240" w:lineRule="auto"/>
        <w:ind w:right="20"/>
        <w:contextualSpacing/>
        <w:jc w:val="both"/>
        <w:rPr>
          <w:rFonts w:ascii="Garamond" w:hAnsi="Garamond"/>
          <w:sz w:val="24"/>
          <w:szCs w:val="24"/>
        </w:rPr>
      </w:pPr>
      <w:r w:rsidRPr="00F975C1">
        <w:rPr>
          <w:rFonts w:ascii="Garamond" w:hAnsi="Garamond"/>
          <w:sz w:val="24"/>
          <w:szCs w:val="24"/>
        </w:rPr>
        <w:t xml:space="preserve">Unlike time spans analysed in existing literature, </w:t>
      </w:r>
      <w:r w:rsidR="00B50207" w:rsidRPr="00F975C1">
        <w:rPr>
          <w:rFonts w:ascii="Garamond" w:hAnsi="Garamond"/>
          <w:sz w:val="24"/>
          <w:szCs w:val="24"/>
        </w:rPr>
        <w:t xml:space="preserve">we </w:t>
      </w:r>
      <w:r w:rsidRPr="00F975C1">
        <w:rPr>
          <w:rFonts w:ascii="Garamond" w:hAnsi="Garamond"/>
          <w:sz w:val="24"/>
          <w:szCs w:val="24"/>
        </w:rPr>
        <w:t xml:space="preserve">analyse </w:t>
      </w:r>
      <w:r w:rsidR="00B50207" w:rsidRPr="00F975C1">
        <w:rPr>
          <w:rFonts w:ascii="Garamond" w:hAnsi="Garamond"/>
          <w:sz w:val="24"/>
          <w:szCs w:val="24"/>
        </w:rPr>
        <w:t xml:space="preserve">a long span </w:t>
      </w:r>
      <w:r w:rsidRPr="00F975C1">
        <w:rPr>
          <w:rFonts w:ascii="Garamond" w:hAnsi="Garamond"/>
          <w:sz w:val="24"/>
          <w:szCs w:val="24"/>
        </w:rPr>
        <w:t xml:space="preserve">of daily frequency data </w:t>
      </w:r>
      <w:r w:rsidR="00B50207" w:rsidRPr="00F975C1">
        <w:rPr>
          <w:rFonts w:ascii="Garamond" w:hAnsi="Garamond"/>
          <w:sz w:val="24"/>
          <w:szCs w:val="24"/>
        </w:rPr>
        <w:t>(i.e., more than 80 years)</w:t>
      </w:r>
      <w:r w:rsidRPr="00F975C1">
        <w:rPr>
          <w:rFonts w:ascii="Garamond" w:hAnsi="Garamond"/>
          <w:sz w:val="24"/>
          <w:szCs w:val="24"/>
        </w:rPr>
        <w:t>.</w:t>
      </w:r>
      <w:r w:rsidR="00B50207" w:rsidRPr="00F975C1">
        <w:rPr>
          <w:rFonts w:ascii="Garamond" w:hAnsi="Garamond"/>
          <w:sz w:val="24"/>
          <w:szCs w:val="24"/>
        </w:rPr>
        <w:t xml:space="preserve"> </w:t>
      </w:r>
      <w:r w:rsidRPr="00F975C1">
        <w:rPr>
          <w:rFonts w:ascii="Garamond" w:hAnsi="Garamond"/>
          <w:sz w:val="24"/>
          <w:szCs w:val="24"/>
        </w:rPr>
        <w:t xml:space="preserve">It is therefore likely that effects of uncertainty on the financial markets has changed over time. We now </w:t>
      </w:r>
      <w:r w:rsidR="00B50207" w:rsidRPr="00F975C1">
        <w:rPr>
          <w:rFonts w:ascii="Garamond" w:hAnsi="Garamond"/>
          <w:sz w:val="24"/>
          <w:szCs w:val="24"/>
        </w:rPr>
        <w:t>focus on the rolling coefficients (</w:t>
      </w:r>
      <w:r w:rsidR="00B50207" w:rsidRPr="00F975C1">
        <w:rPr>
          <w:rFonts w:ascii="Garamond" w:hAnsi="Garamond"/>
          <w:i/>
          <w:sz w:val="24"/>
          <w:szCs w:val="24"/>
        </w:rPr>
        <w:sym w:font="Symbol" w:char="F06D"/>
      </w:r>
      <w:r w:rsidR="00B50207" w:rsidRPr="00F975C1">
        <w:rPr>
          <w:rFonts w:ascii="Garamond" w:hAnsi="Garamond"/>
          <w:i/>
          <w:sz w:val="24"/>
          <w:szCs w:val="24"/>
          <w:vertAlign w:val="subscript"/>
        </w:rPr>
        <w:t>3</w:t>
      </w:r>
      <w:r w:rsidR="00B50207" w:rsidRPr="00F975C1">
        <w:rPr>
          <w:rFonts w:ascii="Garamond" w:hAnsi="Garamond"/>
          <w:sz w:val="24"/>
          <w:szCs w:val="24"/>
        </w:rPr>
        <w:t xml:space="preserve">, </w:t>
      </w:r>
      <w:r w:rsidR="00B50207" w:rsidRPr="00F975C1">
        <w:rPr>
          <w:rFonts w:ascii="Garamond" w:hAnsi="Garamond"/>
          <w:i/>
          <w:sz w:val="24"/>
          <w:szCs w:val="24"/>
        </w:rPr>
        <w:sym w:font="Symbol" w:char="F06D"/>
      </w:r>
      <w:r w:rsidR="00B50207" w:rsidRPr="00F975C1">
        <w:rPr>
          <w:rFonts w:ascii="Garamond" w:hAnsi="Garamond"/>
          <w:i/>
          <w:sz w:val="24"/>
          <w:szCs w:val="24"/>
          <w:vertAlign w:val="subscript"/>
        </w:rPr>
        <w:t>4</w:t>
      </w:r>
      <w:r w:rsidR="00B50207" w:rsidRPr="00F975C1">
        <w:rPr>
          <w:rFonts w:ascii="Garamond" w:hAnsi="Garamond"/>
          <w:sz w:val="24"/>
          <w:szCs w:val="24"/>
        </w:rPr>
        <w:t xml:space="preserve">, </w:t>
      </w:r>
      <w:r w:rsidR="00B50207" w:rsidRPr="00F975C1">
        <w:rPr>
          <w:rFonts w:ascii="Garamond" w:hAnsi="Garamond"/>
          <w:i/>
          <w:sz w:val="24"/>
          <w:szCs w:val="24"/>
        </w:rPr>
        <w:sym w:font="Symbol" w:char="F071"/>
      </w:r>
      <w:r w:rsidR="00B50207" w:rsidRPr="00F975C1">
        <w:rPr>
          <w:rFonts w:ascii="Garamond" w:hAnsi="Garamond"/>
          <w:i/>
          <w:sz w:val="24"/>
          <w:szCs w:val="24"/>
          <w:vertAlign w:val="subscript"/>
        </w:rPr>
        <w:t>3</w:t>
      </w:r>
      <w:r w:rsidR="00B50207" w:rsidRPr="00F975C1">
        <w:rPr>
          <w:rFonts w:ascii="Garamond" w:hAnsi="Garamond"/>
          <w:sz w:val="24"/>
          <w:szCs w:val="24"/>
        </w:rPr>
        <w:t xml:space="preserve">, and </w:t>
      </w:r>
      <w:r w:rsidR="00B50207" w:rsidRPr="00F975C1">
        <w:rPr>
          <w:rFonts w:ascii="Garamond" w:hAnsi="Garamond"/>
          <w:i/>
          <w:sz w:val="24"/>
          <w:szCs w:val="24"/>
        </w:rPr>
        <w:sym w:font="Symbol" w:char="F071"/>
      </w:r>
      <w:r w:rsidR="00B50207" w:rsidRPr="00F975C1">
        <w:rPr>
          <w:rFonts w:ascii="Garamond" w:hAnsi="Garamond"/>
          <w:i/>
          <w:sz w:val="24"/>
          <w:szCs w:val="24"/>
          <w:vertAlign w:val="subscript"/>
        </w:rPr>
        <w:t>4</w:t>
      </w:r>
      <w:r w:rsidR="00B50207" w:rsidRPr="00F975C1">
        <w:rPr>
          <w:rFonts w:ascii="Garamond" w:hAnsi="Garamond"/>
          <w:sz w:val="24"/>
          <w:szCs w:val="24"/>
        </w:rPr>
        <w:t xml:space="preserve">) of </w:t>
      </w:r>
      <w:proofErr w:type="spellStart"/>
      <w:r w:rsidR="00B50207" w:rsidRPr="00F975C1">
        <w:rPr>
          <w:rFonts w:ascii="Garamond" w:hAnsi="Garamond"/>
          <w:i/>
          <w:sz w:val="24"/>
          <w:szCs w:val="24"/>
        </w:rPr>
        <w:t>unc</w:t>
      </w:r>
      <w:r w:rsidR="00B50207" w:rsidRPr="00F975C1">
        <w:rPr>
          <w:rFonts w:ascii="Garamond" w:hAnsi="Garamond"/>
          <w:i/>
          <w:sz w:val="24"/>
          <w:szCs w:val="24"/>
          <w:vertAlign w:val="superscript"/>
        </w:rPr>
        <w:t>pos</w:t>
      </w:r>
      <w:proofErr w:type="spellEnd"/>
      <w:r w:rsidR="00B50207" w:rsidRPr="00F975C1">
        <w:rPr>
          <w:rFonts w:ascii="Garamond" w:hAnsi="Garamond"/>
          <w:i/>
          <w:sz w:val="24"/>
          <w:szCs w:val="24"/>
          <w:vertAlign w:val="superscript"/>
        </w:rPr>
        <w:t xml:space="preserve"> </w:t>
      </w:r>
      <w:r w:rsidR="00B50207" w:rsidRPr="00F975C1">
        <w:rPr>
          <w:rFonts w:ascii="Garamond" w:hAnsi="Garamond"/>
          <w:sz w:val="24"/>
          <w:szCs w:val="24"/>
        </w:rPr>
        <w:t xml:space="preserve">and </w:t>
      </w:r>
      <w:proofErr w:type="spellStart"/>
      <w:r w:rsidR="00B50207" w:rsidRPr="00F975C1">
        <w:rPr>
          <w:rFonts w:ascii="Garamond" w:hAnsi="Garamond"/>
          <w:i/>
          <w:sz w:val="24"/>
          <w:szCs w:val="24"/>
        </w:rPr>
        <w:t>unc</w:t>
      </w:r>
      <w:r w:rsidR="00B50207" w:rsidRPr="00F975C1">
        <w:rPr>
          <w:rFonts w:ascii="Garamond" w:hAnsi="Garamond"/>
          <w:i/>
          <w:sz w:val="24"/>
          <w:szCs w:val="24"/>
          <w:vertAlign w:val="superscript"/>
        </w:rPr>
        <w:t>neg</w:t>
      </w:r>
      <w:proofErr w:type="spellEnd"/>
      <w:r w:rsidR="00B50207" w:rsidRPr="00F975C1">
        <w:rPr>
          <w:rFonts w:ascii="Garamond" w:hAnsi="Garamond"/>
          <w:sz w:val="24"/>
          <w:szCs w:val="24"/>
        </w:rPr>
        <w:t xml:space="preserve"> in both the returns and volatility equation to capture the time-varying impact of uncertainties. For our purpose, we use a rolling window covering the period of 17</w:t>
      </w:r>
      <w:r w:rsidR="00B50207" w:rsidRPr="00F975C1">
        <w:rPr>
          <w:rFonts w:ascii="Garamond" w:hAnsi="Garamond"/>
          <w:sz w:val="24"/>
          <w:szCs w:val="24"/>
          <w:vertAlign w:val="superscript"/>
        </w:rPr>
        <w:t>th</w:t>
      </w:r>
      <w:r w:rsidR="00B50207" w:rsidRPr="00F975C1">
        <w:rPr>
          <w:rFonts w:ascii="Garamond" w:hAnsi="Garamond"/>
          <w:sz w:val="24"/>
          <w:szCs w:val="24"/>
        </w:rPr>
        <w:t xml:space="preserve"> </w:t>
      </w:r>
      <w:proofErr w:type="gramStart"/>
      <w:r w:rsidR="00B50207" w:rsidRPr="00F975C1">
        <w:rPr>
          <w:rFonts w:ascii="Garamond" w:hAnsi="Garamond"/>
          <w:sz w:val="24"/>
          <w:szCs w:val="24"/>
        </w:rPr>
        <w:t>March,</w:t>
      </w:r>
      <w:proofErr w:type="gramEnd"/>
      <w:r w:rsidR="00B50207" w:rsidRPr="00F975C1">
        <w:rPr>
          <w:rFonts w:ascii="Garamond" w:hAnsi="Garamond"/>
          <w:sz w:val="24"/>
          <w:szCs w:val="24"/>
        </w:rPr>
        <w:t xml:space="preserve"> 1936 till 30</w:t>
      </w:r>
      <w:r w:rsidR="00B50207" w:rsidRPr="00F975C1">
        <w:rPr>
          <w:rFonts w:ascii="Garamond" w:hAnsi="Garamond"/>
          <w:sz w:val="24"/>
          <w:szCs w:val="24"/>
          <w:vertAlign w:val="superscript"/>
        </w:rPr>
        <w:t>th</w:t>
      </w:r>
      <w:r w:rsidR="00B50207" w:rsidRPr="00F975C1">
        <w:rPr>
          <w:rFonts w:ascii="Garamond" w:hAnsi="Garamond"/>
          <w:sz w:val="24"/>
          <w:szCs w:val="24"/>
        </w:rPr>
        <w:t xml:space="preserve"> June, 1954, i.e.,</w:t>
      </w:r>
      <w:r w:rsidR="00EF03CA" w:rsidRPr="00F975C1">
        <w:rPr>
          <w:rFonts w:ascii="Garamond" w:hAnsi="Garamond"/>
          <w:sz w:val="24"/>
          <w:szCs w:val="24"/>
        </w:rPr>
        <w:t xml:space="preserve"> 5267 observations.</w:t>
      </w:r>
      <w:r w:rsidR="00B50207" w:rsidRPr="00F975C1">
        <w:rPr>
          <w:rFonts w:ascii="Garamond" w:hAnsi="Garamond"/>
          <w:sz w:val="24"/>
          <w:szCs w:val="24"/>
        </w:rPr>
        <w:t xml:space="preserve"> The idea is to begin the time-varying estimates of these coefficients from the date on which the effective Federal funds rate data is available, which in turn corresponds to the actual measure o</w:t>
      </w:r>
      <w:r w:rsidR="00EF03CA" w:rsidRPr="00F975C1">
        <w:rPr>
          <w:rFonts w:ascii="Garamond" w:hAnsi="Garamond"/>
          <w:sz w:val="24"/>
          <w:szCs w:val="24"/>
        </w:rPr>
        <w:t>f monetary policy shocks for the U</w:t>
      </w:r>
      <w:r w:rsidR="00DC2264">
        <w:rPr>
          <w:rFonts w:ascii="Garamond" w:hAnsi="Garamond"/>
          <w:sz w:val="24"/>
          <w:szCs w:val="24"/>
        </w:rPr>
        <w:t>.</w:t>
      </w:r>
      <w:r w:rsidR="00EF03CA" w:rsidRPr="00F975C1">
        <w:rPr>
          <w:rFonts w:ascii="Garamond" w:hAnsi="Garamond"/>
          <w:sz w:val="24"/>
          <w:szCs w:val="24"/>
        </w:rPr>
        <w:t>S</w:t>
      </w:r>
      <w:r w:rsidR="00B50207" w:rsidRPr="00F975C1">
        <w:rPr>
          <w:rFonts w:ascii="Garamond" w:hAnsi="Garamond"/>
          <w:sz w:val="24"/>
          <w:szCs w:val="24"/>
        </w:rPr>
        <w:t>.</w:t>
      </w:r>
      <w:r w:rsidR="00EF03CA" w:rsidRPr="00F975C1">
        <w:rPr>
          <w:rStyle w:val="FootnoteReference"/>
          <w:rFonts w:ascii="Garamond" w:hAnsi="Garamond"/>
          <w:sz w:val="24"/>
          <w:szCs w:val="24"/>
        </w:rPr>
        <w:footnoteReference w:id="12"/>
      </w:r>
      <w:r w:rsidR="00DA10AD" w:rsidRPr="00F975C1">
        <w:rPr>
          <w:rFonts w:ascii="Garamond" w:hAnsi="Garamond"/>
          <w:sz w:val="24"/>
          <w:szCs w:val="24"/>
        </w:rPr>
        <w:t xml:space="preserve"> The rolling estimates of the coefficients, along with their 95% confidence bands, are reported in Figure 1. </w:t>
      </w:r>
      <w:r w:rsidR="002005AE" w:rsidRPr="00F975C1">
        <w:rPr>
          <w:rFonts w:ascii="Garamond" w:hAnsi="Garamond"/>
          <w:sz w:val="24"/>
          <w:szCs w:val="24"/>
        </w:rPr>
        <w:t xml:space="preserve">As can be seen, the impact of </w:t>
      </w:r>
      <w:proofErr w:type="gramStart"/>
      <w:r w:rsidR="002005AE" w:rsidRPr="00F975C1">
        <w:rPr>
          <w:rFonts w:ascii="Garamond" w:hAnsi="Garamond"/>
          <w:sz w:val="24"/>
          <w:szCs w:val="24"/>
        </w:rPr>
        <w:t>positive growth</w:t>
      </w:r>
      <w:proofErr w:type="gramEnd"/>
      <w:r w:rsidR="002005AE" w:rsidRPr="00F975C1">
        <w:rPr>
          <w:rFonts w:ascii="Garamond" w:hAnsi="Garamond"/>
          <w:sz w:val="24"/>
          <w:szCs w:val="24"/>
        </w:rPr>
        <w:t xml:space="preserve"> of uncertainty always tends to reduce returns and increase volatility. </w:t>
      </w:r>
      <w:r w:rsidR="00A96460" w:rsidRPr="00F975C1">
        <w:rPr>
          <w:rFonts w:ascii="Garamond" w:hAnsi="Garamond"/>
          <w:sz w:val="24"/>
          <w:szCs w:val="24"/>
        </w:rPr>
        <w:t>as Also,</w:t>
      </w:r>
      <w:r w:rsidR="002005AE" w:rsidRPr="00F975C1">
        <w:rPr>
          <w:rFonts w:ascii="Garamond" w:hAnsi="Garamond"/>
          <w:sz w:val="24"/>
          <w:szCs w:val="24"/>
        </w:rPr>
        <w:t xml:space="preserve"> negative growth rates in uncertainty tend to increase equity returns and reduce volatility, </w:t>
      </w:r>
      <w:r w:rsidR="00290EAF" w:rsidRPr="00F975C1">
        <w:rPr>
          <w:rFonts w:ascii="Garamond" w:hAnsi="Garamond"/>
          <w:sz w:val="24"/>
          <w:szCs w:val="24"/>
        </w:rPr>
        <w:t xml:space="preserve">barring the </w:t>
      </w:r>
      <w:r w:rsidR="002005AE" w:rsidRPr="00F975C1">
        <w:rPr>
          <w:rFonts w:ascii="Garamond" w:hAnsi="Garamond"/>
          <w:sz w:val="24"/>
          <w:szCs w:val="24"/>
        </w:rPr>
        <w:t>1980s</w:t>
      </w:r>
      <w:r w:rsidR="00290EAF" w:rsidRPr="00F975C1">
        <w:rPr>
          <w:rFonts w:ascii="Garamond" w:hAnsi="Garamond"/>
          <w:sz w:val="24"/>
          <w:szCs w:val="24"/>
        </w:rPr>
        <w:t xml:space="preserve"> till mid-1990s</w:t>
      </w:r>
      <w:r w:rsidR="002005AE" w:rsidRPr="00F975C1">
        <w:rPr>
          <w:rFonts w:ascii="Garamond" w:hAnsi="Garamond"/>
          <w:sz w:val="24"/>
          <w:szCs w:val="24"/>
        </w:rPr>
        <w:t xml:space="preserve">, </w:t>
      </w:r>
      <w:r w:rsidR="00290EAF" w:rsidRPr="00F975C1">
        <w:rPr>
          <w:rFonts w:ascii="Garamond" w:hAnsi="Garamond"/>
          <w:sz w:val="24"/>
          <w:szCs w:val="24"/>
        </w:rPr>
        <w:t>when the impact on stock returns is negative in a statistically significant manner, and from late 1980s to early 2000s, when volatility is statistically increased. The decade of 1980 can be associated with</w:t>
      </w:r>
      <w:r w:rsidR="002005AE" w:rsidRPr="00F975C1">
        <w:rPr>
          <w:rFonts w:ascii="Garamond" w:hAnsi="Garamond"/>
          <w:sz w:val="24"/>
          <w:szCs w:val="24"/>
        </w:rPr>
        <w:t xml:space="preserve"> monetary policy uncertainty</w:t>
      </w:r>
      <w:r w:rsidR="00290EAF" w:rsidRPr="00F975C1">
        <w:rPr>
          <w:rFonts w:ascii="Garamond" w:hAnsi="Garamond"/>
          <w:sz w:val="24"/>
          <w:szCs w:val="24"/>
        </w:rPr>
        <w:t xml:space="preserve"> due to</w:t>
      </w:r>
      <w:r w:rsidR="002005AE" w:rsidRPr="00F975C1">
        <w:rPr>
          <w:rFonts w:ascii="Garamond" w:hAnsi="Garamond"/>
          <w:sz w:val="24"/>
          <w:szCs w:val="24"/>
        </w:rPr>
        <w:t xml:space="preserve"> high interest rates </w:t>
      </w:r>
      <w:r w:rsidR="00A96460" w:rsidRPr="00F975C1">
        <w:rPr>
          <w:rFonts w:ascii="Garamond" w:hAnsi="Garamond"/>
          <w:sz w:val="24"/>
          <w:szCs w:val="24"/>
        </w:rPr>
        <w:t>aimed at curbing</w:t>
      </w:r>
      <w:r w:rsidR="002005AE" w:rsidRPr="00F975C1">
        <w:rPr>
          <w:rFonts w:ascii="Garamond" w:hAnsi="Garamond"/>
          <w:sz w:val="24"/>
          <w:szCs w:val="24"/>
        </w:rPr>
        <w:t xml:space="preserve"> double digit inflation</w:t>
      </w:r>
      <w:r w:rsidR="00A96460" w:rsidRPr="00F975C1">
        <w:rPr>
          <w:rFonts w:ascii="Garamond" w:hAnsi="Garamond"/>
          <w:sz w:val="24"/>
          <w:szCs w:val="24"/>
        </w:rPr>
        <w:t xml:space="preserve">. This was </w:t>
      </w:r>
      <w:r w:rsidR="002005AE" w:rsidRPr="00F975C1">
        <w:rPr>
          <w:rFonts w:ascii="Garamond" w:hAnsi="Garamond"/>
          <w:sz w:val="24"/>
          <w:szCs w:val="24"/>
        </w:rPr>
        <w:t xml:space="preserve">also </w:t>
      </w:r>
      <w:r w:rsidR="00A96460" w:rsidRPr="00F975C1">
        <w:rPr>
          <w:rFonts w:ascii="Garamond" w:hAnsi="Garamond"/>
          <w:sz w:val="24"/>
          <w:szCs w:val="24"/>
        </w:rPr>
        <w:t xml:space="preserve">the period that witness </w:t>
      </w:r>
      <w:r w:rsidR="002005AE" w:rsidRPr="00F975C1">
        <w:rPr>
          <w:rFonts w:ascii="Garamond" w:hAnsi="Garamond"/>
          <w:sz w:val="24"/>
          <w:szCs w:val="24"/>
        </w:rPr>
        <w:t>interest rate volatility</w:t>
      </w:r>
      <w:r w:rsidR="00290EAF" w:rsidRPr="00F975C1">
        <w:rPr>
          <w:rFonts w:ascii="Garamond" w:hAnsi="Garamond"/>
          <w:sz w:val="24"/>
          <w:szCs w:val="24"/>
        </w:rPr>
        <w:t xml:space="preserve"> </w:t>
      </w:r>
      <w:r w:rsidR="00290EAF" w:rsidRPr="00F975C1">
        <w:rPr>
          <w:rFonts w:ascii="Garamond" w:hAnsi="Garamond"/>
          <w:sz w:val="24"/>
          <w:szCs w:val="24"/>
        </w:rPr>
        <w:lastRenderedPageBreak/>
        <w:t>(</w:t>
      </w:r>
      <w:r w:rsidR="006B02F7" w:rsidRPr="00F975C1">
        <w:rPr>
          <w:rFonts w:ascii="Garamond" w:hAnsi="Garamond"/>
          <w:sz w:val="24"/>
          <w:szCs w:val="24"/>
        </w:rPr>
        <w:t>Friedman, 1988</w:t>
      </w:r>
      <w:r w:rsidR="00290EAF" w:rsidRPr="00F975C1">
        <w:rPr>
          <w:rFonts w:ascii="Garamond" w:hAnsi="Garamond"/>
          <w:sz w:val="24"/>
          <w:szCs w:val="24"/>
        </w:rPr>
        <w:t>) as well as financial</w:t>
      </w:r>
      <w:r w:rsidR="002005AE" w:rsidRPr="00F975C1">
        <w:rPr>
          <w:rFonts w:ascii="Garamond" w:hAnsi="Garamond"/>
          <w:sz w:val="24"/>
          <w:szCs w:val="24"/>
        </w:rPr>
        <w:t xml:space="preserve"> market liberalization.</w:t>
      </w:r>
      <w:r w:rsidR="00290EAF" w:rsidRPr="00F975C1">
        <w:rPr>
          <w:rFonts w:ascii="Garamond" w:hAnsi="Garamond"/>
          <w:sz w:val="24"/>
          <w:szCs w:val="24"/>
        </w:rPr>
        <w:t xml:space="preserve"> So possibly, even when uncertainty growth was negative, high interest rate and volatility was driving the vu</w:t>
      </w:r>
      <w:r w:rsidR="00ED3619" w:rsidRPr="00F975C1">
        <w:rPr>
          <w:rFonts w:ascii="Garamond" w:hAnsi="Garamond"/>
          <w:sz w:val="24"/>
          <w:szCs w:val="24"/>
        </w:rPr>
        <w:t>lnerability of the stock market during the 1980s</w:t>
      </w:r>
      <w:r w:rsidR="00C65E24" w:rsidRPr="00F975C1">
        <w:rPr>
          <w:rFonts w:ascii="Garamond" w:hAnsi="Garamond"/>
          <w:sz w:val="24"/>
          <w:szCs w:val="24"/>
        </w:rPr>
        <w:t xml:space="preserve"> by outweighing fall</w:t>
      </w:r>
      <w:r w:rsidR="00693663">
        <w:rPr>
          <w:rFonts w:ascii="Garamond" w:hAnsi="Garamond"/>
          <w:sz w:val="24"/>
          <w:szCs w:val="24"/>
        </w:rPr>
        <w:t>s</w:t>
      </w:r>
      <w:r w:rsidR="00C65E24" w:rsidRPr="00F975C1">
        <w:rPr>
          <w:rFonts w:ascii="Garamond" w:hAnsi="Garamond"/>
          <w:sz w:val="24"/>
          <w:szCs w:val="24"/>
        </w:rPr>
        <w:t xml:space="preserve"> in uncertainty growth</w:t>
      </w:r>
      <w:r w:rsidR="00ED3619" w:rsidRPr="00F975C1">
        <w:rPr>
          <w:rFonts w:ascii="Garamond" w:hAnsi="Garamond"/>
          <w:sz w:val="24"/>
          <w:szCs w:val="24"/>
        </w:rPr>
        <w:t xml:space="preserve">. </w:t>
      </w:r>
      <w:r w:rsidR="00A96460" w:rsidRPr="00F975C1">
        <w:rPr>
          <w:rFonts w:ascii="Garamond" w:hAnsi="Garamond"/>
          <w:sz w:val="24"/>
          <w:szCs w:val="24"/>
        </w:rPr>
        <w:t xml:space="preserve">In contrast, </w:t>
      </w:r>
      <w:r w:rsidR="00ED3619" w:rsidRPr="00F975C1">
        <w:rPr>
          <w:rFonts w:ascii="Garamond" w:hAnsi="Garamond"/>
          <w:sz w:val="24"/>
          <w:szCs w:val="24"/>
        </w:rPr>
        <w:t xml:space="preserve">the 1990s period </w:t>
      </w:r>
      <w:r w:rsidR="00A96460" w:rsidRPr="00F975C1">
        <w:rPr>
          <w:rFonts w:ascii="Garamond" w:hAnsi="Garamond"/>
          <w:sz w:val="24"/>
          <w:szCs w:val="24"/>
        </w:rPr>
        <w:t xml:space="preserve">witnessed </w:t>
      </w:r>
      <w:r w:rsidR="00ED3619" w:rsidRPr="00F975C1">
        <w:rPr>
          <w:rFonts w:ascii="Garamond" w:hAnsi="Garamond"/>
          <w:sz w:val="24"/>
          <w:szCs w:val="24"/>
        </w:rPr>
        <w:t>rapid growth in the stock market due to sound monetary policy and technological innovation, which in turn could have led to higher trading volumes and hence volatility</w:t>
      </w:r>
      <w:r w:rsidR="00C65E24" w:rsidRPr="00F975C1">
        <w:rPr>
          <w:rFonts w:ascii="Garamond" w:hAnsi="Garamond"/>
          <w:sz w:val="24"/>
          <w:szCs w:val="24"/>
        </w:rPr>
        <w:t xml:space="preserve"> even when financial market uncertainty was possibly low</w:t>
      </w:r>
      <w:r w:rsidR="00ED3619" w:rsidRPr="00F975C1">
        <w:rPr>
          <w:rFonts w:ascii="Garamond" w:hAnsi="Garamond"/>
          <w:sz w:val="24"/>
          <w:szCs w:val="24"/>
        </w:rPr>
        <w:t>, until the dot com bubble in 2001</w:t>
      </w:r>
      <w:r w:rsidR="00C65E24" w:rsidRPr="00F975C1">
        <w:rPr>
          <w:rFonts w:ascii="Garamond" w:hAnsi="Garamond"/>
          <w:sz w:val="24"/>
          <w:szCs w:val="24"/>
        </w:rPr>
        <w:t xml:space="preserve"> led to a crash of the U</w:t>
      </w:r>
      <w:r w:rsidR="00DC2264">
        <w:rPr>
          <w:rFonts w:ascii="Garamond" w:hAnsi="Garamond"/>
          <w:sz w:val="24"/>
          <w:szCs w:val="24"/>
        </w:rPr>
        <w:t>.</w:t>
      </w:r>
      <w:r w:rsidR="00C65E24" w:rsidRPr="00F975C1">
        <w:rPr>
          <w:rFonts w:ascii="Garamond" w:hAnsi="Garamond"/>
          <w:sz w:val="24"/>
          <w:szCs w:val="24"/>
        </w:rPr>
        <w:t>S</w:t>
      </w:r>
      <w:r w:rsidR="00DC2264">
        <w:rPr>
          <w:rFonts w:ascii="Garamond" w:hAnsi="Garamond"/>
          <w:sz w:val="24"/>
          <w:szCs w:val="24"/>
        </w:rPr>
        <w:t>.</w:t>
      </w:r>
      <w:r w:rsidR="00C65E24" w:rsidRPr="00F975C1">
        <w:rPr>
          <w:rFonts w:ascii="Garamond" w:hAnsi="Garamond"/>
          <w:sz w:val="24"/>
          <w:szCs w:val="24"/>
        </w:rPr>
        <w:t xml:space="preserve"> equity market</w:t>
      </w:r>
      <w:r w:rsidR="00ED3619" w:rsidRPr="00F975C1">
        <w:rPr>
          <w:rFonts w:ascii="Garamond" w:hAnsi="Garamond"/>
          <w:sz w:val="24"/>
          <w:szCs w:val="24"/>
        </w:rPr>
        <w:t xml:space="preserve"> (</w:t>
      </w:r>
      <w:proofErr w:type="spellStart"/>
      <w:r w:rsidR="00ED3619" w:rsidRPr="00F975C1">
        <w:rPr>
          <w:rFonts w:ascii="Garamond" w:hAnsi="Garamond"/>
          <w:sz w:val="24"/>
          <w:szCs w:val="24"/>
        </w:rPr>
        <w:t>Jermann</w:t>
      </w:r>
      <w:proofErr w:type="spellEnd"/>
      <w:r w:rsidR="00ED3619" w:rsidRPr="00F975C1">
        <w:rPr>
          <w:rFonts w:ascii="Garamond" w:hAnsi="Garamond"/>
          <w:sz w:val="24"/>
          <w:szCs w:val="24"/>
        </w:rPr>
        <w:t xml:space="preserve"> and </w:t>
      </w:r>
      <w:proofErr w:type="spellStart"/>
      <w:r w:rsidR="00ED3619" w:rsidRPr="00F975C1">
        <w:rPr>
          <w:rFonts w:ascii="Garamond" w:hAnsi="Garamond"/>
          <w:sz w:val="24"/>
          <w:szCs w:val="24"/>
        </w:rPr>
        <w:t>Quadrini</w:t>
      </w:r>
      <w:proofErr w:type="spellEnd"/>
      <w:r w:rsidR="00ED3619" w:rsidRPr="00F975C1">
        <w:rPr>
          <w:rFonts w:ascii="Garamond" w:hAnsi="Garamond"/>
          <w:sz w:val="24"/>
          <w:szCs w:val="24"/>
        </w:rPr>
        <w:t>, 2006; 2007).</w:t>
      </w:r>
      <w:r w:rsidR="002005AE" w:rsidRPr="00F975C1">
        <w:rPr>
          <w:rFonts w:ascii="Garamond" w:hAnsi="Garamond"/>
          <w:sz w:val="24"/>
          <w:szCs w:val="24"/>
        </w:rPr>
        <w:t xml:space="preserve"> </w:t>
      </w:r>
    </w:p>
    <w:p w14:paraId="4EAA2D45" w14:textId="77777777" w:rsidR="004A43EF" w:rsidRPr="00F975C1" w:rsidRDefault="004A43EF" w:rsidP="00166DF7">
      <w:pPr>
        <w:spacing w:after="0" w:line="240" w:lineRule="auto"/>
        <w:ind w:right="20"/>
        <w:contextualSpacing/>
        <w:jc w:val="both"/>
        <w:rPr>
          <w:rFonts w:ascii="Garamond" w:hAnsi="Garamond"/>
          <w:sz w:val="24"/>
          <w:szCs w:val="24"/>
        </w:rPr>
      </w:pPr>
    </w:p>
    <w:p w14:paraId="05D20E13" w14:textId="77777777" w:rsidR="00595D41" w:rsidRPr="00F975C1" w:rsidRDefault="00595D41" w:rsidP="00166DF7">
      <w:pPr>
        <w:spacing w:after="0" w:line="240" w:lineRule="auto"/>
        <w:ind w:right="20"/>
        <w:contextualSpacing/>
        <w:jc w:val="both"/>
        <w:rPr>
          <w:rFonts w:ascii="Garamond" w:hAnsi="Garamond"/>
          <w:sz w:val="24"/>
          <w:szCs w:val="24"/>
        </w:rPr>
      </w:pPr>
    </w:p>
    <w:p w14:paraId="66729198" w14:textId="77777777" w:rsidR="00595D41" w:rsidRPr="00F975C1" w:rsidRDefault="00595D41" w:rsidP="00166DF7">
      <w:pPr>
        <w:spacing w:after="0" w:line="240" w:lineRule="auto"/>
        <w:ind w:right="20"/>
        <w:contextualSpacing/>
        <w:jc w:val="both"/>
        <w:rPr>
          <w:rFonts w:ascii="Garamond" w:hAnsi="Garamond"/>
          <w:sz w:val="24"/>
          <w:szCs w:val="24"/>
        </w:rPr>
      </w:pPr>
      <w:r w:rsidRPr="00F975C1">
        <w:rPr>
          <w:rFonts w:ascii="Garamond" w:hAnsi="Garamond"/>
          <w:b/>
          <w:sz w:val="24"/>
          <w:szCs w:val="24"/>
        </w:rPr>
        <w:t>Figure 1.</w:t>
      </w:r>
      <w:r w:rsidRPr="00F975C1">
        <w:rPr>
          <w:rFonts w:ascii="Garamond" w:hAnsi="Garamond"/>
          <w:sz w:val="24"/>
          <w:szCs w:val="24"/>
        </w:rPr>
        <w:t xml:space="preserve"> Time Varying Impact of Positive and Negative Uncertainty Growth on Stock Returns and Volatility</w:t>
      </w:r>
    </w:p>
    <w:p w14:paraId="544851E1" w14:textId="77777777" w:rsidR="00595D41" w:rsidRPr="00F975C1" w:rsidRDefault="00595D41" w:rsidP="00166DF7">
      <w:pPr>
        <w:spacing w:after="0" w:line="240" w:lineRule="auto"/>
        <w:ind w:right="20"/>
        <w:contextualSpacing/>
        <w:jc w:val="both"/>
        <w:rPr>
          <w:rFonts w:ascii="Garamond" w:hAnsi="Garamond"/>
          <w:sz w:val="24"/>
          <w:szCs w:val="24"/>
        </w:rPr>
      </w:pPr>
    </w:p>
    <w:p w14:paraId="757A0086" w14:textId="77777777" w:rsidR="00595D41" w:rsidRPr="004A43EF" w:rsidRDefault="00595D41" w:rsidP="00595D41">
      <w:pPr>
        <w:rPr>
          <w:rFonts w:ascii="Garamond" w:hAnsi="Garamond"/>
          <w:sz w:val="24"/>
          <w:szCs w:val="24"/>
        </w:rPr>
      </w:pPr>
      <w:r w:rsidRPr="004A43EF">
        <w:rPr>
          <w:rFonts w:ascii="Garamond" w:hAnsi="Garamond"/>
          <w:noProof/>
          <w:sz w:val="24"/>
          <w:szCs w:val="24"/>
          <w:lang w:eastAsia="en-ZA"/>
        </w:rPr>
        <w:drawing>
          <wp:inline distT="0" distB="0" distL="0" distR="0" wp14:anchorId="5A46BA9A" wp14:editId="667196DC">
            <wp:extent cx="5943600" cy="26708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2670810"/>
                    </a:xfrm>
                    <a:prstGeom prst="rect">
                      <a:avLst/>
                    </a:prstGeom>
                    <a:noFill/>
                    <a:ln>
                      <a:noFill/>
                    </a:ln>
                  </pic:spPr>
                </pic:pic>
              </a:graphicData>
            </a:graphic>
          </wp:inline>
        </w:drawing>
      </w:r>
    </w:p>
    <w:p w14:paraId="64730213" w14:textId="77777777" w:rsidR="00595D41" w:rsidRPr="004A43EF" w:rsidRDefault="00595D41" w:rsidP="00595D41">
      <w:pPr>
        <w:rPr>
          <w:rFonts w:ascii="Garamond" w:hAnsi="Garamond"/>
          <w:sz w:val="24"/>
          <w:szCs w:val="24"/>
        </w:rPr>
      </w:pPr>
      <w:r w:rsidRPr="004A43EF">
        <w:rPr>
          <w:rFonts w:ascii="Garamond" w:hAnsi="Garamond"/>
          <w:noProof/>
          <w:sz w:val="24"/>
          <w:szCs w:val="24"/>
          <w:lang w:eastAsia="en-ZA"/>
        </w:rPr>
        <w:drawing>
          <wp:inline distT="0" distB="0" distL="0" distR="0" wp14:anchorId="2EB56BDC" wp14:editId="00F7AD05">
            <wp:extent cx="5943600" cy="26708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2670810"/>
                    </a:xfrm>
                    <a:prstGeom prst="rect">
                      <a:avLst/>
                    </a:prstGeom>
                    <a:noFill/>
                    <a:ln>
                      <a:noFill/>
                    </a:ln>
                  </pic:spPr>
                </pic:pic>
              </a:graphicData>
            </a:graphic>
          </wp:inline>
        </w:drawing>
      </w:r>
    </w:p>
    <w:p w14:paraId="2B23743C" w14:textId="77777777" w:rsidR="00595D41" w:rsidRPr="004A43EF" w:rsidRDefault="00595D41" w:rsidP="00595D41">
      <w:pPr>
        <w:rPr>
          <w:rFonts w:ascii="Garamond" w:hAnsi="Garamond"/>
          <w:sz w:val="24"/>
          <w:szCs w:val="24"/>
        </w:rPr>
      </w:pPr>
    </w:p>
    <w:p w14:paraId="0A2EF9C4" w14:textId="77777777" w:rsidR="00595D41" w:rsidRPr="004A43EF" w:rsidRDefault="00595D41" w:rsidP="00595D41">
      <w:pPr>
        <w:rPr>
          <w:rFonts w:ascii="Garamond" w:hAnsi="Garamond"/>
          <w:sz w:val="24"/>
          <w:szCs w:val="24"/>
        </w:rPr>
      </w:pPr>
      <w:r w:rsidRPr="004A43EF">
        <w:rPr>
          <w:rFonts w:ascii="Garamond" w:hAnsi="Garamond"/>
          <w:noProof/>
          <w:sz w:val="24"/>
          <w:szCs w:val="24"/>
          <w:lang w:eastAsia="en-ZA"/>
        </w:rPr>
        <w:lastRenderedPageBreak/>
        <w:drawing>
          <wp:inline distT="0" distB="0" distL="0" distR="0" wp14:anchorId="38B540FB" wp14:editId="1C8A9E73">
            <wp:extent cx="5943600" cy="26708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670810"/>
                    </a:xfrm>
                    <a:prstGeom prst="rect">
                      <a:avLst/>
                    </a:prstGeom>
                    <a:noFill/>
                    <a:ln>
                      <a:noFill/>
                    </a:ln>
                  </pic:spPr>
                </pic:pic>
              </a:graphicData>
            </a:graphic>
          </wp:inline>
        </w:drawing>
      </w:r>
      <w:r w:rsidRPr="004A43EF">
        <w:rPr>
          <w:rFonts w:ascii="Garamond" w:hAnsi="Garamond"/>
          <w:noProof/>
          <w:sz w:val="24"/>
          <w:szCs w:val="24"/>
          <w:lang w:eastAsia="en-ZA"/>
        </w:rPr>
        <w:drawing>
          <wp:inline distT="0" distB="0" distL="0" distR="0" wp14:anchorId="0CED68BD" wp14:editId="0AD7CEAA">
            <wp:extent cx="5943600" cy="26708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670810"/>
                    </a:xfrm>
                    <a:prstGeom prst="rect">
                      <a:avLst/>
                    </a:prstGeom>
                    <a:noFill/>
                    <a:ln>
                      <a:noFill/>
                    </a:ln>
                  </pic:spPr>
                </pic:pic>
              </a:graphicData>
            </a:graphic>
          </wp:inline>
        </w:drawing>
      </w:r>
    </w:p>
    <w:p w14:paraId="4730911F" w14:textId="77777777" w:rsidR="009C1846" w:rsidRPr="00F975C1" w:rsidRDefault="009C1846" w:rsidP="00166DF7">
      <w:pPr>
        <w:spacing w:after="0" w:line="240" w:lineRule="auto"/>
        <w:ind w:right="20"/>
        <w:contextualSpacing/>
        <w:jc w:val="both"/>
        <w:rPr>
          <w:rFonts w:ascii="Garamond" w:hAnsi="Garamond"/>
          <w:sz w:val="24"/>
          <w:szCs w:val="24"/>
        </w:rPr>
      </w:pPr>
    </w:p>
    <w:p w14:paraId="2D3C1F97" w14:textId="77777777" w:rsidR="009C1846" w:rsidRPr="00F975C1" w:rsidRDefault="009C1846" w:rsidP="009C1846">
      <w:pPr>
        <w:pStyle w:val="ListParagraph"/>
        <w:numPr>
          <w:ilvl w:val="0"/>
          <w:numId w:val="1"/>
        </w:numPr>
        <w:spacing w:after="0" w:line="240" w:lineRule="auto"/>
        <w:ind w:right="20"/>
        <w:jc w:val="both"/>
        <w:rPr>
          <w:rFonts w:ascii="Garamond" w:hAnsi="Garamond"/>
          <w:b/>
          <w:sz w:val="24"/>
          <w:szCs w:val="24"/>
        </w:rPr>
      </w:pPr>
      <w:r w:rsidRPr="00F975C1">
        <w:rPr>
          <w:rFonts w:ascii="Garamond" w:hAnsi="Garamond"/>
          <w:b/>
          <w:sz w:val="24"/>
          <w:szCs w:val="24"/>
        </w:rPr>
        <w:t>Conclusion</w:t>
      </w:r>
    </w:p>
    <w:p w14:paraId="7694A8B6" w14:textId="1B802A5F" w:rsidR="009C1846" w:rsidRPr="00F975C1" w:rsidRDefault="001C0184" w:rsidP="001C0184">
      <w:pPr>
        <w:spacing w:after="0" w:line="240" w:lineRule="auto"/>
        <w:ind w:right="20"/>
        <w:contextualSpacing/>
        <w:jc w:val="both"/>
        <w:rPr>
          <w:rFonts w:ascii="Garamond" w:hAnsi="Garamond"/>
          <w:sz w:val="24"/>
          <w:szCs w:val="24"/>
        </w:rPr>
      </w:pPr>
      <w:r w:rsidRPr="00F975C1">
        <w:rPr>
          <w:rFonts w:ascii="Garamond" w:hAnsi="Garamond"/>
          <w:sz w:val="24"/>
          <w:szCs w:val="24"/>
        </w:rPr>
        <w:t>In this paper, we analyse the impact of financial uncertainty shocks on stock returns and volatility of the U</w:t>
      </w:r>
      <w:r w:rsidR="00DC2264">
        <w:rPr>
          <w:rFonts w:ascii="Garamond" w:hAnsi="Garamond"/>
          <w:sz w:val="24"/>
          <w:szCs w:val="24"/>
        </w:rPr>
        <w:t>.</w:t>
      </w:r>
      <w:r w:rsidRPr="00F975C1">
        <w:rPr>
          <w:rFonts w:ascii="Garamond" w:hAnsi="Garamond"/>
          <w:sz w:val="24"/>
          <w:szCs w:val="24"/>
        </w:rPr>
        <w:t>S</w:t>
      </w:r>
      <w:r w:rsidR="00DC2264">
        <w:rPr>
          <w:rFonts w:ascii="Garamond" w:hAnsi="Garamond"/>
          <w:sz w:val="24"/>
          <w:szCs w:val="24"/>
        </w:rPr>
        <w:t>.</w:t>
      </w:r>
      <w:r w:rsidRPr="00F975C1">
        <w:rPr>
          <w:rFonts w:ascii="Garamond" w:hAnsi="Garamond"/>
          <w:sz w:val="24"/>
          <w:szCs w:val="24"/>
        </w:rPr>
        <w:t xml:space="preserve"> equity market over the period of 18</w:t>
      </w:r>
      <w:r w:rsidRPr="00F975C1">
        <w:rPr>
          <w:rFonts w:ascii="Garamond" w:hAnsi="Garamond"/>
          <w:sz w:val="24"/>
          <w:szCs w:val="24"/>
          <w:vertAlign w:val="superscript"/>
        </w:rPr>
        <w:t>th</w:t>
      </w:r>
      <w:r w:rsidRPr="00F975C1">
        <w:rPr>
          <w:rFonts w:ascii="Garamond" w:hAnsi="Garamond"/>
          <w:sz w:val="24"/>
          <w:szCs w:val="24"/>
        </w:rPr>
        <w:t xml:space="preserve"> </w:t>
      </w:r>
      <w:proofErr w:type="gramStart"/>
      <w:r w:rsidRPr="00F975C1">
        <w:rPr>
          <w:rFonts w:ascii="Garamond" w:hAnsi="Garamond"/>
          <w:sz w:val="24"/>
          <w:szCs w:val="24"/>
        </w:rPr>
        <w:t>March,</w:t>
      </w:r>
      <w:proofErr w:type="gramEnd"/>
      <w:r w:rsidRPr="00F975C1">
        <w:rPr>
          <w:rFonts w:ascii="Garamond" w:hAnsi="Garamond"/>
          <w:sz w:val="24"/>
          <w:szCs w:val="24"/>
        </w:rPr>
        <w:t xml:space="preserve"> 1936 to 30</w:t>
      </w:r>
      <w:r w:rsidRPr="00F975C1">
        <w:rPr>
          <w:rFonts w:ascii="Garamond" w:hAnsi="Garamond"/>
          <w:sz w:val="24"/>
          <w:szCs w:val="24"/>
          <w:vertAlign w:val="superscript"/>
        </w:rPr>
        <w:t>th</w:t>
      </w:r>
      <w:r w:rsidRPr="00F975C1">
        <w:rPr>
          <w:rFonts w:ascii="Garamond" w:hAnsi="Garamond"/>
          <w:sz w:val="24"/>
          <w:szCs w:val="24"/>
        </w:rPr>
        <w:t xml:space="preserve"> November, 2016</w:t>
      </w:r>
      <w:r w:rsidR="00F90590" w:rsidRPr="00F975C1">
        <w:rPr>
          <w:rFonts w:ascii="Garamond" w:hAnsi="Garamond"/>
          <w:sz w:val="24"/>
          <w:szCs w:val="24"/>
        </w:rPr>
        <w:t xml:space="preserve">. Controlling </w:t>
      </w:r>
      <w:r w:rsidRPr="00F975C1">
        <w:rPr>
          <w:rFonts w:ascii="Garamond" w:hAnsi="Garamond"/>
          <w:sz w:val="24"/>
          <w:szCs w:val="24"/>
        </w:rPr>
        <w:t>for impact of monetary policy shocks and recessions</w:t>
      </w:r>
      <w:r w:rsidR="00F90590" w:rsidRPr="00F975C1">
        <w:rPr>
          <w:rFonts w:ascii="Garamond" w:hAnsi="Garamond"/>
          <w:sz w:val="24"/>
          <w:szCs w:val="24"/>
        </w:rPr>
        <w:t>, we consider the possible asymmetries in the impact of uncertainty shocks</w:t>
      </w:r>
      <w:r w:rsidRPr="00F975C1">
        <w:rPr>
          <w:rFonts w:ascii="Garamond" w:hAnsi="Garamond"/>
          <w:sz w:val="24"/>
          <w:szCs w:val="24"/>
        </w:rPr>
        <w:t>.</w:t>
      </w:r>
      <w:r w:rsidR="00517F22" w:rsidRPr="00F975C1">
        <w:rPr>
          <w:rFonts w:ascii="Garamond" w:hAnsi="Garamond"/>
          <w:sz w:val="24"/>
          <w:szCs w:val="24"/>
        </w:rPr>
        <w:t xml:space="preserve"> We find that expansionary monetary policy and recessions </w:t>
      </w:r>
      <w:r w:rsidR="00F90590" w:rsidRPr="00F975C1">
        <w:rPr>
          <w:rFonts w:ascii="Garamond" w:hAnsi="Garamond"/>
          <w:sz w:val="24"/>
          <w:szCs w:val="24"/>
        </w:rPr>
        <w:t xml:space="preserve">increase </w:t>
      </w:r>
      <w:r w:rsidR="00517F22" w:rsidRPr="00F975C1">
        <w:rPr>
          <w:rFonts w:ascii="Garamond" w:hAnsi="Garamond"/>
          <w:sz w:val="24"/>
          <w:szCs w:val="24"/>
        </w:rPr>
        <w:t xml:space="preserve">volatility, while contractionary shocks </w:t>
      </w:r>
      <w:r w:rsidR="00A96460" w:rsidRPr="00F975C1">
        <w:rPr>
          <w:rFonts w:ascii="Garamond" w:hAnsi="Garamond"/>
          <w:sz w:val="24"/>
          <w:szCs w:val="24"/>
        </w:rPr>
        <w:t>reduce</w:t>
      </w:r>
      <w:r w:rsidR="00517F22" w:rsidRPr="00F975C1">
        <w:rPr>
          <w:rFonts w:ascii="Garamond" w:hAnsi="Garamond"/>
          <w:sz w:val="24"/>
          <w:szCs w:val="24"/>
        </w:rPr>
        <w:t xml:space="preserve"> stock returns.</w:t>
      </w:r>
      <w:r w:rsidRPr="00F975C1">
        <w:rPr>
          <w:rFonts w:ascii="Garamond" w:hAnsi="Garamond"/>
          <w:sz w:val="24"/>
          <w:szCs w:val="24"/>
        </w:rPr>
        <w:t xml:space="preserve"> </w:t>
      </w:r>
      <w:r w:rsidR="00517F22" w:rsidRPr="00F975C1">
        <w:rPr>
          <w:rFonts w:ascii="Garamond" w:hAnsi="Garamond"/>
          <w:sz w:val="24"/>
          <w:szCs w:val="24"/>
        </w:rPr>
        <w:t xml:space="preserve">In addition, turning to the </w:t>
      </w:r>
      <w:proofErr w:type="gramStart"/>
      <w:r w:rsidR="00517F22" w:rsidRPr="00F975C1">
        <w:rPr>
          <w:rFonts w:ascii="Garamond" w:hAnsi="Garamond"/>
          <w:sz w:val="24"/>
          <w:szCs w:val="24"/>
        </w:rPr>
        <w:t>main focus</w:t>
      </w:r>
      <w:proofErr w:type="gramEnd"/>
      <w:r w:rsidR="00517F22" w:rsidRPr="00F975C1">
        <w:rPr>
          <w:rFonts w:ascii="Garamond" w:hAnsi="Garamond"/>
          <w:sz w:val="24"/>
          <w:szCs w:val="24"/>
        </w:rPr>
        <w:t xml:space="preserve"> of the paper,</w:t>
      </w:r>
      <w:r w:rsidRPr="00F975C1">
        <w:rPr>
          <w:rFonts w:ascii="Garamond" w:hAnsi="Garamond"/>
          <w:sz w:val="24"/>
          <w:szCs w:val="24"/>
        </w:rPr>
        <w:t xml:space="preserve"> </w:t>
      </w:r>
      <w:r w:rsidR="00517F22" w:rsidRPr="00F975C1">
        <w:rPr>
          <w:rFonts w:ascii="Garamond" w:hAnsi="Garamond"/>
          <w:sz w:val="24"/>
          <w:szCs w:val="24"/>
        </w:rPr>
        <w:t>we observe</w:t>
      </w:r>
      <w:r w:rsidRPr="00F975C1">
        <w:rPr>
          <w:rFonts w:ascii="Garamond" w:hAnsi="Garamond"/>
          <w:sz w:val="24"/>
          <w:szCs w:val="24"/>
        </w:rPr>
        <w:t xml:space="preserve"> that positive growth rates of uncertainty </w:t>
      </w:r>
      <w:r w:rsidR="00A96460" w:rsidRPr="00F975C1">
        <w:rPr>
          <w:rFonts w:ascii="Garamond" w:hAnsi="Garamond"/>
          <w:sz w:val="24"/>
          <w:szCs w:val="24"/>
        </w:rPr>
        <w:t>reduce</w:t>
      </w:r>
      <w:r w:rsidRPr="00F975C1">
        <w:rPr>
          <w:rFonts w:ascii="Garamond" w:hAnsi="Garamond"/>
          <w:sz w:val="24"/>
          <w:szCs w:val="24"/>
        </w:rPr>
        <w:t xml:space="preserve"> stock returns and increases volatility, while negative growth rates of uncertainty primarily </w:t>
      </w:r>
      <w:r w:rsidR="00A96460" w:rsidRPr="00F975C1">
        <w:rPr>
          <w:rFonts w:ascii="Garamond" w:hAnsi="Garamond"/>
          <w:sz w:val="24"/>
          <w:szCs w:val="24"/>
        </w:rPr>
        <w:t>reduce</w:t>
      </w:r>
      <w:r w:rsidRPr="00F975C1">
        <w:rPr>
          <w:rFonts w:ascii="Garamond" w:hAnsi="Garamond"/>
          <w:sz w:val="24"/>
          <w:szCs w:val="24"/>
        </w:rPr>
        <w:t xml:space="preserve"> stock market variance. A rolling window estimation over the period of 30</w:t>
      </w:r>
      <w:r w:rsidRPr="00F975C1">
        <w:rPr>
          <w:rFonts w:ascii="Garamond" w:hAnsi="Garamond"/>
          <w:sz w:val="24"/>
          <w:szCs w:val="24"/>
          <w:vertAlign w:val="superscript"/>
        </w:rPr>
        <w:t>th</w:t>
      </w:r>
      <w:r w:rsidRPr="00F975C1">
        <w:rPr>
          <w:rFonts w:ascii="Garamond" w:hAnsi="Garamond"/>
          <w:sz w:val="24"/>
          <w:szCs w:val="24"/>
        </w:rPr>
        <w:t xml:space="preserve"> </w:t>
      </w:r>
      <w:proofErr w:type="gramStart"/>
      <w:r w:rsidRPr="00F975C1">
        <w:rPr>
          <w:rFonts w:ascii="Garamond" w:hAnsi="Garamond"/>
          <w:sz w:val="24"/>
          <w:szCs w:val="24"/>
        </w:rPr>
        <w:t>June,</w:t>
      </w:r>
      <w:proofErr w:type="gramEnd"/>
      <w:r w:rsidRPr="00F975C1">
        <w:rPr>
          <w:rFonts w:ascii="Garamond" w:hAnsi="Garamond"/>
          <w:sz w:val="24"/>
          <w:szCs w:val="24"/>
        </w:rPr>
        <w:t xml:space="preserve"> 1954 to 30</w:t>
      </w:r>
      <w:r w:rsidRPr="00F975C1">
        <w:rPr>
          <w:rFonts w:ascii="Garamond" w:hAnsi="Garamond"/>
          <w:sz w:val="24"/>
          <w:szCs w:val="24"/>
          <w:vertAlign w:val="superscript"/>
        </w:rPr>
        <w:t>th</w:t>
      </w:r>
      <w:r w:rsidRPr="00F975C1">
        <w:rPr>
          <w:rFonts w:ascii="Garamond" w:hAnsi="Garamond"/>
          <w:sz w:val="24"/>
          <w:szCs w:val="24"/>
        </w:rPr>
        <w:t xml:space="preserve"> November, 2016</w:t>
      </w:r>
      <w:r w:rsidR="00D37219" w:rsidRPr="00F975C1">
        <w:rPr>
          <w:rFonts w:ascii="Garamond" w:hAnsi="Garamond"/>
          <w:sz w:val="24"/>
          <w:szCs w:val="24"/>
        </w:rPr>
        <w:t xml:space="preserve"> clearly show that the magnitude of </w:t>
      </w:r>
      <w:r w:rsidR="000B4806" w:rsidRPr="00F975C1">
        <w:rPr>
          <w:rFonts w:ascii="Garamond" w:hAnsi="Garamond"/>
          <w:sz w:val="24"/>
          <w:szCs w:val="24"/>
        </w:rPr>
        <w:t>financial market’s response to uncertainty shocks</w:t>
      </w:r>
      <w:r w:rsidR="00D37219" w:rsidRPr="00F975C1">
        <w:rPr>
          <w:rFonts w:ascii="Garamond" w:hAnsi="Garamond"/>
          <w:sz w:val="24"/>
          <w:szCs w:val="24"/>
        </w:rPr>
        <w:t xml:space="preserve"> has greatly </w:t>
      </w:r>
      <w:r w:rsidR="000B4806" w:rsidRPr="00F975C1">
        <w:rPr>
          <w:rFonts w:ascii="Garamond" w:hAnsi="Garamond"/>
          <w:sz w:val="24"/>
          <w:szCs w:val="24"/>
        </w:rPr>
        <w:t>varied over the</w:t>
      </w:r>
      <w:r w:rsidR="00D37219" w:rsidRPr="00F975C1">
        <w:rPr>
          <w:rFonts w:ascii="Garamond" w:hAnsi="Garamond"/>
          <w:sz w:val="24"/>
          <w:szCs w:val="24"/>
        </w:rPr>
        <w:t xml:space="preserve"> last eight </w:t>
      </w:r>
      <w:r w:rsidR="000B4806" w:rsidRPr="00F975C1">
        <w:rPr>
          <w:rFonts w:ascii="Garamond" w:hAnsi="Garamond"/>
          <w:sz w:val="24"/>
          <w:szCs w:val="24"/>
        </w:rPr>
        <w:t>decades</w:t>
      </w:r>
      <w:r w:rsidR="00D37219" w:rsidRPr="00F975C1">
        <w:rPr>
          <w:rFonts w:ascii="Garamond" w:hAnsi="Garamond"/>
          <w:sz w:val="24"/>
          <w:szCs w:val="24"/>
        </w:rPr>
        <w:t>. However, the direction of impact is largely in conformity with the static case</w:t>
      </w:r>
      <w:r w:rsidRPr="00F975C1">
        <w:rPr>
          <w:rFonts w:ascii="Garamond" w:hAnsi="Garamond"/>
          <w:sz w:val="24"/>
          <w:szCs w:val="24"/>
        </w:rPr>
        <w:t>,</w:t>
      </w:r>
      <w:r w:rsidR="006B02F7" w:rsidRPr="00F975C1">
        <w:rPr>
          <w:rFonts w:ascii="Garamond" w:hAnsi="Garamond"/>
          <w:sz w:val="24"/>
          <w:szCs w:val="24"/>
        </w:rPr>
        <w:t xml:space="preserve"> with some exceptions associated with negative growth rates of uncertainty for the decades of 1980s and 1990s</w:t>
      </w:r>
      <w:r w:rsidRPr="00F975C1">
        <w:rPr>
          <w:rFonts w:ascii="Garamond" w:hAnsi="Garamond"/>
          <w:sz w:val="24"/>
          <w:szCs w:val="24"/>
        </w:rPr>
        <w:t>. Our study essentially confirms that financial market uncertainty</w:t>
      </w:r>
      <w:r w:rsidR="00517F22" w:rsidRPr="00F975C1">
        <w:rPr>
          <w:rFonts w:ascii="Garamond" w:hAnsi="Garamond"/>
          <w:sz w:val="24"/>
          <w:szCs w:val="24"/>
        </w:rPr>
        <w:t xml:space="preserve"> has historically</w:t>
      </w:r>
      <w:r w:rsidRPr="00F975C1">
        <w:rPr>
          <w:rFonts w:ascii="Garamond" w:hAnsi="Garamond"/>
          <w:sz w:val="24"/>
          <w:szCs w:val="24"/>
        </w:rPr>
        <w:t xml:space="preserve"> </w:t>
      </w:r>
      <w:r w:rsidR="00517F22" w:rsidRPr="00F975C1">
        <w:rPr>
          <w:rFonts w:ascii="Garamond" w:hAnsi="Garamond"/>
          <w:sz w:val="24"/>
          <w:szCs w:val="24"/>
        </w:rPr>
        <w:t>impacted</w:t>
      </w:r>
      <w:r w:rsidRPr="00F975C1">
        <w:rPr>
          <w:rFonts w:ascii="Garamond" w:hAnsi="Garamond"/>
          <w:sz w:val="24"/>
          <w:szCs w:val="24"/>
        </w:rPr>
        <w:t xml:space="preserve"> the risk profile of the </w:t>
      </w:r>
      <w:r w:rsidR="00517F22" w:rsidRPr="00F975C1">
        <w:rPr>
          <w:rFonts w:ascii="Garamond" w:hAnsi="Garamond"/>
          <w:sz w:val="24"/>
          <w:szCs w:val="24"/>
        </w:rPr>
        <w:t>U</w:t>
      </w:r>
      <w:r w:rsidR="00DC2264">
        <w:rPr>
          <w:rFonts w:ascii="Garamond" w:hAnsi="Garamond"/>
          <w:sz w:val="24"/>
          <w:szCs w:val="24"/>
        </w:rPr>
        <w:t>.</w:t>
      </w:r>
      <w:r w:rsidR="00517F22" w:rsidRPr="00F975C1">
        <w:rPr>
          <w:rFonts w:ascii="Garamond" w:hAnsi="Garamond"/>
          <w:sz w:val="24"/>
          <w:szCs w:val="24"/>
        </w:rPr>
        <w:t>S</w:t>
      </w:r>
      <w:r w:rsidR="00DC2264">
        <w:rPr>
          <w:rFonts w:ascii="Garamond" w:hAnsi="Garamond"/>
          <w:sz w:val="24"/>
          <w:szCs w:val="24"/>
        </w:rPr>
        <w:t>.</w:t>
      </w:r>
      <w:r w:rsidR="00517F22" w:rsidRPr="00F975C1">
        <w:rPr>
          <w:rFonts w:ascii="Garamond" w:hAnsi="Garamond"/>
          <w:sz w:val="24"/>
          <w:szCs w:val="24"/>
        </w:rPr>
        <w:t xml:space="preserve"> </w:t>
      </w:r>
      <w:r w:rsidRPr="00F975C1">
        <w:rPr>
          <w:rFonts w:ascii="Garamond" w:hAnsi="Garamond"/>
          <w:sz w:val="24"/>
          <w:szCs w:val="24"/>
        </w:rPr>
        <w:t>equity market</w:t>
      </w:r>
      <w:r w:rsidR="00517F22" w:rsidRPr="00F975C1">
        <w:rPr>
          <w:rFonts w:ascii="Garamond" w:hAnsi="Garamond"/>
          <w:sz w:val="24"/>
          <w:szCs w:val="24"/>
        </w:rPr>
        <w:t>, with increases in uncertainty having a stronger impact than decreases of the same.</w:t>
      </w:r>
    </w:p>
    <w:p w14:paraId="40194B8C" w14:textId="77777777" w:rsidR="009C1846" w:rsidRPr="00F975C1" w:rsidRDefault="009C1846" w:rsidP="00166DF7">
      <w:pPr>
        <w:spacing w:after="0" w:line="240" w:lineRule="auto"/>
        <w:ind w:right="20"/>
        <w:contextualSpacing/>
        <w:jc w:val="both"/>
        <w:rPr>
          <w:rFonts w:ascii="Garamond" w:hAnsi="Garamond"/>
          <w:sz w:val="24"/>
          <w:szCs w:val="24"/>
        </w:rPr>
      </w:pPr>
    </w:p>
    <w:p w14:paraId="25741666" w14:textId="77777777" w:rsidR="009C1846" w:rsidRPr="00F975C1" w:rsidRDefault="009C1846" w:rsidP="00166DF7">
      <w:pPr>
        <w:spacing w:after="0" w:line="240" w:lineRule="auto"/>
        <w:ind w:right="20"/>
        <w:contextualSpacing/>
        <w:jc w:val="both"/>
        <w:rPr>
          <w:rFonts w:ascii="Garamond" w:hAnsi="Garamond"/>
          <w:sz w:val="24"/>
          <w:szCs w:val="24"/>
        </w:rPr>
      </w:pPr>
    </w:p>
    <w:p w14:paraId="30FA3AE7" w14:textId="77777777" w:rsidR="00693663" w:rsidRDefault="00693663">
      <w:pPr>
        <w:rPr>
          <w:rFonts w:ascii="Garamond" w:hAnsi="Garamond"/>
          <w:b/>
          <w:sz w:val="24"/>
          <w:szCs w:val="24"/>
        </w:rPr>
      </w:pPr>
      <w:r>
        <w:rPr>
          <w:rFonts w:ascii="Garamond" w:hAnsi="Garamond"/>
          <w:b/>
          <w:sz w:val="24"/>
          <w:szCs w:val="24"/>
        </w:rPr>
        <w:br w:type="page"/>
      </w:r>
    </w:p>
    <w:p w14:paraId="718C070A" w14:textId="3DBA5922" w:rsidR="009C1846" w:rsidRPr="00F975C1" w:rsidRDefault="009C1846" w:rsidP="00166DF7">
      <w:pPr>
        <w:spacing w:after="0" w:line="240" w:lineRule="auto"/>
        <w:ind w:right="20"/>
        <w:contextualSpacing/>
        <w:jc w:val="both"/>
        <w:rPr>
          <w:rFonts w:ascii="Garamond" w:hAnsi="Garamond"/>
          <w:b/>
          <w:sz w:val="24"/>
          <w:szCs w:val="24"/>
        </w:rPr>
      </w:pPr>
      <w:r w:rsidRPr="00F975C1">
        <w:rPr>
          <w:rFonts w:ascii="Garamond" w:hAnsi="Garamond"/>
          <w:b/>
          <w:sz w:val="24"/>
          <w:szCs w:val="24"/>
        </w:rPr>
        <w:lastRenderedPageBreak/>
        <w:t>References</w:t>
      </w:r>
    </w:p>
    <w:p w14:paraId="23F70F7C" w14:textId="77777777" w:rsidR="009C1846" w:rsidRPr="00F975C1" w:rsidRDefault="009C1846" w:rsidP="00166DF7">
      <w:pPr>
        <w:spacing w:after="0" w:line="240" w:lineRule="auto"/>
        <w:ind w:right="20"/>
        <w:contextualSpacing/>
        <w:jc w:val="both"/>
        <w:rPr>
          <w:rFonts w:ascii="Garamond" w:hAnsi="Garamond"/>
          <w:sz w:val="24"/>
          <w:szCs w:val="24"/>
        </w:rPr>
      </w:pPr>
    </w:p>
    <w:p w14:paraId="5819BD78" w14:textId="0821D488" w:rsidR="009C1846"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Arouri</w:t>
      </w:r>
      <w:proofErr w:type="spellEnd"/>
      <w:r w:rsidRPr="00F975C1">
        <w:rPr>
          <w:rFonts w:ascii="Garamond" w:hAnsi="Garamond"/>
          <w:sz w:val="24"/>
          <w:szCs w:val="24"/>
        </w:rPr>
        <w:t xml:space="preserve">, M., </w:t>
      </w:r>
      <w:proofErr w:type="spellStart"/>
      <w:r w:rsidRPr="00F975C1">
        <w:rPr>
          <w:rFonts w:ascii="Garamond" w:hAnsi="Garamond"/>
          <w:sz w:val="24"/>
          <w:szCs w:val="24"/>
        </w:rPr>
        <w:t>Estay</w:t>
      </w:r>
      <w:proofErr w:type="spellEnd"/>
      <w:r w:rsidRPr="00F975C1">
        <w:rPr>
          <w:rFonts w:ascii="Garamond" w:hAnsi="Garamond"/>
          <w:sz w:val="24"/>
          <w:szCs w:val="24"/>
        </w:rPr>
        <w:t xml:space="preserve">, C., </w:t>
      </w:r>
      <w:proofErr w:type="spellStart"/>
      <w:r w:rsidRPr="00F975C1">
        <w:rPr>
          <w:rFonts w:ascii="Garamond" w:hAnsi="Garamond"/>
          <w:sz w:val="24"/>
          <w:szCs w:val="24"/>
        </w:rPr>
        <w:t>Rault</w:t>
      </w:r>
      <w:proofErr w:type="spellEnd"/>
      <w:r w:rsidRPr="00F975C1">
        <w:rPr>
          <w:rFonts w:ascii="Garamond" w:hAnsi="Garamond"/>
          <w:sz w:val="24"/>
          <w:szCs w:val="24"/>
        </w:rPr>
        <w:t xml:space="preserve">, C., and </w:t>
      </w:r>
      <w:proofErr w:type="spellStart"/>
      <w:r w:rsidRPr="00F975C1">
        <w:rPr>
          <w:rFonts w:ascii="Garamond" w:hAnsi="Garamond"/>
          <w:sz w:val="24"/>
          <w:szCs w:val="24"/>
        </w:rPr>
        <w:t>Roubaud</w:t>
      </w:r>
      <w:proofErr w:type="spellEnd"/>
      <w:r w:rsidRPr="00F975C1">
        <w:rPr>
          <w:rFonts w:ascii="Garamond" w:hAnsi="Garamond"/>
          <w:sz w:val="24"/>
          <w:szCs w:val="24"/>
        </w:rPr>
        <w:t xml:space="preserve">, D. (2016). Economic policy uncertainty and stock </w:t>
      </w:r>
    </w:p>
    <w:p w14:paraId="0E5EFF94" w14:textId="566BB73E" w:rsidR="00693663" w:rsidRPr="0040143F" w:rsidRDefault="00DC2264" w:rsidP="00DC2264">
      <w:pPr>
        <w:spacing w:after="0" w:line="240" w:lineRule="auto"/>
        <w:ind w:left="720" w:hanging="720"/>
        <w:contextualSpacing/>
        <w:jc w:val="both"/>
        <w:rPr>
          <w:rFonts w:ascii="Garamond" w:hAnsi="Garamond"/>
          <w:sz w:val="24"/>
          <w:szCs w:val="24"/>
        </w:rPr>
      </w:pPr>
      <w:r>
        <w:rPr>
          <w:rFonts w:ascii="Garamond" w:hAnsi="Garamond"/>
          <w:sz w:val="24"/>
          <w:szCs w:val="24"/>
        </w:rPr>
        <w:tab/>
      </w:r>
      <w:r w:rsidR="00693663" w:rsidRPr="0040143F">
        <w:rPr>
          <w:rFonts w:ascii="Garamond" w:hAnsi="Garamond"/>
          <w:sz w:val="24"/>
          <w:szCs w:val="24"/>
        </w:rPr>
        <w:t xml:space="preserve">markets: Long-run evidence from the US? </w:t>
      </w:r>
      <w:r w:rsidR="00693663" w:rsidRPr="004A43EF">
        <w:rPr>
          <w:rFonts w:ascii="Garamond" w:hAnsi="Garamond"/>
          <w:i/>
          <w:iCs/>
          <w:sz w:val="24"/>
          <w:szCs w:val="24"/>
        </w:rPr>
        <w:t>Finance Research Letters</w:t>
      </w:r>
      <w:r w:rsidR="00693663" w:rsidRPr="0040143F">
        <w:rPr>
          <w:rFonts w:ascii="Garamond" w:hAnsi="Garamond"/>
          <w:sz w:val="24"/>
          <w:szCs w:val="24"/>
        </w:rPr>
        <w:t>, 18, 136-141.</w:t>
      </w:r>
    </w:p>
    <w:p w14:paraId="0A44BDA0" w14:textId="23C6D36B" w:rsidR="00693663" w:rsidRPr="00F975C1"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Atanasov</w:t>
      </w:r>
      <w:proofErr w:type="spellEnd"/>
      <w:r w:rsidRPr="00F975C1">
        <w:rPr>
          <w:rFonts w:ascii="Garamond" w:hAnsi="Garamond"/>
          <w:sz w:val="24"/>
          <w:szCs w:val="24"/>
        </w:rPr>
        <w:t xml:space="preserve"> V. (2018). World output gap and global stock returns. </w:t>
      </w:r>
      <w:r w:rsidRPr="004A43EF">
        <w:rPr>
          <w:rFonts w:ascii="Garamond" w:hAnsi="Garamond"/>
          <w:i/>
          <w:iCs/>
          <w:sz w:val="24"/>
          <w:szCs w:val="24"/>
        </w:rPr>
        <w:t>Journal of Empirical Finance</w:t>
      </w:r>
      <w:r w:rsidRPr="00F975C1">
        <w:rPr>
          <w:rFonts w:ascii="Garamond" w:hAnsi="Garamond"/>
          <w:sz w:val="24"/>
          <w:szCs w:val="24"/>
        </w:rPr>
        <w:t xml:space="preserve">, </w:t>
      </w:r>
      <w:r w:rsidR="00693663" w:rsidRPr="0040143F">
        <w:rPr>
          <w:rFonts w:ascii="Garamond" w:hAnsi="Garamond"/>
          <w:sz w:val="24"/>
          <w:szCs w:val="24"/>
        </w:rPr>
        <w:t>48, 181–197.</w:t>
      </w:r>
    </w:p>
    <w:p w14:paraId="3B9B783E" w14:textId="5F6F9A27" w:rsidR="009C1846"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Bernanke, B.S., and </w:t>
      </w:r>
      <w:proofErr w:type="spellStart"/>
      <w:r w:rsidRPr="00F975C1">
        <w:rPr>
          <w:rFonts w:ascii="Garamond" w:hAnsi="Garamond"/>
          <w:sz w:val="24"/>
          <w:szCs w:val="24"/>
        </w:rPr>
        <w:t>Kuttner</w:t>
      </w:r>
      <w:proofErr w:type="spellEnd"/>
      <w:r w:rsidRPr="00F975C1">
        <w:rPr>
          <w:rFonts w:ascii="Garamond" w:hAnsi="Garamond"/>
          <w:sz w:val="24"/>
          <w:szCs w:val="24"/>
        </w:rPr>
        <w:t>, K.N. (2005). What Explains the Stock Market's Reac</w:t>
      </w:r>
      <w:r w:rsidR="00C65E24" w:rsidRPr="00F975C1">
        <w:rPr>
          <w:rFonts w:ascii="Garamond" w:hAnsi="Garamond"/>
          <w:sz w:val="24"/>
          <w:szCs w:val="24"/>
        </w:rPr>
        <w:t xml:space="preserve">tion to </w:t>
      </w:r>
      <w:proofErr w:type="gramStart"/>
      <w:r w:rsidR="00C65E24" w:rsidRPr="00F975C1">
        <w:rPr>
          <w:rFonts w:ascii="Garamond" w:hAnsi="Garamond"/>
          <w:sz w:val="24"/>
          <w:szCs w:val="24"/>
        </w:rPr>
        <w:t>Federal</w:t>
      </w:r>
      <w:proofErr w:type="gramEnd"/>
      <w:r w:rsidR="00C65E24" w:rsidRPr="00F975C1">
        <w:rPr>
          <w:rFonts w:ascii="Garamond" w:hAnsi="Garamond"/>
          <w:sz w:val="24"/>
          <w:szCs w:val="24"/>
        </w:rPr>
        <w:t xml:space="preserve"> </w:t>
      </w:r>
    </w:p>
    <w:p w14:paraId="51504B2B" w14:textId="65A94B9A" w:rsidR="00693663" w:rsidRPr="00F975C1" w:rsidRDefault="00693663" w:rsidP="00DC2264">
      <w:pPr>
        <w:spacing w:after="0" w:line="240" w:lineRule="auto"/>
        <w:ind w:left="720" w:hanging="720"/>
        <w:contextualSpacing/>
        <w:jc w:val="both"/>
        <w:rPr>
          <w:rFonts w:ascii="Garamond" w:hAnsi="Garamond"/>
          <w:sz w:val="24"/>
          <w:szCs w:val="24"/>
        </w:rPr>
      </w:pPr>
      <w:r>
        <w:rPr>
          <w:rFonts w:ascii="Garamond" w:hAnsi="Garamond"/>
          <w:sz w:val="24"/>
          <w:szCs w:val="24"/>
        </w:rPr>
        <w:tab/>
      </w:r>
      <w:r w:rsidRPr="0040143F">
        <w:rPr>
          <w:rFonts w:ascii="Garamond" w:hAnsi="Garamond"/>
          <w:sz w:val="24"/>
          <w:szCs w:val="24"/>
        </w:rPr>
        <w:t xml:space="preserve">Reserve Policy? </w:t>
      </w:r>
      <w:r w:rsidRPr="004A43EF">
        <w:rPr>
          <w:rFonts w:ascii="Garamond" w:hAnsi="Garamond"/>
          <w:i/>
          <w:iCs/>
          <w:sz w:val="24"/>
          <w:szCs w:val="24"/>
        </w:rPr>
        <w:t>Journal of Finance</w:t>
      </w:r>
      <w:r w:rsidRPr="0040143F">
        <w:rPr>
          <w:rFonts w:ascii="Garamond" w:hAnsi="Garamond"/>
          <w:sz w:val="24"/>
          <w:szCs w:val="24"/>
        </w:rPr>
        <w:t>, 60(3), 1221-1257.</w:t>
      </w:r>
    </w:p>
    <w:p w14:paraId="2B467844" w14:textId="586605A4" w:rsidR="00693663" w:rsidRPr="00F975C1"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Chuliá</w:t>
      </w:r>
      <w:proofErr w:type="spellEnd"/>
      <w:r w:rsidRPr="00F975C1">
        <w:rPr>
          <w:rFonts w:ascii="Garamond" w:hAnsi="Garamond"/>
          <w:sz w:val="24"/>
          <w:szCs w:val="24"/>
        </w:rPr>
        <w:t xml:space="preserve">, H., </w:t>
      </w:r>
      <w:proofErr w:type="spellStart"/>
      <w:r w:rsidRPr="00F975C1">
        <w:rPr>
          <w:rFonts w:ascii="Garamond" w:hAnsi="Garamond"/>
          <w:sz w:val="24"/>
          <w:szCs w:val="24"/>
        </w:rPr>
        <w:t>Guillén</w:t>
      </w:r>
      <w:proofErr w:type="spellEnd"/>
      <w:r w:rsidRPr="00F975C1">
        <w:rPr>
          <w:rFonts w:ascii="Garamond" w:hAnsi="Garamond"/>
          <w:sz w:val="24"/>
          <w:szCs w:val="24"/>
        </w:rPr>
        <w:t xml:space="preserve"> M, Uribe, J.M. (2017b). Measuring Uncertainty in the Stock Market. </w:t>
      </w:r>
      <w:r w:rsidR="00693663" w:rsidRPr="004A43EF">
        <w:rPr>
          <w:rFonts w:ascii="Garamond" w:hAnsi="Garamond"/>
          <w:i/>
          <w:iCs/>
          <w:sz w:val="24"/>
          <w:szCs w:val="24"/>
        </w:rPr>
        <w:t>International Review of Economics and Finance</w:t>
      </w:r>
      <w:r w:rsidR="00693663" w:rsidRPr="0040143F">
        <w:rPr>
          <w:rFonts w:ascii="Garamond" w:hAnsi="Garamond"/>
          <w:sz w:val="24"/>
          <w:szCs w:val="24"/>
        </w:rPr>
        <w:t>, 48, 18-33.</w:t>
      </w:r>
    </w:p>
    <w:p w14:paraId="1FFA89A3" w14:textId="453475C1" w:rsidR="00693663" w:rsidRPr="0040143F"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Chuliá</w:t>
      </w:r>
      <w:proofErr w:type="spellEnd"/>
      <w:r w:rsidRPr="00F975C1">
        <w:rPr>
          <w:rFonts w:ascii="Garamond" w:hAnsi="Garamond"/>
          <w:sz w:val="24"/>
          <w:szCs w:val="24"/>
        </w:rPr>
        <w:t xml:space="preserve">, H., Gupta, R., Uribe, J.M, </w:t>
      </w:r>
      <w:proofErr w:type="spellStart"/>
      <w:r w:rsidRPr="00F975C1">
        <w:rPr>
          <w:rFonts w:ascii="Garamond" w:hAnsi="Garamond"/>
          <w:sz w:val="24"/>
          <w:szCs w:val="24"/>
        </w:rPr>
        <w:t>Wohar</w:t>
      </w:r>
      <w:proofErr w:type="spellEnd"/>
      <w:r w:rsidRPr="00F975C1">
        <w:rPr>
          <w:rFonts w:ascii="Garamond" w:hAnsi="Garamond"/>
          <w:sz w:val="24"/>
          <w:szCs w:val="24"/>
        </w:rPr>
        <w:t xml:space="preserve">, M.E. (2017a). Impact of US Uncertainties on </w:t>
      </w:r>
      <w:r w:rsidR="00693663" w:rsidRPr="0040143F">
        <w:rPr>
          <w:rFonts w:ascii="Garamond" w:hAnsi="Garamond"/>
          <w:sz w:val="24"/>
          <w:szCs w:val="24"/>
        </w:rPr>
        <w:t xml:space="preserve">Emerging and Mature Markets: Evidence from a Quantile-Vector Autoregressive Approach. </w:t>
      </w:r>
      <w:r w:rsidR="00693663" w:rsidRPr="004A43EF">
        <w:rPr>
          <w:rFonts w:ascii="Garamond" w:hAnsi="Garamond"/>
          <w:i/>
          <w:iCs/>
          <w:sz w:val="24"/>
          <w:szCs w:val="24"/>
        </w:rPr>
        <w:t>Journal of International Financial Markets Institutions &amp; Money</w:t>
      </w:r>
      <w:r w:rsidR="00693663" w:rsidRPr="0040143F">
        <w:rPr>
          <w:rFonts w:ascii="Garamond" w:hAnsi="Garamond"/>
          <w:sz w:val="24"/>
          <w:szCs w:val="24"/>
        </w:rPr>
        <w:t xml:space="preserve">, 48(C), 178-191. </w:t>
      </w:r>
    </w:p>
    <w:p w14:paraId="167AE4CD" w14:textId="30FCF2B3" w:rsidR="00A54451" w:rsidRPr="00DC2264" w:rsidRDefault="006B02F7" w:rsidP="00DC2264">
      <w:pPr>
        <w:spacing w:after="0" w:line="240" w:lineRule="auto"/>
        <w:ind w:left="720" w:hanging="720"/>
        <w:contextualSpacing/>
        <w:jc w:val="both"/>
        <w:rPr>
          <w:rFonts w:ascii="Garamond" w:hAnsi="Garamond"/>
          <w:i/>
          <w:iCs/>
          <w:sz w:val="24"/>
          <w:szCs w:val="24"/>
        </w:rPr>
      </w:pPr>
      <w:r w:rsidRPr="00F975C1">
        <w:rPr>
          <w:rFonts w:ascii="Garamond" w:hAnsi="Garamond"/>
          <w:sz w:val="24"/>
          <w:szCs w:val="24"/>
        </w:rPr>
        <w:t xml:space="preserve">Friedman, B.M. (1988). Lessons on Monetary Policy from the 1980's. </w:t>
      </w:r>
      <w:r w:rsidRPr="004A43EF">
        <w:rPr>
          <w:rFonts w:ascii="Garamond" w:hAnsi="Garamond"/>
          <w:i/>
          <w:iCs/>
          <w:sz w:val="24"/>
          <w:szCs w:val="24"/>
        </w:rPr>
        <w:t xml:space="preserve">Journal of Economic </w:t>
      </w:r>
      <w:r w:rsidR="00A54451" w:rsidRPr="004A43EF">
        <w:rPr>
          <w:rFonts w:ascii="Garamond" w:hAnsi="Garamond"/>
          <w:i/>
          <w:iCs/>
          <w:sz w:val="24"/>
          <w:szCs w:val="24"/>
        </w:rPr>
        <w:t>Perspectives</w:t>
      </w:r>
      <w:r w:rsidR="00A54451" w:rsidRPr="0040143F">
        <w:rPr>
          <w:rFonts w:ascii="Garamond" w:hAnsi="Garamond"/>
          <w:sz w:val="24"/>
          <w:szCs w:val="24"/>
        </w:rPr>
        <w:t>, 2(3), 51-72.</w:t>
      </w:r>
    </w:p>
    <w:p w14:paraId="66B90C8C" w14:textId="26781DD2" w:rsidR="009C1846" w:rsidRPr="00F975C1"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Gupta, R</w:t>
      </w:r>
      <w:r w:rsidR="009578F8" w:rsidRPr="00F975C1">
        <w:rPr>
          <w:rFonts w:ascii="Garamond" w:hAnsi="Garamond"/>
          <w:sz w:val="24"/>
          <w:szCs w:val="24"/>
        </w:rPr>
        <w:t xml:space="preserve">., Lau, C.K.M., and </w:t>
      </w:r>
      <w:proofErr w:type="spellStart"/>
      <w:r w:rsidR="009578F8" w:rsidRPr="00F975C1">
        <w:rPr>
          <w:rFonts w:ascii="Garamond" w:hAnsi="Garamond"/>
          <w:sz w:val="24"/>
          <w:szCs w:val="24"/>
        </w:rPr>
        <w:t>Wohar</w:t>
      </w:r>
      <w:proofErr w:type="spellEnd"/>
      <w:r w:rsidR="009578F8" w:rsidRPr="00F975C1">
        <w:rPr>
          <w:rFonts w:ascii="Garamond" w:hAnsi="Garamond"/>
          <w:sz w:val="24"/>
          <w:szCs w:val="24"/>
        </w:rPr>
        <w:t>, M.</w:t>
      </w:r>
      <w:r w:rsidR="006B02F7" w:rsidRPr="00F975C1">
        <w:rPr>
          <w:rFonts w:ascii="Garamond" w:hAnsi="Garamond"/>
          <w:sz w:val="24"/>
          <w:szCs w:val="24"/>
        </w:rPr>
        <w:t>E. (2019). The Impact of US Uncertainty on the Euro</w:t>
      </w:r>
      <w:r w:rsidR="00DC2264">
        <w:rPr>
          <w:rFonts w:ascii="Garamond" w:hAnsi="Garamond"/>
          <w:sz w:val="24"/>
          <w:szCs w:val="24"/>
        </w:rPr>
        <w:t xml:space="preserve"> </w:t>
      </w:r>
      <w:r w:rsidR="00A54451" w:rsidRPr="0040143F">
        <w:rPr>
          <w:rFonts w:ascii="Garamond" w:hAnsi="Garamond"/>
          <w:sz w:val="24"/>
          <w:szCs w:val="24"/>
        </w:rPr>
        <w:t xml:space="preserve">Area in Good and Bad Times: Evidence from a Quantile Structural Vector Autoregressive Model. </w:t>
      </w:r>
      <w:proofErr w:type="spellStart"/>
      <w:r w:rsidR="00A54451" w:rsidRPr="004A43EF">
        <w:rPr>
          <w:rFonts w:ascii="Garamond" w:hAnsi="Garamond"/>
          <w:i/>
          <w:iCs/>
          <w:sz w:val="24"/>
          <w:szCs w:val="24"/>
        </w:rPr>
        <w:t>Empirica</w:t>
      </w:r>
      <w:proofErr w:type="spellEnd"/>
      <w:r w:rsidR="00A54451" w:rsidRPr="0040143F">
        <w:rPr>
          <w:rFonts w:ascii="Garamond" w:hAnsi="Garamond"/>
          <w:sz w:val="24"/>
          <w:szCs w:val="24"/>
        </w:rPr>
        <w:t>, 46(2), 353–368</w:t>
      </w:r>
      <w:r w:rsidRPr="00F975C1">
        <w:rPr>
          <w:rFonts w:ascii="Garamond" w:hAnsi="Garamond"/>
          <w:sz w:val="24"/>
          <w:szCs w:val="24"/>
        </w:rPr>
        <w:t>.</w:t>
      </w:r>
    </w:p>
    <w:p w14:paraId="21B5E857" w14:textId="49559822" w:rsidR="00A54451" w:rsidRPr="00F975C1"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Gupta, R., Ma, J., </w:t>
      </w:r>
      <w:proofErr w:type="spellStart"/>
      <w:r w:rsidRPr="00F975C1">
        <w:rPr>
          <w:rFonts w:ascii="Garamond" w:hAnsi="Garamond"/>
          <w:sz w:val="24"/>
          <w:szCs w:val="24"/>
        </w:rPr>
        <w:t>Risse</w:t>
      </w:r>
      <w:proofErr w:type="spellEnd"/>
      <w:r w:rsidRPr="00F975C1">
        <w:rPr>
          <w:rFonts w:ascii="Garamond" w:hAnsi="Garamond"/>
          <w:sz w:val="24"/>
          <w:szCs w:val="24"/>
        </w:rPr>
        <w:t xml:space="preserve">, M., and </w:t>
      </w:r>
      <w:proofErr w:type="spellStart"/>
      <w:r w:rsidRPr="00F975C1">
        <w:rPr>
          <w:rFonts w:ascii="Garamond" w:hAnsi="Garamond"/>
          <w:sz w:val="24"/>
          <w:szCs w:val="24"/>
        </w:rPr>
        <w:t>Wohar</w:t>
      </w:r>
      <w:proofErr w:type="spellEnd"/>
      <w:r w:rsidRPr="00F975C1">
        <w:rPr>
          <w:rFonts w:ascii="Garamond" w:hAnsi="Garamond"/>
          <w:sz w:val="24"/>
          <w:szCs w:val="24"/>
        </w:rPr>
        <w:t xml:space="preserve">, M. E. </w:t>
      </w:r>
      <w:r w:rsidR="007C0FB9" w:rsidRPr="00F975C1">
        <w:rPr>
          <w:rFonts w:ascii="Garamond" w:hAnsi="Garamond"/>
          <w:sz w:val="24"/>
          <w:szCs w:val="24"/>
        </w:rPr>
        <w:t xml:space="preserve">(2018). Common Business Cycles and Volatilities </w:t>
      </w:r>
      <w:r w:rsidR="00A54451" w:rsidRPr="0040143F">
        <w:rPr>
          <w:rFonts w:ascii="Garamond" w:hAnsi="Garamond"/>
          <w:sz w:val="24"/>
          <w:szCs w:val="24"/>
        </w:rPr>
        <w:t xml:space="preserve">in US States and MSAs: The Role of Economic Uncertainty. </w:t>
      </w:r>
      <w:r w:rsidR="00A54451" w:rsidRPr="004A43EF">
        <w:rPr>
          <w:rFonts w:ascii="Garamond" w:hAnsi="Garamond"/>
          <w:i/>
          <w:iCs/>
          <w:sz w:val="24"/>
          <w:szCs w:val="24"/>
        </w:rPr>
        <w:t>Journal of Macroeconomics</w:t>
      </w:r>
      <w:r w:rsidR="00A54451" w:rsidRPr="0040143F">
        <w:rPr>
          <w:rFonts w:ascii="Garamond" w:hAnsi="Garamond"/>
          <w:sz w:val="24"/>
          <w:szCs w:val="24"/>
        </w:rPr>
        <w:t>, 57, 317-337.</w:t>
      </w:r>
    </w:p>
    <w:p w14:paraId="38EB53F1" w14:textId="6F2A37A8" w:rsidR="00A54451" w:rsidRPr="0040143F"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Gupta, R., Suleman, T., and </w:t>
      </w:r>
      <w:proofErr w:type="spellStart"/>
      <w:r w:rsidRPr="00F975C1">
        <w:rPr>
          <w:rFonts w:ascii="Garamond" w:hAnsi="Garamond"/>
          <w:sz w:val="24"/>
          <w:szCs w:val="24"/>
        </w:rPr>
        <w:t>Wohar</w:t>
      </w:r>
      <w:proofErr w:type="spellEnd"/>
      <w:r w:rsidRPr="00F975C1">
        <w:rPr>
          <w:rFonts w:ascii="Garamond" w:hAnsi="Garamond"/>
          <w:sz w:val="24"/>
          <w:szCs w:val="24"/>
        </w:rPr>
        <w:t xml:space="preserve">, M.E. (2018). The role of time-varying rare disaster risks in </w:t>
      </w:r>
      <w:r w:rsidR="00A54451" w:rsidRPr="0040143F">
        <w:rPr>
          <w:rFonts w:ascii="Garamond" w:hAnsi="Garamond"/>
          <w:sz w:val="24"/>
          <w:szCs w:val="24"/>
        </w:rPr>
        <w:t xml:space="preserve">predicting bond returns and volatility. </w:t>
      </w:r>
      <w:r w:rsidR="00A54451" w:rsidRPr="004A43EF">
        <w:rPr>
          <w:rFonts w:ascii="Garamond" w:hAnsi="Garamond"/>
          <w:i/>
          <w:iCs/>
          <w:sz w:val="24"/>
          <w:szCs w:val="24"/>
        </w:rPr>
        <w:t>Review of Financial Economics</w:t>
      </w:r>
      <w:r w:rsidR="00A54451" w:rsidRPr="0040143F">
        <w:rPr>
          <w:rFonts w:ascii="Garamond" w:hAnsi="Garamond"/>
          <w:sz w:val="24"/>
          <w:szCs w:val="24"/>
        </w:rPr>
        <w:t xml:space="preserve">. DOI: </w:t>
      </w:r>
      <w:hyperlink r:id="rId26" w:history="1">
        <w:r w:rsidR="00A54451" w:rsidRPr="00E603F9">
          <w:rPr>
            <w:rStyle w:val="Hyperlink"/>
            <w:rFonts w:ascii="Garamond" w:hAnsi="Garamond"/>
            <w:sz w:val="24"/>
            <w:szCs w:val="24"/>
          </w:rPr>
          <w:t>https://doi.org/10.1002/rfe.1051</w:t>
        </w:r>
      </w:hyperlink>
      <w:r w:rsidR="00A54451" w:rsidRPr="0040143F">
        <w:rPr>
          <w:rFonts w:ascii="Garamond" w:hAnsi="Garamond"/>
          <w:sz w:val="24"/>
          <w:szCs w:val="24"/>
        </w:rPr>
        <w:t>.</w:t>
      </w:r>
    </w:p>
    <w:p w14:paraId="372E2EB9" w14:textId="7F63DFB9" w:rsidR="00A54451" w:rsidRPr="00DC2264" w:rsidRDefault="009C1846" w:rsidP="00DC2264">
      <w:pPr>
        <w:spacing w:after="0" w:line="240" w:lineRule="auto"/>
        <w:ind w:left="720" w:hanging="720"/>
        <w:contextualSpacing/>
        <w:jc w:val="both"/>
        <w:rPr>
          <w:rFonts w:ascii="Garamond" w:hAnsi="Garamond"/>
          <w:i/>
          <w:iCs/>
          <w:sz w:val="24"/>
          <w:szCs w:val="24"/>
        </w:rPr>
      </w:pPr>
      <w:r w:rsidRPr="00F975C1">
        <w:rPr>
          <w:rFonts w:ascii="Garamond" w:hAnsi="Garamond"/>
          <w:sz w:val="24"/>
          <w:szCs w:val="24"/>
        </w:rPr>
        <w:t xml:space="preserve">Hamilton, J.D., and Gang, L. (1996). Stock Market Volatility and the Business Cycle. </w:t>
      </w:r>
      <w:r w:rsidRPr="004A43EF">
        <w:rPr>
          <w:rFonts w:ascii="Garamond" w:hAnsi="Garamond"/>
          <w:i/>
          <w:iCs/>
          <w:sz w:val="24"/>
          <w:szCs w:val="24"/>
        </w:rPr>
        <w:t xml:space="preserve">Journal of </w:t>
      </w:r>
      <w:r w:rsidR="00A54451" w:rsidRPr="004A43EF">
        <w:rPr>
          <w:rFonts w:ascii="Garamond" w:hAnsi="Garamond"/>
          <w:i/>
          <w:iCs/>
          <w:sz w:val="24"/>
          <w:szCs w:val="24"/>
        </w:rPr>
        <w:t>Applied Econometrics</w:t>
      </w:r>
      <w:r w:rsidR="00A54451" w:rsidRPr="0040143F">
        <w:rPr>
          <w:rFonts w:ascii="Garamond" w:hAnsi="Garamond"/>
          <w:sz w:val="24"/>
          <w:szCs w:val="24"/>
        </w:rPr>
        <w:t>, 11(5), 573-593.</w:t>
      </w:r>
    </w:p>
    <w:p w14:paraId="66236D1C" w14:textId="1F7C1536" w:rsidR="00A54451" w:rsidRPr="00DC2264" w:rsidRDefault="009C1846" w:rsidP="00DC2264">
      <w:pPr>
        <w:spacing w:after="0" w:line="240" w:lineRule="auto"/>
        <w:ind w:left="720" w:hanging="720"/>
        <w:contextualSpacing/>
        <w:jc w:val="both"/>
        <w:rPr>
          <w:rFonts w:ascii="Garamond" w:hAnsi="Garamond"/>
          <w:i/>
          <w:iCs/>
          <w:sz w:val="24"/>
          <w:szCs w:val="24"/>
        </w:rPr>
      </w:pPr>
      <w:r w:rsidRPr="00F975C1">
        <w:rPr>
          <w:rFonts w:ascii="Garamond" w:hAnsi="Garamond"/>
          <w:sz w:val="24"/>
          <w:szCs w:val="24"/>
        </w:rPr>
        <w:t xml:space="preserve">Hatemi-J, </w:t>
      </w:r>
      <w:proofErr w:type="spellStart"/>
      <w:r w:rsidRPr="00F975C1">
        <w:rPr>
          <w:rFonts w:ascii="Garamond" w:hAnsi="Garamond"/>
          <w:sz w:val="24"/>
          <w:szCs w:val="24"/>
        </w:rPr>
        <w:t>Abdulnasser</w:t>
      </w:r>
      <w:proofErr w:type="spellEnd"/>
      <w:r w:rsidRPr="00F975C1">
        <w:rPr>
          <w:rFonts w:ascii="Garamond" w:hAnsi="Garamond"/>
          <w:sz w:val="24"/>
          <w:szCs w:val="24"/>
        </w:rPr>
        <w:t xml:space="preserve">. (2012). Asymmetric causality tests with an application. </w:t>
      </w:r>
      <w:r w:rsidRPr="004A43EF">
        <w:rPr>
          <w:rFonts w:ascii="Garamond" w:hAnsi="Garamond"/>
          <w:i/>
          <w:iCs/>
          <w:sz w:val="24"/>
          <w:szCs w:val="24"/>
        </w:rPr>
        <w:t xml:space="preserve">Empirical </w:t>
      </w:r>
      <w:r w:rsidR="00A54451" w:rsidRPr="004A43EF">
        <w:rPr>
          <w:rFonts w:ascii="Garamond" w:hAnsi="Garamond"/>
          <w:i/>
          <w:iCs/>
          <w:sz w:val="24"/>
          <w:szCs w:val="24"/>
        </w:rPr>
        <w:t>Economics</w:t>
      </w:r>
      <w:r w:rsidR="00A54451" w:rsidRPr="0040143F">
        <w:rPr>
          <w:rFonts w:ascii="Garamond" w:hAnsi="Garamond"/>
          <w:sz w:val="24"/>
          <w:szCs w:val="24"/>
        </w:rPr>
        <w:t>, 43, 447–56.</w:t>
      </w:r>
    </w:p>
    <w:p w14:paraId="7E0D1E7E" w14:textId="5AA7C287" w:rsidR="00A54451" w:rsidRPr="00DC2264" w:rsidRDefault="00ED3619"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Jermann</w:t>
      </w:r>
      <w:proofErr w:type="spellEnd"/>
      <w:r w:rsidRPr="00F975C1">
        <w:rPr>
          <w:rFonts w:ascii="Garamond" w:hAnsi="Garamond"/>
          <w:sz w:val="24"/>
          <w:szCs w:val="24"/>
        </w:rPr>
        <w:t xml:space="preserve">, U.J., and </w:t>
      </w:r>
      <w:proofErr w:type="spellStart"/>
      <w:r w:rsidRPr="00F975C1">
        <w:rPr>
          <w:rFonts w:ascii="Garamond" w:hAnsi="Garamond"/>
          <w:sz w:val="24"/>
          <w:szCs w:val="24"/>
        </w:rPr>
        <w:t>Quadrini</w:t>
      </w:r>
      <w:proofErr w:type="spellEnd"/>
      <w:r w:rsidRPr="00F975C1">
        <w:rPr>
          <w:rFonts w:ascii="Garamond" w:hAnsi="Garamond"/>
          <w:sz w:val="24"/>
          <w:szCs w:val="24"/>
        </w:rPr>
        <w:t xml:space="preserve">, V. (2006). Financial innovations and macroeconomic volatility. </w:t>
      </w:r>
      <w:r w:rsidR="00A54451" w:rsidRPr="004A43EF">
        <w:rPr>
          <w:rFonts w:ascii="Garamond" w:hAnsi="Garamond"/>
          <w:i/>
          <w:iCs/>
          <w:sz w:val="24"/>
          <w:szCs w:val="24"/>
        </w:rPr>
        <w:t>Proceedings, Federal Reserve Bank of San Francisco, November.</w:t>
      </w:r>
    </w:p>
    <w:p w14:paraId="6F878878" w14:textId="570237AF" w:rsidR="00A54451" w:rsidRPr="00F975C1" w:rsidRDefault="00ED3619"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Jermann</w:t>
      </w:r>
      <w:proofErr w:type="spellEnd"/>
      <w:r w:rsidRPr="00F975C1">
        <w:rPr>
          <w:rFonts w:ascii="Garamond" w:hAnsi="Garamond"/>
          <w:sz w:val="24"/>
          <w:szCs w:val="24"/>
        </w:rPr>
        <w:t xml:space="preserve">, U.J., and </w:t>
      </w:r>
      <w:proofErr w:type="spellStart"/>
      <w:r w:rsidRPr="00F975C1">
        <w:rPr>
          <w:rFonts w:ascii="Garamond" w:hAnsi="Garamond"/>
          <w:sz w:val="24"/>
          <w:szCs w:val="24"/>
        </w:rPr>
        <w:t>Quadrini</w:t>
      </w:r>
      <w:proofErr w:type="spellEnd"/>
      <w:r w:rsidRPr="00F975C1">
        <w:rPr>
          <w:rFonts w:ascii="Garamond" w:hAnsi="Garamond"/>
          <w:sz w:val="24"/>
          <w:szCs w:val="24"/>
        </w:rPr>
        <w:t xml:space="preserve">, V. (2007). Stock Market Boom and the Productivity Gains of the </w:t>
      </w:r>
      <w:r w:rsidR="00A54451" w:rsidRPr="0040143F">
        <w:rPr>
          <w:rFonts w:ascii="Garamond" w:hAnsi="Garamond"/>
          <w:sz w:val="24"/>
          <w:szCs w:val="24"/>
        </w:rPr>
        <w:t xml:space="preserve">1990s. </w:t>
      </w:r>
      <w:r w:rsidR="00A54451" w:rsidRPr="004A43EF">
        <w:rPr>
          <w:rFonts w:ascii="Garamond" w:hAnsi="Garamond"/>
          <w:i/>
          <w:iCs/>
          <w:sz w:val="24"/>
          <w:szCs w:val="24"/>
        </w:rPr>
        <w:t>Journal of Monetary Economics</w:t>
      </w:r>
      <w:r w:rsidR="00A54451" w:rsidRPr="0040143F">
        <w:rPr>
          <w:rFonts w:ascii="Garamond" w:hAnsi="Garamond"/>
          <w:sz w:val="24"/>
          <w:szCs w:val="24"/>
        </w:rPr>
        <w:t>, 54(2), 413-432.</w:t>
      </w:r>
    </w:p>
    <w:p w14:paraId="025122D9" w14:textId="293F0C33" w:rsidR="00A54451" w:rsidRPr="00F975C1"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Kaminska</w:t>
      </w:r>
      <w:proofErr w:type="spellEnd"/>
      <w:r w:rsidRPr="00F975C1">
        <w:rPr>
          <w:rFonts w:ascii="Garamond" w:hAnsi="Garamond"/>
          <w:sz w:val="24"/>
          <w:szCs w:val="24"/>
        </w:rPr>
        <w:t>, I., and Roberts-</w:t>
      </w:r>
      <w:proofErr w:type="spellStart"/>
      <w:r w:rsidRPr="00F975C1">
        <w:rPr>
          <w:rFonts w:ascii="Garamond" w:hAnsi="Garamond"/>
          <w:sz w:val="24"/>
          <w:szCs w:val="24"/>
        </w:rPr>
        <w:t>Sklar</w:t>
      </w:r>
      <w:proofErr w:type="spellEnd"/>
      <w:r w:rsidRPr="00F975C1">
        <w:rPr>
          <w:rFonts w:ascii="Garamond" w:hAnsi="Garamond"/>
          <w:sz w:val="24"/>
          <w:szCs w:val="24"/>
        </w:rPr>
        <w:t xml:space="preserve">, M. (2018). Volatility in equity markets and monetary policy rate </w:t>
      </w:r>
      <w:r w:rsidR="00A54451" w:rsidRPr="0040143F">
        <w:rPr>
          <w:rFonts w:ascii="Garamond" w:hAnsi="Garamond"/>
          <w:sz w:val="24"/>
          <w:szCs w:val="24"/>
        </w:rPr>
        <w:t xml:space="preserve">uncertainty. </w:t>
      </w:r>
      <w:r w:rsidR="00A54451" w:rsidRPr="004A43EF">
        <w:rPr>
          <w:rFonts w:ascii="Garamond" w:hAnsi="Garamond"/>
          <w:i/>
          <w:iCs/>
          <w:sz w:val="24"/>
          <w:szCs w:val="24"/>
        </w:rPr>
        <w:t>Journal of Empirical Finance</w:t>
      </w:r>
      <w:r w:rsidR="00A54451" w:rsidRPr="0040143F">
        <w:rPr>
          <w:rFonts w:ascii="Garamond" w:hAnsi="Garamond"/>
          <w:sz w:val="24"/>
          <w:szCs w:val="24"/>
        </w:rPr>
        <w:t>, 45, 68–83.</w:t>
      </w:r>
    </w:p>
    <w:p w14:paraId="789E7773" w14:textId="716C83D5" w:rsidR="00A54451" w:rsidRPr="00F975C1"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Kishor, K.N., </w:t>
      </w:r>
      <w:proofErr w:type="spellStart"/>
      <w:r w:rsidRPr="00F975C1">
        <w:rPr>
          <w:rFonts w:ascii="Garamond" w:hAnsi="Garamond"/>
          <w:sz w:val="24"/>
          <w:szCs w:val="24"/>
        </w:rPr>
        <w:t>Marfatia</w:t>
      </w:r>
      <w:proofErr w:type="spellEnd"/>
      <w:r w:rsidRPr="00F975C1">
        <w:rPr>
          <w:rFonts w:ascii="Garamond" w:hAnsi="Garamond"/>
          <w:sz w:val="24"/>
          <w:szCs w:val="24"/>
        </w:rPr>
        <w:t xml:space="preserve">, H.A. (2013). The time-varying response of foreign stock markets to U.S. </w:t>
      </w:r>
      <w:r w:rsidR="00A54451" w:rsidRPr="0040143F">
        <w:rPr>
          <w:rFonts w:ascii="Garamond" w:hAnsi="Garamond"/>
          <w:sz w:val="24"/>
          <w:szCs w:val="24"/>
        </w:rPr>
        <w:t xml:space="preserve">monetary policy surprises: Evidence from the Federal funds futures market. </w:t>
      </w:r>
      <w:r w:rsidR="00A54451" w:rsidRPr="004A43EF">
        <w:rPr>
          <w:rFonts w:ascii="Garamond" w:hAnsi="Garamond"/>
          <w:i/>
          <w:iCs/>
          <w:sz w:val="24"/>
          <w:szCs w:val="24"/>
        </w:rPr>
        <w:t>Journal of International Financial Markets, Institutions and Money</w:t>
      </w:r>
      <w:r w:rsidR="00A54451" w:rsidRPr="0040143F">
        <w:rPr>
          <w:rFonts w:ascii="Garamond" w:hAnsi="Garamond"/>
          <w:sz w:val="24"/>
          <w:szCs w:val="24"/>
        </w:rPr>
        <w:t>, 24(C), 1-24.</w:t>
      </w:r>
    </w:p>
    <w:p w14:paraId="36792CD4" w14:textId="6FCA7971" w:rsidR="00A54451" w:rsidRPr="00F975C1" w:rsidRDefault="009578F8"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Krippner, L. (2013). A Tractable Framework for Zero Lower Bound Gaussian Term Structure </w:t>
      </w:r>
      <w:r w:rsidR="00A54451" w:rsidRPr="0040143F">
        <w:rPr>
          <w:rFonts w:ascii="Garamond" w:hAnsi="Garamond"/>
          <w:sz w:val="24"/>
          <w:szCs w:val="24"/>
        </w:rPr>
        <w:t xml:space="preserve">Models. </w:t>
      </w:r>
      <w:r w:rsidR="00A54451" w:rsidRPr="004A43EF">
        <w:rPr>
          <w:rFonts w:ascii="Garamond" w:hAnsi="Garamond"/>
          <w:i/>
          <w:iCs/>
          <w:sz w:val="24"/>
          <w:szCs w:val="24"/>
        </w:rPr>
        <w:t>Discussion Paper, Reserve Bank of New Zealand, 2013/02</w:t>
      </w:r>
      <w:r w:rsidR="00A54451" w:rsidRPr="0040143F">
        <w:rPr>
          <w:rFonts w:ascii="Garamond" w:hAnsi="Garamond"/>
          <w:sz w:val="24"/>
          <w:szCs w:val="24"/>
        </w:rPr>
        <w:t>.</w:t>
      </w:r>
    </w:p>
    <w:p w14:paraId="19337695" w14:textId="6A6881E2" w:rsidR="00A54451" w:rsidRPr="00F975C1"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Nelson, D.B. (1991). Conditional hetero</w:t>
      </w:r>
      <w:r w:rsidR="00C65E24" w:rsidRPr="00F975C1">
        <w:rPr>
          <w:rFonts w:ascii="Garamond" w:hAnsi="Garamond"/>
          <w:sz w:val="24"/>
          <w:szCs w:val="24"/>
        </w:rPr>
        <w:t>skedasticity in asset returns: A</w:t>
      </w:r>
      <w:r w:rsidRPr="00F975C1">
        <w:rPr>
          <w:rFonts w:ascii="Garamond" w:hAnsi="Garamond"/>
          <w:sz w:val="24"/>
          <w:szCs w:val="24"/>
        </w:rPr>
        <w:t xml:space="preserve"> new approach. </w:t>
      </w:r>
      <w:proofErr w:type="spellStart"/>
      <w:r w:rsidR="00A54451" w:rsidRPr="004A43EF">
        <w:rPr>
          <w:rFonts w:ascii="Garamond" w:hAnsi="Garamond"/>
          <w:i/>
          <w:iCs/>
          <w:sz w:val="24"/>
          <w:szCs w:val="24"/>
        </w:rPr>
        <w:t>Econometrica</w:t>
      </w:r>
      <w:proofErr w:type="spellEnd"/>
      <w:r w:rsidR="00A54451" w:rsidRPr="0040143F">
        <w:rPr>
          <w:rFonts w:ascii="Garamond" w:hAnsi="Garamond"/>
          <w:sz w:val="24"/>
          <w:szCs w:val="24"/>
        </w:rPr>
        <w:t>, 59, 347-370.</w:t>
      </w:r>
    </w:p>
    <w:p w14:paraId="5D73BB61" w14:textId="1FEACED6" w:rsidR="00A54451" w:rsidRPr="00F975C1" w:rsidRDefault="009C1846" w:rsidP="00DC2264">
      <w:pPr>
        <w:spacing w:after="0" w:line="240" w:lineRule="auto"/>
        <w:ind w:left="720" w:hanging="720"/>
        <w:contextualSpacing/>
        <w:jc w:val="both"/>
        <w:rPr>
          <w:rFonts w:ascii="Garamond" w:hAnsi="Garamond"/>
          <w:sz w:val="24"/>
          <w:szCs w:val="24"/>
        </w:rPr>
      </w:pPr>
      <w:r w:rsidRPr="00F975C1">
        <w:rPr>
          <w:rFonts w:ascii="Garamond" w:hAnsi="Garamond"/>
          <w:sz w:val="24"/>
          <w:szCs w:val="24"/>
        </w:rPr>
        <w:t xml:space="preserve">Pastor, L., and Veronesi, P. (2012). Uncertainty about government policy and stock prices. </w:t>
      </w:r>
      <w:r w:rsidR="00A54451" w:rsidRPr="004A43EF">
        <w:rPr>
          <w:rFonts w:ascii="Garamond" w:hAnsi="Garamond"/>
          <w:i/>
          <w:iCs/>
          <w:sz w:val="24"/>
          <w:szCs w:val="24"/>
        </w:rPr>
        <w:t>Journal of Finance</w:t>
      </w:r>
      <w:r w:rsidR="00A54451" w:rsidRPr="0040143F">
        <w:rPr>
          <w:rFonts w:ascii="Garamond" w:hAnsi="Garamond"/>
          <w:sz w:val="24"/>
          <w:szCs w:val="24"/>
        </w:rPr>
        <w:t xml:space="preserve"> 67, 1219--1264.</w:t>
      </w:r>
    </w:p>
    <w:p w14:paraId="6753AC83" w14:textId="22C8DCCA" w:rsidR="00A54451" w:rsidRPr="00F975C1"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Plakandaras</w:t>
      </w:r>
      <w:proofErr w:type="spellEnd"/>
      <w:r w:rsidRPr="00F975C1">
        <w:rPr>
          <w:rFonts w:ascii="Garamond" w:hAnsi="Garamond"/>
          <w:sz w:val="24"/>
          <w:szCs w:val="24"/>
        </w:rPr>
        <w:t xml:space="preserve">, V., Gupta, R and </w:t>
      </w:r>
      <w:proofErr w:type="spellStart"/>
      <w:r w:rsidRPr="00F975C1">
        <w:rPr>
          <w:rFonts w:ascii="Garamond" w:hAnsi="Garamond"/>
          <w:sz w:val="24"/>
          <w:szCs w:val="24"/>
        </w:rPr>
        <w:t>Wohar</w:t>
      </w:r>
      <w:proofErr w:type="spellEnd"/>
      <w:r w:rsidRPr="00F975C1">
        <w:rPr>
          <w:rFonts w:ascii="Garamond" w:hAnsi="Garamond"/>
          <w:sz w:val="24"/>
          <w:szCs w:val="24"/>
        </w:rPr>
        <w:t xml:space="preserve">, M.E. (2018). Persistence of Economic Uncertainty: A </w:t>
      </w:r>
      <w:r w:rsidR="00A54451" w:rsidRPr="0040143F">
        <w:rPr>
          <w:rFonts w:ascii="Garamond" w:hAnsi="Garamond"/>
          <w:sz w:val="24"/>
          <w:szCs w:val="24"/>
        </w:rPr>
        <w:t xml:space="preserve">Comprehensive Analysis. </w:t>
      </w:r>
      <w:r w:rsidR="00A54451" w:rsidRPr="004A43EF">
        <w:rPr>
          <w:rFonts w:ascii="Garamond" w:hAnsi="Garamond"/>
          <w:i/>
          <w:iCs/>
          <w:sz w:val="24"/>
          <w:szCs w:val="24"/>
        </w:rPr>
        <w:t>Applied Economics</w:t>
      </w:r>
      <w:r w:rsidR="00A54451" w:rsidRPr="0040143F">
        <w:rPr>
          <w:rFonts w:ascii="Garamond" w:hAnsi="Garamond"/>
          <w:sz w:val="24"/>
          <w:szCs w:val="24"/>
        </w:rPr>
        <w:t>, 51(41), 4477-4498</w:t>
      </w:r>
    </w:p>
    <w:p w14:paraId="18C9C5E7" w14:textId="3F199AA1" w:rsidR="00A54451" w:rsidRPr="00F975C1" w:rsidRDefault="009C1846" w:rsidP="00DC2264">
      <w:pPr>
        <w:spacing w:after="0" w:line="240" w:lineRule="auto"/>
        <w:ind w:left="720" w:hanging="720"/>
        <w:contextualSpacing/>
        <w:jc w:val="both"/>
        <w:rPr>
          <w:rFonts w:ascii="Garamond" w:hAnsi="Garamond"/>
          <w:sz w:val="24"/>
          <w:szCs w:val="24"/>
        </w:rPr>
      </w:pPr>
      <w:proofErr w:type="spellStart"/>
      <w:r w:rsidRPr="00F975C1">
        <w:rPr>
          <w:rFonts w:ascii="Garamond" w:hAnsi="Garamond"/>
          <w:sz w:val="24"/>
          <w:szCs w:val="24"/>
        </w:rPr>
        <w:t>Plakandaras</w:t>
      </w:r>
      <w:proofErr w:type="spellEnd"/>
      <w:r w:rsidRPr="00F975C1">
        <w:rPr>
          <w:rFonts w:ascii="Garamond" w:hAnsi="Garamond"/>
          <w:sz w:val="24"/>
          <w:szCs w:val="24"/>
        </w:rPr>
        <w:t xml:space="preserve">, V., </w:t>
      </w:r>
      <w:proofErr w:type="spellStart"/>
      <w:r w:rsidRPr="00F975C1">
        <w:rPr>
          <w:rFonts w:ascii="Garamond" w:hAnsi="Garamond"/>
          <w:sz w:val="24"/>
          <w:szCs w:val="24"/>
        </w:rPr>
        <w:t>Cunado</w:t>
      </w:r>
      <w:proofErr w:type="spellEnd"/>
      <w:r w:rsidRPr="00F975C1">
        <w:rPr>
          <w:rFonts w:ascii="Garamond" w:hAnsi="Garamond"/>
          <w:sz w:val="24"/>
          <w:szCs w:val="24"/>
        </w:rPr>
        <w:t xml:space="preserve">, J., V., Gupta, R and </w:t>
      </w:r>
      <w:proofErr w:type="spellStart"/>
      <w:r w:rsidRPr="00F975C1">
        <w:rPr>
          <w:rFonts w:ascii="Garamond" w:hAnsi="Garamond"/>
          <w:sz w:val="24"/>
          <w:szCs w:val="24"/>
        </w:rPr>
        <w:t>Wohar</w:t>
      </w:r>
      <w:proofErr w:type="spellEnd"/>
      <w:r w:rsidRPr="00F975C1">
        <w:rPr>
          <w:rFonts w:ascii="Garamond" w:hAnsi="Garamond"/>
          <w:sz w:val="24"/>
          <w:szCs w:val="24"/>
        </w:rPr>
        <w:t xml:space="preserve">, M.E. (2017). Do Leading Indicators </w:t>
      </w:r>
      <w:r w:rsidR="00A54451" w:rsidRPr="0040143F">
        <w:rPr>
          <w:rFonts w:ascii="Garamond" w:hAnsi="Garamond"/>
          <w:sz w:val="24"/>
          <w:szCs w:val="24"/>
        </w:rPr>
        <w:t xml:space="preserve">Forecast U.S. Recessions? A Nonlinear Re-Evaluation Using Historical Data. </w:t>
      </w:r>
      <w:r w:rsidR="00A54451" w:rsidRPr="004A43EF">
        <w:rPr>
          <w:rFonts w:ascii="Garamond" w:hAnsi="Garamond"/>
          <w:i/>
          <w:iCs/>
          <w:sz w:val="24"/>
          <w:szCs w:val="24"/>
        </w:rPr>
        <w:t>International Finance</w:t>
      </w:r>
      <w:r w:rsidR="00A54451" w:rsidRPr="0040143F">
        <w:rPr>
          <w:rFonts w:ascii="Garamond" w:hAnsi="Garamond"/>
          <w:sz w:val="24"/>
          <w:szCs w:val="24"/>
        </w:rPr>
        <w:t>, 20(3), 289-316.</w:t>
      </w:r>
    </w:p>
    <w:p w14:paraId="6C88C98C" w14:textId="3D5D8EAB" w:rsidR="00A54451" w:rsidRPr="00DC2264" w:rsidRDefault="009C1846" w:rsidP="00DC2264">
      <w:pPr>
        <w:spacing w:after="0" w:line="240" w:lineRule="auto"/>
        <w:ind w:left="720" w:hanging="720"/>
        <w:contextualSpacing/>
        <w:jc w:val="both"/>
        <w:rPr>
          <w:rFonts w:ascii="Garamond" w:hAnsi="Garamond"/>
          <w:i/>
          <w:iCs/>
          <w:sz w:val="24"/>
          <w:szCs w:val="24"/>
        </w:rPr>
      </w:pPr>
      <w:r w:rsidRPr="00F975C1">
        <w:rPr>
          <w:rFonts w:ascii="Garamond" w:hAnsi="Garamond"/>
          <w:sz w:val="24"/>
          <w:szCs w:val="24"/>
        </w:rPr>
        <w:t xml:space="preserve">Strobel, J. (2015). On the different approaches of measuring uncertainty shocks. </w:t>
      </w:r>
      <w:r w:rsidRPr="004A43EF">
        <w:rPr>
          <w:rFonts w:ascii="Garamond" w:hAnsi="Garamond"/>
          <w:i/>
          <w:iCs/>
          <w:sz w:val="24"/>
          <w:szCs w:val="24"/>
        </w:rPr>
        <w:t xml:space="preserve">Economics </w:t>
      </w:r>
      <w:r w:rsidR="00A54451" w:rsidRPr="004A43EF">
        <w:rPr>
          <w:rFonts w:ascii="Garamond" w:hAnsi="Garamond"/>
          <w:i/>
          <w:iCs/>
          <w:sz w:val="24"/>
          <w:szCs w:val="24"/>
        </w:rPr>
        <w:t>Letters</w:t>
      </w:r>
      <w:r w:rsidR="00A54451" w:rsidRPr="0040143F">
        <w:rPr>
          <w:rFonts w:ascii="Garamond" w:hAnsi="Garamond"/>
          <w:sz w:val="24"/>
          <w:szCs w:val="24"/>
        </w:rPr>
        <w:t>, 134(C), 69-72.</w:t>
      </w:r>
    </w:p>
    <w:p w14:paraId="63A48D9F" w14:textId="77777777" w:rsidR="009C1846" w:rsidRPr="00F975C1" w:rsidRDefault="009C1846" w:rsidP="009C1846">
      <w:pPr>
        <w:spacing w:after="0" w:line="240" w:lineRule="auto"/>
        <w:ind w:right="20"/>
        <w:contextualSpacing/>
        <w:jc w:val="both"/>
        <w:rPr>
          <w:rFonts w:ascii="Garamond" w:hAnsi="Garamond"/>
          <w:sz w:val="24"/>
          <w:szCs w:val="24"/>
        </w:rPr>
      </w:pPr>
    </w:p>
    <w:p w14:paraId="4051859A" w14:textId="77777777" w:rsidR="009C1846" w:rsidRPr="00F975C1" w:rsidRDefault="00C65E24" w:rsidP="00C65E24">
      <w:pPr>
        <w:spacing w:after="0" w:line="240" w:lineRule="auto"/>
        <w:ind w:right="20"/>
        <w:contextualSpacing/>
        <w:jc w:val="center"/>
        <w:rPr>
          <w:rFonts w:ascii="Garamond" w:hAnsi="Garamond"/>
          <w:b/>
          <w:sz w:val="24"/>
          <w:szCs w:val="24"/>
        </w:rPr>
      </w:pPr>
      <w:r w:rsidRPr="00F975C1">
        <w:rPr>
          <w:rFonts w:ascii="Garamond" w:hAnsi="Garamond"/>
          <w:b/>
          <w:sz w:val="24"/>
          <w:szCs w:val="24"/>
        </w:rPr>
        <w:lastRenderedPageBreak/>
        <w:t>APPENDIX</w:t>
      </w:r>
    </w:p>
    <w:p w14:paraId="127F2EFA" w14:textId="77777777" w:rsidR="00C65E24" w:rsidRPr="00F975C1" w:rsidRDefault="00C65E24" w:rsidP="00C65E24">
      <w:pPr>
        <w:spacing w:after="0" w:line="240" w:lineRule="auto"/>
        <w:ind w:right="20"/>
        <w:contextualSpacing/>
        <w:jc w:val="center"/>
        <w:rPr>
          <w:rFonts w:ascii="Garamond" w:hAnsi="Garamond"/>
          <w:b/>
          <w:sz w:val="24"/>
          <w:szCs w:val="24"/>
        </w:rPr>
      </w:pPr>
    </w:p>
    <w:p w14:paraId="3439F1FB" w14:textId="77777777" w:rsidR="00333E87" w:rsidRPr="00F975C1" w:rsidRDefault="00333E87" w:rsidP="00333E87">
      <w:pPr>
        <w:autoSpaceDE w:val="0"/>
        <w:autoSpaceDN w:val="0"/>
        <w:adjustRightInd w:val="0"/>
        <w:spacing w:after="0" w:line="240" w:lineRule="auto"/>
        <w:rPr>
          <w:rFonts w:ascii="Garamond" w:hAnsi="Garamond" w:cs="Arial"/>
          <w:sz w:val="24"/>
          <w:szCs w:val="24"/>
        </w:rPr>
      </w:pPr>
      <w:r w:rsidRPr="00F975C1">
        <w:rPr>
          <w:rFonts w:ascii="Garamond" w:hAnsi="Garamond" w:cs="Arial"/>
          <w:b/>
          <w:sz w:val="24"/>
          <w:szCs w:val="24"/>
        </w:rPr>
        <w:t>Table A1.</w:t>
      </w:r>
      <w:r w:rsidRPr="00F975C1">
        <w:rPr>
          <w:rFonts w:ascii="Garamond" w:hAnsi="Garamond" w:cs="Arial"/>
          <w:sz w:val="24"/>
          <w:szCs w:val="24"/>
        </w:rPr>
        <w:t xml:space="preserve"> Estimation Results of EGARCH Model (</w:t>
      </w:r>
      <w:r w:rsidRPr="00F975C1">
        <w:rPr>
          <w:rFonts w:ascii="Garamond" w:hAnsi="Garamond"/>
          <w:sz w:val="24"/>
          <w:szCs w:val="24"/>
        </w:rPr>
        <w:t>6</w:t>
      </w:r>
      <w:r w:rsidRPr="00F975C1">
        <w:rPr>
          <w:rFonts w:ascii="Garamond" w:hAnsi="Garamond"/>
          <w:sz w:val="24"/>
          <w:szCs w:val="24"/>
          <w:vertAlign w:val="superscript"/>
        </w:rPr>
        <w:t>th</w:t>
      </w:r>
      <w:r w:rsidRPr="00F975C1">
        <w:rPr>
          <w:rFonts w:ascii="Garamond" w:hAnsi="Garamond"/>
          <w:sz w:val="24"/>
          <w:szCs w:val="24"/>
        </w:rPr>
        <w:t xml:space="preserve"> </w:t>
      </w:r>
      <w:proofErr w:type="gramStart"/>
      <w:r w:rsidRPr="00F975C1">
        <w:rPr>
          <w:rFonts w:ascii="Garamond" w:hAnsi="Garamond"/>
          <w:sz w:val="24"/>
          <w:szCs w:val="24"/>
        </w:rPr>
        <w:t>January,</w:t>
      </w:r>
      <w:proofErr w:type="gramEnd"/>
      <w:r w:rsidRPr="00F975C1">
        <w:rPr>
          <w:rFonts w:ascii="Garamond" w:hAnsi="Garamond"/>
          <w:sz w:val="24"/>
          <w:szCs w:val="24"/>
        </w:rPr>
        <w:t xml:space="preserve"> 1927 - 30</w:t>
      </w:r>
      <w:r w:rsidRPr="00F975C1">
        <w:rPr>
          <w:rFonts w:ascii="Garamond" w:hAnsi="Garamond"/>
          <w:sz w:val="24"/>
          <w:szCs w:val="24"/>
          <w:vertAlign w:val="superscript"/>
        </w:rPr>
        <w:t>th</w:t>
      </w:r>
      <w:r w:rsidRPr="00F975C1">
        <w:rPr>
          <w:rFonts w:ascii="Garamond" w:hAnsi="Garamond"/>
          <w:sz w:val="24"/>
          <w:szCs w:val="24"/>
        </w:rPr>
        <w:t xml:space="preserve"> November, 2016</w:t>
      </w:r>
      <w:r w:rsidRPr="00F975C1">
        <w:rPr>
          <w:rFonts w:ascii="Garamond" w:hAnsi="Garamond" w:cs="Arial"/>
          <w:sz w:val="24"/>
          <w:szCs w:val="24"/>
        </w:rPr>
        <w:t>)</w:t>
      </w:r>
    </w:p>
    <w:tbl>
      <w:tblPr>
        <w:tblW w:w="0" w:type="auto"/>
        <w:tblInd w:w="30" w:type="dxa"/>
        <w:tblLayout w:type="fixed"/>
        <w:tblCellMar>
          <w:left w:w="0" w:type="dxa"/>
          <w:right w:w="0" w:type="dxa"/>
        </w:tblCellMar>
        <w:tblLook w:val="0000" w:firstRow="0" w:lastRow="0" w:firstColumn="0" w:lastColumn="0" w:noHBand="0" w:noVBand="0"/>
      </w:tblPr>
      <w:tblGrid>
        <w:gridCol w:w="1920"/>
        <w:gridCol w:w="1050"/>
        <w:gridCol w:w="1150"/>
        <w:gridCol w:w="1150"/>
        <w:gridCol w:w="950"/>
      </w:tblGrid>
      <w:tr w:rsidR="00333E87" w:rsidRPr="00F975C1" w14:paraId="5A54D445" w14:textId="77777777" w:rsidTr="00F90590">
        <w:trPr>
          <w:trHeight w:hRule="exact" w:val="88"/>
        </w:trPr>
        <w:tc>
          <w:tcPr>
            <w:tcW w:w="1920" w:type="dxa"/>
            <w:tcBorders>
              <w:top w:val="nil"/>
              <w:left w:val="nil"/>
              <w:bottom w:val="double" w:sz="6" w:space="2" w:color="auto"/>
              <w:right w:val="nil"/>
            </w:tcBorders>
            <w:vAlign w:val="bottom"/>
          </w:tcPr>
          <w:p w14:paraId="2E04F6C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0F7B62BF"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0B87ECF1"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78998BD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35961949"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2664815F" w14:textId="77777777" w:rsidTr="00D3116B">
        <w:trPr>
          <w:trHeight w:hRule="exact" w:val="132"/>
        </w:trPr>
        <w:tc>
          <w:tcPr>
            <w:tcW w:w="1920" w:type="dxa"/>
            <w:tcBorders>
              <w:top w:val="nil"/>
              <w:left w:val="nil"/>
              <w:right w:val="nil"/>
            </w:tcBorders>
            <w:vAlign w:val="bottom"/>
          </w:tcPr>
          <w:p w14:paraId="0360313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right w:val="nil"/>
            </w:tcBorders>
            <w:vAlign w:val="bottom"/>
          </w:tcPr>
          <w:p w14:paraId="1C4DA04B"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right w:val="nil"/>
            </w:tcBorders>
            <w:vAlign w:val="bottom"/>
          </w:tcPr>
          <w:p w14:paraId="690B1A6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right w:val="nil"/>
            </w:tcBorders>
            <w:vAlign w:val="bottom"/>
          </w:tcPr>
          <w:p w14:paraId="6A002A32"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right w:val="nil"/>
            </w:tcBorders>
            <w:vAlign w:val="bottom"/>
          </w:tcPr>
          <w:p w14:paraId="235F9F06"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1334B08B" w14:textId="77777777" w:rsidTr="00D3116B">
        <w:trPr>
          <w:trHeight w:val="220"/>
        </w:trPr>
        <w:tc>
          <w:tcPr>
            <w:tcW w:w="1920" w:type="dxa"/>
            <w:tcBorders>
              <w:top w:val="nil"/>
              <w:left w:val="nil"/>
              <w:bottom w:val="single" w:sz="4" w:space="0" w:color="auto"/>
              <w:right w:val="nil"/>
            </w:tcBorders>
            <w:vAlign w:val="bottom"/>
          </w:tcPr>
          <w:p w14:paraId="78C3EB55"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r w:rsidRPr="00F975C1">
              <w:rPr>
                <w:rFonts w:ascii="Garamond" w:hAnsi="Garamond" w:cs="Arial"/>
                <w:color w:val="000000"/>
                <w:sz w:val="24"/>
                <w:szCs w:val="24"/>
              </w:rPr>
              <w:t>Parameter</w:t>
            </w:r>
          </w:p>
        </w:tc>
        <w:tc>
          <w:tcPr>
            <w:tcW w:w="1050" w:type="dxa"/>
            <w:tcBorders>
              <w:top w:val="nil"/>
              <w:left w:val="nil"/>
              <w:bottom w:val="single" w:sz="4" w:space="0" w:color="auto"/>
              <w:right w:val="nil"/>
            </w:tcBorders>
            <w:vAlign w:val="bottom"/>
          </w:tcPr>
          <w:p w14:paraId="0F280335"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Estimate</w:t>
            </w:r>
          </w:p>
        </w:tc>
        <w:tc>
          <w:tcPr>
            <w:tcW w:w="1150" w:type="dxa"/>
            <w:tcBorders>
              <w:top w:val="nil"/>
              <w:left w:val="nil"/>
              <w:bottom w:val="single" w:sz="4" w:space="0" w:color="auto"/>
              <w:right w:val="nil"/>
            </w:tcBorders>
            <w:vAlign w:val="bottom"/>
          </w:tcPr>
          <w:p w14:paraId="0D0FCE51"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color w:val="000000"/>
                <w:sz w:val="24"/>
                <w:szCs w:val="24"/>
              </w:rPr>
              <w:t>Std. Error</w:t>
            </w:r>
          </w:p>
        </w:tc>
        <w:tc>
          <w:tcPr>
            <w:tcW w:w="1150" w:type="dxa"/>
            <w:tcBorders>
              <w:top w:val="nil"/>
              <w:left w:val="nil"/>
              <w:bottom w:val="single" w:sz="4" w:space="0" w:color="auto"/>
              <w:right w:val="nil"/>
            </w:tcBorders>
            <w:vAlign w:val="bottom"/>
          </w:tcPr>
          <w:p w14:paraId="326AA689"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i/>
                <w:color w:val="000000"/>
                <w:sz w:val="24"/>
                <w:szCs w:val="24"/>
              </w:rPr>
              <w:t>z</w:t>
            </w:r>
            <w:r w:rsidRPr="00F975C1">
              <w:rPr>
                <w:rFonts w:ascii="Garamond" w:hAnsi="Garamond" w:cs="Arial"/>
                <w:color w:val="000000"/>
                <w:sz w:val="24"/>
                <w:szCs w:val="24"/>
              </w:rPr>
              <w:t>-Statistic</w:t>
            </w:r>
          </w:p>
        </w:tc>
        <w:tc>
          <w:tcPr>
            <w:tcW w:w="950" w:type="dxa"/>
            <w:tcBorders>
              <w:top w:val="nil"/>
              <w:left w:val="nil"/>
              <w:bottom w:val="single" w:sz="4" w:space="0" w:color="auto"/>
              <w:right w:val="nil"/>
            </w:tcBorders>
            <w:vAlign w:val="bottom"/>
          </w:tcPr>
          <w:p w14:paraId="40839695" w14:textId="77777777" w:rsidR="00333E87" w:rsidRPr="00F975C1" w:rsidRDefault="00333E87" w:rsidP="00F90590">
            <w:pPr>
              <w:autoSpaceDE w:val="0"/>
              <w:autoSpaceDN w:val="0"/>
              <w:adjustRightInd w:val="0"/>
              <w:spacing w:after="0" w:line="240" w:lineRule="auto"/>
              <w:ind w:right="20"/>
              <w:jc w:val="right"/>
              <w:rPr>
                <w:rFonts w:ascii="Garamond" w:hAnsi="Garamond" w:cs="Arial"/>
                <w:color w:val="000000"/>
                <w:sz w:val="24"/>
                <w:szCs w:val="24"/>
              </w:rPr>
            </w:pPr>
            <w:r w:rsidRPr="00F975C1">
              <w:rPr>
                <w:rFonts w:ascii="Garamond" w:hAnsi="Garamond" w:cs="Arial"/>
                <w:i/>
                <w:color w:val="000000"/>
                <w:sz w:val="24"/>
                <w:szCs w:val="24"/>
              </w:rPr>
              <w:t>p</w:t>
            </w:r>
            <w:r w:rsidRPr="00F975C1">
              <w:rPr>
                <w:rFonts w:ascii="Garamond" w:hAnsi="Garamond" w:cs="Arial"/>
                <w:color w:val="000000"/>
                <w:sz w:val="24"/>
                <w:szCs w:val="24"/>
              </w:rPr>
              <w:t>-value  </w:t>
            </w:r>
          </w:p>
        </w:tc>
      </w:tr>
      <w:tr w:rsidR="00C65E24" w:rsidRPr="00F975C1" w14:paraId="237B33E4" w14:textId="77777777" w:rsidTr="00D3116B">
        <w:trPr>
          <w:trHeight w:val="220"/>
        </w:trPr>
        <w:tc>
          <w:tcPr>
            <w:tcW w:w="1920" w:type="dxa"/>
            <w:tcBorders>
              <w:top w:val="single" w:sz="4" w:space="0" w:color="auto"/>
              <w:left w:val="nil"/>
              <w:bottom w:val="nil"/>
              <w:right w:val="nil"/>
            </w:tcBorders>
            <w:vAlign w:val="bottom"/>
          </w:tcPr>
          <w:p w14:paraId="676572E0" w14:textId="77777777" w:rsidR="00C65E24" w:rsidRPr="00F975C1" w:rsidRDefault="00C65E24"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single" w:sz="4" w:space="0" w:color="auto"/>
              <w:left w:val="nil"/>
              <w:bottom w:val="nil"/>
              <w:right w:val="nil"/>
            </w:tcBorders>
            <w:vAlign w:val="bottom"/>
          </w:tcPr>
          <w:p w14:paraId="39F4E5EC" w14:textId="77777777" w:rsidR="00C65E24" w:rsidRPr="00F975C1" w:rsidRDefault="00C65E24" w:rsidP="00F90590">
            <w:pPr>
              <w:autoSpaceDE w:val="0"/>
              <w:autoSpaceDN w:val="0"/>
              <w:adjustRightInd w:val="0"/>
              <w:spacing w:after="0" w:line="240" w:lineRule="auto"/>
              <w:ind w:right="20"/>
              <w:jc w:val="right"/>
              <w:rPr>
                <w:rFonts w:ascii="Garamond" w:hAnsi="Garamond" w:cs="Arial"/>
                <w:color w:val="000000"/>
                <w:sz w:val="24"/>
                <w:szCs w:val="24"/>
              </w:rPr>
            </w:pPr>
          </w:p>
        </w:tc>
        <w:tc>
          <w:tcPr>
            <w:tcW w:w="1150" w:type="dxa"/>
            <w:tcBorders>
              <w:top w:val="single" w:sz="4" w:space="0" w:color="auto"/>
              <w:left w:val="nil"/>
              <w:bottom w:val="nil"/>
              <w:right w:val="nil"/>
            </w:tcBorders>
            <w:vAlign w:val="bottom"/>
          </w:tcPr>
          <w:p w14:paraId="032573D1" w14:textId="77777777" w:rsidR="00C65E24" w:rsidRPr="00F975C1" w:rsidRDefault="00D3116B" w:rsidP="00D3116B">
            <w:pPr>
              <w:autoSpaceDE w:val="0"/>
              <w:autoSpaceDN w:val="0"/>
              <w:adjustRightInd w:val="0"/>
              <w:spacing w:after="0" w:line="240" w:lineRule="auto"/>
              <w:ind w:right="20"/>
              <w:jc w:val="center"/>
              <w:rPr>
                <w:rFonts w:ascii="Garamond" w:hAnsi="Garamond" w:cs="Arial"/>
                <w:color w:val="000000"/>
                <w:sz w:val="24"/>
                <w:szCs w:val="24"/>
              </w:rPr>
            </w:pPr>
            <w:r w:rsidRPr="00F975C1">
              <w:rPr>
                <w:rFonts w:ascii="Garamond" w:hAnsi="Garamond" w:cs="Arial"/>
                <w:color w:val="000000"/>
                <w:sz w:val="24"/>
                <w:szCs w:val="24"/>
              </w:rPr>
              <w:t>Mean Eq.</w:t>
            </w:r>
          </w:p>
        </w:tc>
        <w:tc>
          <w:tcPr>
            <w:tcW w:w="1150" w:type="dxa"/>
            <w:tcBorders>
              <w:top w:val="single" w:sz="4" w:space="0" w:color="auto"/>
              <w:left w:val="nil"/>
              <w:bottom w:val="nil"/>
              <w:right w:val="nil"/>
            </w:tcBorders>
            <w:vAlign w:val="bottom"/>
          </w:tcPr>
          <w:p w14:paraId="4ED8CDAD" w14:textId="77777777" w:rsidR="00C65E24" w:rsidRPr="00F975C1" w:rsidRDefault="00C65E24" w:rsidP="00F90590">
            <w:pPr>
              <w:autoSpaceDE w:val="0"/>
              <w:autoSpaceDN w:val="0"/>
              <w:adjustRightInd w:val="0"/>
              <w:spacing w:after="0" w:line="240" w:lineRule="auto"/>
              <w:ind w:right="20"/>
              <w:jc w:val="right"/>
              <w:rPr>
                <w:rFonts w:ascii="Garamond" w:hAnsi="Garamond" w:cs="Arial"/>
                <w:i/>
                <w:color w:val="000000"/>
                <w:sz w:val="24"/>
                <w:szCs w:val="24"/>
              </w:rPr>
            </w:pPr>
          </w:p>
        </w:tc>
        <w:tc>
          <w:tcPr>
            <w:tcW w:w="950" w:type="dxa"/>
            <w:tcBorders>
              <w:top w:val="single" w:sz="4" w:space="0" w:color="auto"/>
              <w:left w:val="nil"/>
              <w:bottom w:val="nil"/>
              <w:right w:val="nil"/>
            </w:tcBorders>
            <w:vAlign w:val="bottom"/>
          </w:tcPr>
          <w:p w14:paraId="6E573AE4" w14:textId="77777777" w:rsidR="00C65E24" w:rsidRPr="00F975C1" w:rsidRDefault="00C65E24" w:rsidP="00F90590">
            <w:pPr>
              <w:autoSpaceDE w:val="0"/>
              <w:autoSpaceDN w:val="0"/>
              <w:adjustRightInd w:val="0"/>
              <w:spacing w:after="0" w:line="240" w:lineRule="auto"/>
              <w:ind w:right="20"/>
              <w:jc w:val="right"/>
              <w:rPr>
                <w:rFonts w:ascii="Garamond" w:hAnsi="Garamond" w:cs="Arial"/>
                <w:i/>
                <w:color w:val="000000"/>
                <w:sz w:val="24"/>
                <w:szCs w:val="24"/>
              </w:rPr>
            </w:pPr>
          </w:p>
        </w:tc>
      </w:tr>
      <w:tr w:rsidR="00333E87" w:rsidRPr="00F975C1" w14:paraId="7A1D2E29" w14:textId="77777777" w:rsidTr="00F90590">
        <w:trPr>
          <w:trHeight w:hRule="exact" w:val="88"/>
        </w:trPr>
        <w:tc>
          <w:tcPr>
            <w:tcW w:w="1920" w:type="dxa"/>
            <w:tcBorders>
              <w:top w:val="nil"/>
              <w:left w:val="nil"/>
              <w:bottom w:val="double" w:sz="6" w:space="2" w:color="auto"/>
              <w:right w:val="nil"/>
            </w:tcBorders>
            <w:vAlign w:val="bottom"/>
          </w:tcPr>
          <w:p w14:paraId="48827D6E"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5112C95D"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58C3DDE9"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6D250769"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409A4A32"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r w:rsidR="00333E87" w:rsidRPr="00F975C1" w14:paraId="4F84E9F0" w14:textId="77777777" w:rsidTr="00F90590">
        <w:trPr>
          <w:trHeight w:hRule="exact" w:val="132"/>
        </w:trPr>
        <w:tc>
          <w:tcPr>
            <w:tcW w:w="1920" w:type="dxa"/>
            <w:tcBorders>
              <w:top w:val="nil"/>
              <w:left w:val="nil"/>
              <w:bottom w:val="nil"/>
              <w:right w:val="nil"/>
            </w:tcBorders>
            <w:vAlign w:val="bottom"/>
          </w:tcPr>
          <w:p w14:paraId="4C80DE7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06E379F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5FC9A595"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55E2243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5F9418B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3100543E" w14:textId="77777777" w:rsidTr="00F90590">
        <w:trPr>
          <w:trHeight w:val="220"/>
        </w:trPr>
        <w:tc>
          <w:tcPr>
            <w:tcW w:w="1920" w:type="dxa"/>
            <w:tcBorders>
              <w:top w:val="nil"/>
              <w:left w:val="nil"/>
              <w:bottom w:val="nil"/>
              <w:right w:val="nil"/>
            </w:tcBorders>
            <w:vAlign w:val="center"/>
          </w:tcPr>
          <w:p w14:paraId="390F84A3"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0"/>
            </w:r>
          </w:p>
        </w:tc>
        <w:tc>
          <w:tcPr>
            <w:tcW w:w="1050" w:type="dxa"/>
            <w:tcBorders>
              <w:top w:val="nil"/>
              <w:left w:val="nil"/>
              <w:bottom w:val="nil"/>
              <w:right w:val="nil"/>
            </w:tcBorders>
            <w:vAlign w:val="center"/>
          </w:tcPr>
          <w:p w14:paraId="2360430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0.0589</w:t>
            </w:r>
          </w:p>
        </w:tc>
        <w:tc>
          <w:tcPr>
            <w:tcW w:w="1150" w:type="dxa"/>
            <w:tcBorders>
              <w:top w:val="nil"/>
              <w:left w:val="nil"/>
              <w:bottom w:val="nil"/>
              <w:right w:val="nil"/>
            </w:tcBorders>
            <w:vAlign w:val="center"/>
          </w:tcPr>
          <w:p w14:paraId="3EF70C0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0.0066</w:t>
            </w:r>
          </w:p>
        </w:tc>
        <w:tc>
          <w:tcPr>
            <w:tcW w:w="1150" w:type="dxa"/>
            <w:tcBorders>
              <w:top w:val="nil"/>
              <w:left w:val="nil"/>
              <w:bottom w:val="nil"/>
              <w:right w:val="nil"/>
            </w:tcBorders>
            <w:vAlign w:val="center"/>
          </w:tcPr>
          <w:p w14:paraId="2696194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8.9698</w:t>
            </w:r>
          </w:p>
        </w:tc>
        <w:tc>
          <w:tcPr>
            <w:tcW w:w="950" w:type="dxa"/>
            <w:tcBorders>
              <w:top w:val="nil"/>
              <w:left w:val="nil"/>
              <w:bottom w:val="nil"/>
              <w:right w:val="nil"/>
            </w:tcBorders>
            <w:vAlign w:val="center"/>
          </w:tcPr>
          <w:p w14:paraId="6754885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0808F870" w14:textId="77777777" w:rsidTr="00F90590">
        <w:trPr>
          <w:trHeight w:val="220"/>
        </w:trPr>
        <w:tc>
          <w:tcPr>
            <w:tcW w:w="1920" w:type="dxa"/>
            <w:tcBorders>
              <w:top w:val="nil"/>
              <w:left w:val="nil"/>
              <w:bottom w:val="nil"/>
              <w:right w:val="nil"/>
            </w:tcBorders>
            <w:vAlign w:val="center"/>
          </w:tcPr>
          <w:p w14:paraId="74AC9D0C"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1D11BCF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-0.0197</w:t>
            </w:r>
          </w:p>
        </w:tc>
        <w:tc>
          <w:tcPr>
            <w:tcW w:w="1150" w:type="dxa"/>
            <w:tcBorders>
              <w:top w:val="nil"/>
              <w:left w:val="nil"/>
              <w:bottom w:val="nil"/>
              <w:right w:val="nil"/>
            </w:tcBorders>
            <w:vAlign w:val="center"/>
          </w:tcPr>
          <w:p w14:paraId="4C8BF17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0.0138</w:t>
            </w:r>
          </w:p>
        </w:tc>
        <w:tc>
          <w:tcPr>
            <w:tcW w:w="1150" w:type="dxa"/>
            <w:tcBorders>
              <w:top w:val="nil"/>
              <w:left w:val="nil"/>
              <w:bottom w:val="nil"/>
              <w:right w:val="nil"/>
            </w:tcBorders>
            <w:vAlign w:val="center"/>
          </w:tcPr>
          <w:p w14:paraId="2FBBBEA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-1.4329</w:t>
            </w:r>
          </w:p>
        </w:tc>
        <w:tc>
          <w:tcPr>
            <w:tcW w:w="950" w:type="dxa"/>
            <w:tcBorders>
              <w:top w:val="nil"/>
              <w:left w:val="nil"/>
              <w:bottom w:val="nil"/>
              <w:right w:val="nil"/>
            </w:tcBorders>
            <w:vAlign w:val="center"/>
          </w:tcPr>
          <w:p w14:paraId="508E8EC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0.1519</w:t>
            </w:r>
          </w:p>
        </w:tc>
      </w:tr>
      <w:tr w:rsidR="00333E87" w:rsidRPr="00F975C1" w14:paraId="5E3D555C" w14:textId="77777777" w:rsidTr="00F90590">
        <w:trPr>
          <w:trHeight w:val="220"/>
        </w:trPr>
        <w:tc>
          <w:tcPr>
            <w:tcW w:w="1920" w:type="dxa"/>
            <w:tcBorders>
              <w:top w:val="nil"/>
              <w:left w:val="nil"/>
              <w:bottom w:val="nil"/>
              <w:right w:val="nil"/>
            </w:tcBorders>
            <w:vAlign w:val="center"/>
          </w:tcPr>
          <w:p w14:paraId="5B2F895F"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2"/>
            </w:r>
          </w:p>
        </w:tc>
        <w:tc>
          <w:tcPr>
            <w:tcW w:w="1050" w:type="dxa"/>
            <w:tcBorders>
              <w:top w:val="nil"/>
              <w:left w:val="nil"/>
              <w:bottom w:val="nil"/>
              <w:right w:val="nil"/>
            </w:tcBorders>
            <w:vAlign w:val="center"/>
          </w:tcPr>
          <w:p w14:paraId="49B5F38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0.0015</w:t>
            </w:r>
          </w:p>
        </w:tc>
        <w:tc>
          <w:tcPr>
            <w:tcW w:w="1150" w:type="dxa"/>
            <w:tcBorders>
              <w:top w:val="nil"/>
              <w:left w:val="nil"/>
              <w:bottom w:val="nil"/>
              <w:right w:val="nil"/>
            </w:tcBorders>
            <w:vAlign w:val="center"/>
          </w:tcPr>
          <w:p w14:paraId="644D539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0.0162</w:t>
            </w:r>
          </w:p>
        </w:tc>
        <w:tc>
          <w:tcPr>
            <w:tcW w:w="1150" w:type="dxa"/>
            <w:tcBorders>
              <w:top w:val="nil"/>
              <w:left w:val="nil"/>
              <w:bottom w:val="nil"/>
              <w:right w:val="nil"/>
            </w:tcBorders>
            <w:vAlign w:val="center"/>
          </w:tcPr>
          <w:p w14:paraId="058CD33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0.0915</w:t>
            </w:r>
          </w:p>
        </w:tc>
        <w:tc>
          <w:tcPr>
            <w:tcW w:w="950" w:type="dxa"/>
            <w:tcBorders>
              <w:top w:val="nil"/>
              <w:left w:val="nil"/>
              <w:bottom w:val="nil"/>
              <w:right w:val="nil"/>
            </w:tcBorders>
            <w:vAlign w:val="center"/>
          </w:tcPr>
          <w:p w14:paraId="069005DB"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0.9271</w:t>
            </w:r>
          </w:p>
        </w:tc>
      </w:tr>
      <w:tr w:rsidR="00333E87" w:rsidRPr="00F975C1" w14:paraId="40A9FDBC" w14:textId="77777777" w:rsidTr="00F90590">
        <w:trPr>
          <w:trHeight w:val="220"/>
        </w:trPr>
        <w:tc>
          <w:tcPr>
            <w:tcW w:w="1920" w:type="dxa"/>
            <w:tcBorders>
              <w:top w:val="nil"/>
              <w:left w:val="nil"/>
              <w:bottom w:val="nil"/>
              <w:right w:val="nil"/>
            </w:tcBorders>
            <w:vAlign w:val="center"/>
          </w:tcPr>
          <w:p w14:paraId="72008A1A"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3"/>
            </w:r>
          </w:p>
        </w:tc>
        <w:tc>
          <w:tcPr>
            <w:tcW w:w="1050" w:type="dxa"/>
            <w:tcBorders>
              <w:top w:val="nil"/>
              <w:left w:val="nil"/>
              <w:bottom w:val="nil"/>
              <w:right w:val="nil"/>
            </w:tcBorders>
            <w:vAlign w:val="center"/>
          </w:tcPr>
          <w:p w14:paraId="19BF05E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-3.6501</w:t>
            </w:r>
          </w:p>
        </w:tc>
        <w:tc>
          <w:tcPr>
            <w:tcW w:w="1150" w:type="dxa"/>
            <w:tcBorders>
              <w:top w:val="nil"/>
              <w:left w:val="nil"/>
              <w:bottom w:val="nil"/>
              <w:right w:val="nil"/>
            </w:tcBorders>
            <w:vAlign w:val="center"/>
          </w:tcPr>
          <w:p w14:paraId="50531FF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1.3779</w:t>
            </w:r>
          </w:p>
        </w:tc>
        <w:tc>
          <w:tcPr>
            <w:tcW w:w="1150" w:type="dxa"/>
            <w:tcBorders>
              <w:top w:val="nil"/>
              <w:left w:val="nil"/>
              <w:bottom w:val="nil"/>
              <w:right w:val="nil"/>
            </w:tcBorders>
            <w:vAlign w:val="center"/>
          </w:tcPr>
          <w:p w14:paraId="1FFD98BA"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-2.6491</w:t>
            </w:r>
          </w:p>
        </w:tc>
        <w:tc>
          <w:tcPr>
            <w:tcW w:w="950" w:type="dxa"/>
            <w:tcBorders>
              <w:top w:val="nil"/>
              <w:left w:val="nil"/>
              <w:bottom w:val="nil"/>
              <w:right w:val="nil"/>
            </w:tcBorders>
            <w:vAlign w:val="center"/>
          </w:tcPr>
          <w:p w14:paraId="5ED8DD2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0.0081</w:t>
            </w:r>
          </w:p>
        </w:tc>
      </w:tr>
      <w:tr w:rsidR="00333E87" w:rsidRPr="00F975C1" w14:paraId="6F3300C7" w14:textId="77777777" w:rsidTr="00F90590">
        <w:trPr>
          <w:trHeight w:val="220"/>
        </w:trPr>
        <w:tc>
          <w:tcPr>
            <w:tcW w:w="1920" w:type="dxa"/>
            <w:tcBorders>
              <w:top w:val="nil"/>
              <w:left w:val="nil"/>
              <w:bottom w:val="nil"/>
              <w:right w:val="nil"/>
            </w:tcBorders>
            <w:vAlign w:val="center"/>
          </w:tcPr>
          <w:p w14:paraId="5477EED6"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4"/>
            </w:r>
          </w:p>
        </w:tc>
        <w:tc>
          <w:tcPr>
            <w:tcW w:w="1050" w:type="dxa"/>
            <w:tcBorders>
              <w:top w:val="nil"/>
              <w:left w:val="nil"/>
              <w:bottom w:val="nil"/>
              <w:right w:val="nil"/>
            </w:tcBorders>
            <w:vAlign w:val="center"/>
          </w:tcPr>
          <w:p w14:paraId="181263E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1.4853</w:t>
            </w:r>
          </w:p>
        </w:tc>
        <w:tc>
          <w:tcPr>
            <w:tcW w:w="1150" w:type="dxa"/>
            <w:tcBorders>
              <w:top w:val="nil"/>
              <w:left w:val="nil"/>
              <w:bottom w:val="nil"/>
              <w:right w:val="nil"/>
            </w:tcBorders>
            <w:vAlign w:val="center"/>
          </w:tcPr>
          <w:p w14:paraId="148F7ECB"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1.3164</w:t>
            </w:r>
          </w:p>
        </w:tc>
        <w:tc>
          <w:tcPr>
            <w:tcW w:w="1150" w:type="dxa"/>
            <w:tcBorders>
              <w:top w:val="nil"/>
              <w:left w:val="nil"/>
              <w:bottom w:val="nil"/>
              <w:right w:val="nil"/>
            </w:tcBorders>
            <w:vAlign w:val="center"/>
          </w:tcPr>
          <w:p w14:paraId="5FFFFE79"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1.1283</w:t>
            </w:r>
          </w:p>
        </w:tc>
        <w:tc>
          <w:tcPr>
            <w:tcW w:w="950" w:type="dxa"/>
            <w:tcBorders>
              <w:top w:val="nil"/>
              <w:left w:val="nil"/>
              <w:bottom w:val="nil"/>
              <w:right w:val="nil"/>
            </w:tcBorders>
            <w:vAlign w:val="center"/>
          </w:tcPr>
          <w:p w14:paraId="7AD241CB"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0.2592</w:t>
            </w:r>
          </w:p>
        </w:tc>
      </w:tr>
      <w:tr w:rsidR="00333E87" w:rsidRPr="00F975C1" w14:paraId="78EAE452" w14:textId="77777777" w:rsidTr="00F90590">
        <w:trPr>
          <w:trHeight w:val="220"/>
        </w:trPr>
        <w:tc>
          <w:tcPr>
            <w:tcW w:w="1920" w:type="dxa"/>
            <w:tcBorders>
              <w:top w:val="nil"/>
              <w:left w:val="nil"/>
              <w:bottom w:val="nil"/>
              <w:right w:val="nil"/>
            </w:tcBorders>
            <w:vAlign w:val="center"/>
          </w:tcPr>
          <w:p w14:paraId="12B1D233"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D"/>
            </w:r>
            <w:r w:rsidRPr="004A43EF">
              <w:rPr>
                <w:rFonts w:ascii="Garamond" w:hAnsi="Garamond" w:cs="Calibri"/>
                <w:color w:val="000000"/>
                <w:sz w:val="24"/>
                <w:szCs w:val="24"/>
                <w:vertAlign w:val="subscript"/>
              </w:rPr>
              <w:sym w:font="Symbol" w:char="F035"/>
            </w:r>
          </w:p>
        </w:tc>
        <w:tc>
          <w:tcPr>
            <w:tcW w:w="1050" w:type="dxa"/>
            <w:tcBorders>
              <w:top w:val="nil"/>
              <w:left w:val="nil"/>
              <w:bottom w:val="nil"/>
              <w:right w:val="nil"/>
            </w:tcBorders>
            <w:vAlign w:val="center"/>
          </w:tcPr>
          <w:p w14:paraId="4AD9A46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0.0026</w:t>
            </w:r>
          </w:p>
        </w:tc>
        <w:tc>
          <w:tcPr>
            <w:tcW w:w="1150" w:type="dxa"/>
            <w:tcBorders>
              <w:top w:val="nil"/>
              <w:left w:val="nil"/>
              <w:bottom w:val="nil"/>
              <w:right w:val="nil"/>
            </w:tcBorders>
            <w:vAlign w:val="center"/>
          </w:tcPr>
          <w:p w14:paraId="1A84CDE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0.0141</w:t>
            </w:r>
          </w:p>
        </w:tc>
        <w:tc>
          <w:tcPr>
            <w:tcW w:w="1150" w:type="dxa"/>
            <w:tcBorders>
              <w:top w:val="nil"/>
              <w:left w:val="nil"/>
              <w:bottom w:val="nil"/>
              <w:right w:val="nil"/>
            </w:tcBorders>
            <w:vAlign w:val="center"/>
          </w:tcPr>
          <w:p w14:paraId="73DBB92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0.1808</w:t>
            </w:r>
          </w:p>
        </w:tc>
        <w:tc>
          <w:tcPr>
            <w:tcW w:w="950" w:type="dxa"/>
            <w:tcBorders>
              <w:top w:val="nil"/>
              <w:left w:val="nil"/>
              <w:bottom w:val="nil"/>
              <w:right w:val="nil"/>
            </w:tcBorders>
            <w:vAlign w:val="center"/>
          </w:tcPr>
          <w:p w14:paraId="4F5B341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0.8565</w:t>
            </w:r>
          </w:p>
        </w:tc>
      </w:tr>
      <w:tr w:rsidR="00333E87" w:rsidRPr="00F975C1" w14:paraId="7FF27F2D" w14:textId="77777777" w:rsidTr="00F90590">
        <w:trPr>
          <w:trHeight w:hRule="exact" w:val="88"/>
        </w:trPr>
        <w:tc>
          <w:tcPr>
            <w:tcW w:w="1920" w:type="dxa"/>
            <w:tcBorders>
              <w:top w:val="nil"/>
              <w:left w:val="nil"/>
              <w:bottom w:val="double" w:sz="6" w:space="2" w:color="auto"/>
              <w:right w:val="nil"/>
            </w:tcBorders>
            <w:vAlign w:val="bottom"/>
          </w:tcPr>
          <w:p w14:paraId="664608EF"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27D1AF7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324423C5"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7B1D0C5D"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247036C9"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1509E188" w14:textId="77777777" w:rsidTr="00F90590">
        <w:trPr>
          <w:trHeight w:hRule="exact" w:val="132"/>
        </w:trPr>
        <w:tc>
          <w:tcPr>
            <w:tcW w:w="1920" w:type="dxa"/>
            <w:tcBorders>
              <w:top w:val="nil"/>
              <w:left w:val="nil"/>
              <w:bottom w:val="nil"/>
              <w:right w:val="nil"/>
            </w:tcBorders>
            <w:vAlign w:val="bottom"/>
          </w:tcPr>
          <w:p w14:paraId="1505F077"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1FE6B65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70ECCD9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4796F77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05A138B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03942E00" w14:textId="77777777" w:rsidTr="00F90590">
        <w:trPr>
          <w:trHeight w:val="220"/>
        </w:trPr>
        <w:tc>
          <w:tcPr>
            <w:tcW w:w="1920" w:type="dxa"/>
            <w:tcBorders>
              <w:top w:val="nil"/>
              <w:left w:val="nil"/>
              <w:bottom w:val="nil"/>
              <w:right w:val="nil"/>
            </w:tcBorders>
            <w:vAlign w:val="bottom"/>
          </w:tcPr>
          <w:p w14:paraId="371DED75"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2200" w:type="dxa"/>
            <w:gridSpan w:val="2"/>
            <w:tcBorders>
              <w:top w:val="nil"/>
              <w:left w:val="nil"/>
              <w:bottom w:val="nil"/>
              <w:right w:val="nil"/>
            </w:tcBorders>
            <w:vAlign w:val="bottom"/>
          </w:tcPr>
          <w:p w14:paraId="122B6D2F" w14:textId="77777777" w:rsidR="00333E87" w:rsidRPr="00F975C1" w:rsidRDefault="00D3116B" w:rsidP="00F90590">
            <w:pPr>
              <w:autoSpaceDE w:val="0"/>
              <w:autoSpaceDN w:val="0"/>
              <w:adjustRightInd w:val="0"/>
              <w:spacing w:after="0" w:line="240" w:lineRule="auto"/>
              <w:contextualSpacing/>
              <w:jc w:val="center"/>
              <w:rPr>
                <w:rFonts w:ascii="Garamond" w:hAnsi="Garamond" w:cs="Arial"/>
                <w:color w:val="000000"/>
                <w:sz w:val="24"/>
                <w:szCs w:val="24"/>
              </w:rPr>
            </w:pPr>
            <w:r w:rsidRPr="00F975C1">
              <w:rPr>
                <w:rFonts w:ascii="Garamond" w:hAnsi="Garamond" w:cs="Arial"/>
                <w:color w:val="000000"/>
                <w:sz w:val="24"/>
                <w:szCs w:val="24"/>
              </w:rPr>
              <w:t>Variance Eq.</w:t>
            </w:r>
          </w:p>
        </w:tc>
        <w:tc>
          <w:tcPr>
            <w:tcW w:w="1150" w:type="dxa"/>
            <w:tcBorders>
              <w:top w:val="nil"/>
              <w:left w:val="nil"/>
              <w:bottom w:val="nil"/>
              <w:right w:val="nil"/>
            </w:tcBorders>
            <w:vAlign w:val="bottom"/>
          </w:tcPr>
          <w:p w14:paraId="2708691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08B42FA3"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4C17D8CB" w14:textId="77777777" w:rsidTr="00F90590">
        <w:trPr>
          <w:trHeight w:hRule="exact" w:val="88"/>
        </w:trPr>
        <w:tc>
          <w:tcPr>
            <w:tcW w:w="1920" w:type="dxa"/>
            <w:tcBorders>
              <w:top w:val="nil"/>
              <w:left w:val="nil"/>
              <w:bottom w:val="double" w:sz="6" w:space="2" w:color="auto"/>
              <w:right w:val="nil"/>
            </w:tcBorders>
            <w:vAlign w:val="bottom"/>
          </w:tcPr>
          <w:p w14:paraId="66B568CD"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5882602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1CAFB6A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1BFEC929"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1877EEFB"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26F96421" w14:textId="77777777" w:rsidTr="00F90590">
        <w:trPr>
          <w:trHeight w:hRule="exact" w:val="132"/>
        </w:trPr>
        <w:tc>
          <w:tcPr>
            <w:tcW w:w="1920" w:type="dxa"/>
            <w:tcBorders>
              <w:top w:val="nil"/>
              <w:left w:val="nil"/>
              <w:bottom w:val="nil"/>
              <w:right w:val="nil"/>
            </w:tcBorders>
            <w:vAlign w:val="bottom"/>
          </w:tcPr>
          <w:p w14:paraId="49E4B3C5"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65D1661B"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2D46F5F9"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165714F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25CC3AD2"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6CADB68B" w14:textId="77777777" w:rsidTr="00F90590">
        <w:trPr>
          <w:trHeight w:val="220"/>
        </w:trPr>
        <w:tc>
          <w:tcPr>
            <w:tcW w:w="1920" w:type="dxa"/>
            <w:tcBorders>
              <w:top w:val="nil"/>
              <w:left w:val="nil"/>
              <w:bottom w:val="nil"/>
              <w:right w:val="nil"/>
            </w:tcBorders>
            <w:vAlign w:val="center"/>
          </w:tcPr>
          <w:p w14:paraId="488317A9"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1"/>
            </w:r>
            <w:r w:rsidRPr="004A43EF">
              <w:rPr>
                <w:rFonts w:ascii="Garamond" w:hAnsi="Garamond" w:cs="Calibri"/>
                <w:color w:val="000000"/>
                <w:sz w:val="24"/>
                <w:szCs w:val="24"/>
                <w:vertAlign w:val="subscript"/>
              </w:rPr>
              <w:sym w:font="Symbol" w:char="F030"/>
            </w:r>
          </w:p>
        </w:tc>
        <w:tc>
          <w:tcPr>
            <w:tcW w:w="1050" w:type="dxa"/>
            <w:tcBorders>
              <w:top w:val="nil"/>
              <w:left w:val="nil"/>
              <w:bottom w:val="nil"/>
              <w:right w:val="nil"/>
            </w:tcBorders>
            <w:vAlign w:val="center"/>
          </w:tcPr>
          <w:p w14:paraId="682F87C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-0.1088</w:t>
            </w:r>
          </w:p>
        </w:tc>
        <w:tc>
          <w:tcPr>
            <w:tcW w:w="1150" w:type="dxa"/>
            <w:tcBorders>
              <w:top w:val="nil"/>
              <w:left w:val="nil"/>
              <w:bottom w:val="nil"/>
              <w:right w:val="nil"/>
            </w:tcBorders>
            <w:vAlign w:val="center"/>
          </w:tcPr>
          <w:p w14:paraId="0278F84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0.0029</w:t>
            </w:r>
          </w:p>
        </w:tc>
        <w:tc>
          <w:tcPr>
            <w:tcW w:w="1150" w:type="dxa"/>
            <w:tcBorders>
              <w:top w:val="nil"/>
              <w:left w:val="nil"/>
              <w:bottom w:val="nil"/>
              <w:right w:val="nil"/>
            </w:tcBorders>
            <w:vAlign w:val="center"/>
          </w:tcPr>
          <w:p w14:paraId="75D854A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-38.1904</w:t>
            </w:r>
          </w:p>
        </w:tc>
        <w:tc>
          <w:tcPr>
            <w:tcW w:w="950" w:type="dxa"/>
            <w:tcBorders>
              <w:top w:val="nil"/>
              <w:left w:val="nil"/>
              <w:bottom w:val="nil"/>
              <w:right w:val="nil"/>
            </w:tcBorders>
            <w:vAlign w:val="center"/>
          </w:tcPr>
          <w:p w14:paraId="0733E39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27D6475A" w14:textId="77777777" w:rsidTr="00F90590">
        <w:trPr>
          <w:trHeight w:val="220"/>
        </w:trPr>
        <w:tc>
          <w:tcPr>
            <w:tcW w:w="1920" w:type="dxa"/>
            <w:tcBorders>
              <w:top w:val="nil"/>
              <w:left w:val="nil"/>
              <w:bottom w:val="nil"/>
              <w:right w:val="nil"/>
            </w:tcBorders>
            <w:vAlign w:val="center"/>
          </w:tcPr>
          <w:p w14:paraId="5F40EB47"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1"/>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588EFB8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-0.0614</w:t>
            </w:r>
          </w:p>
        </w:tc>
        <w:tc>
          <w:tcPr>
            <w:tcW w:w="1150" w:type="dxa"/>
            <w:tcBorders>
              <w:top w:val="nil"/>
              <w:left w:val="nil"/>
              <w:bottom w:val="nil"/>
              <w:right w:val="nil"/>
            </w:tcBorders>
            <w:vAlign w:val="center"/>
          </w:tcPr>
          <w:p w14:paraId="00534F3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0.0019</w:t>
            </w:r>
          </w:p>
        </w:tc>
        <w:tc>
          <w:tcPr>
            <w:tcW w:w="1150" w:type="dxa"/>
            <w:tcBorders>
              <w:top w:val="nil"/>
              <w:left w:val="nil"/>
              <w:bottom w:val="nil"/>
              <w:right w:val="nil"/>
            </w:tcBorders>
            <w:vAlign w:val="center"/>
          </w:tcPr>
          <w:p w14:paraId="1713CD0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-32.2449</w:t>
            </w:r>
          </w:p>
        </w:tc>
        <w:tc>
          <w:tcPr>
            <w:tcW w:w="950" w:type="dxa"/>
            <w:tcBorders>
              <w:top w:val="nil"/>
              <w:left w:val="nil"/>
              <w:bottom w:val="nil"/>
              <w:right w:val="nil"/>
            </w:tcBorders>
            <w:vAlign w:val="center"/>
          </w:tcPr>
          <w:p w14:paraId="6DAD2E4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32614C28" w14:textId="77777777" w:rsidTr="00F90590">
        <w:trPr>
          <w:trHeight w:val="220"/>
        </w:trPr>
        <w:tc>
          <w:tcPr>
            <w:tcW w:w="1920" w:type="dxa"/>
            <w:tcBorders>
              <w:top w:val="nil"/>
              <w:left w:val="nil"/>
              <w:bottom w:val="nil"/>
              <w:right w:val="nil"/>
            </w:tcBorders>
            <w:vAlign w:val="center"/>
          </w:tcPr>
          <w:p w14:paraId="627C0BA7"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7"/>
            </w:r>
          </w:p>
        </w:tc>
        <w:tc>
          <w:tcPr>
            <w:tcW w:w="1050" w:type="dxa"/>
            <w:tcBorders>
              <w:top w:val="nil"/>
              <w:left w:val="nil"/>
              <w:bottom w:val="nil"/>
              <w:right w:val="nil"/>
            </w:tcBorders>
            <w:vAlign w:val="center"/>
          </w:tcPr>
          <w:p w14:paraId="4BD7FC34"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0.1253</w:t>
            </w:r>
          </w:p>
        </w:tc>
        <w:tc>
          <w:tcPr>
            <w:tcW w:w="1150" w:type="dxa"/>
            <w:tcBorders>
              <w:top w:val="nil"/>
              <w:left w:val="nil"/>
              <w:bottom w:val="nil"/>
              <w:right w:val="nil"/>
            </w:tcBorders>
            <w:vAlign w:val="center"/>
          </w:tcPr>
          <w:p w14:paraId="37F33E5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0.0032</w:t>
            </w:r>
          </w:p>
        </w:tc>
        <w:tc>
          <w:tcPr>
            <w:tcW w:w="1150" w:type="dxa"/>
            <w:tcBorders>
              <w:top w:val="nil"/>
              <w:left w:val="nil"/>
              <w:bottom w:val="nil"/>
              <w:right w:val="nil"/>
            </w:tcBorders>
            <w:vAlign w:val="center"/>
          </w:tcPr>
          <w:p w14:paraId="09AC701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39.0688</w:t>
            </w:r>
          </w:p>
        </w:tc>
        <w:tc>
          <w:tcPr>
            <w:tcW w:w="950" w:type="dxa"/>
            <w:tcBorders>
              <w:top w:val="nil"/>
              <w:left w:val="nil"/>
              <w:bottom w:val="nil"/>
              <w:right w:val="nil"/>
            </w:tcBorders>
            <w:vAlign w:val="center"/>
          </w:tcPr>
          <w:p w14:paraId="375426CD"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2A588683" w14:textId="77777777" w:rsidTr="00F90590">
        <w:trPr>
          <w:trHeight w:val="220"/>
        </w:trPr>
        <w:tc>
          <w:tcPr>
            <w:tcW w:w="1920" w:type="dxa"/>
            <w:tcBorders>
              <w:top w:val="nil"/>
              <w:left w:val="nil"/>
              <w:bottom w:val="nil"/>
              <w:right w:val="nil"/>
            </w:tcBorders>
            <w:vAlign w:val="center"/>
          </w:tcPr>
          <w:p w14:paraId="59B37186"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62"/>
            </w:r>
          </w:p>
        </w:tc>
        <w:tc>
          <w:tcPr>
            <w:tcW w:w="1050" w:type="dxa"/>
            <w:tcBorders>
              <w:top w:val="nil"/>
              <w:left w:val="nil"/>
              <w:bottom w:val="nil"/>
              <w:right w:val="nil"/>
            </w:tcBorders>
            <w:vAlign w:val="center"/>
          </w:tcPr>
          <w:p w14:paraId="5416F719"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0.9826</w:t>
            </w:r>
          </w:p>
        </w:tc>
        <w:tc>
          <w:tcPr>
            <w:tcW w:w="1150" w:type="dxa"/>
            <w:tcBorders>
              <w:top w:val="nil"/>
              <w:left w:val="nil"/>
              <w:bottom w:val="nil"/>
              <w:right w:val="nil"/>
            </w:tcBorders>
            <w:vAlign w:val="center"/>
          </w:tcPr>
          <w:p w14:paraId="1012569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0.0008</w:t>
            </w:r>
          </w:p>
        </w:tc>
        <w:tc>
          <w:tcPr>
            <w:tcW w:w="1150" w:type="dxa"/>
            <w:tcBorders>
              <w:top w:val="nil"/>
              <w:left w:val="nil"/>
              <w:bottom w:val="nil"/>
              <w:right w:val="nil"/>
            </w:tcBorders>
            <w:vAlign w:val="center"/>
          </w:tcPr>
          <w:p w14:paraId="2A91D1C1"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1204.2060</w:t>
            </w:r>
          </w:p>
        </w:tc>
        <w:tc>
          <w:tcPr>
            <w:tcW w:w="950" w:type="dxa"/>
            <w:tcBorders>
              <w:top w:val="nil"/>
              <w:left w:val="nil"/>
              <w:bottom w:val="nil"/>
              <w:right w:val="nil"/>
            </w:tcBorders>
            <w:vAlign w:val="center"/>
          </w:tcPr>
          <w:p w14:paraId="3728913C"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0BF23007" w14:textId="77777777" w:rsidTr="00F90590">
        <w:trPr>
          <w:trHeight w:val="220"/>
        </w:trPr>
        <w:tc>
          <w:tcPr>
            <w:tcW w:w="1920" w:type="dxa"/>
            <w:tcBorders>
              <w:top w:val="nil"/>
              <w:left w:val="nil"/>
              <w:bottom w:val="nil"/>
              <w:right w:val="nil"/>
            </w:tcBorders>
            <w:vAlign w:val="center"/>
          </w:tcPr>
          <w:p w14:paraId="212D0FA8"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1"/>
            </w:r>
          </w:p>
        </w:tc>
        <w:tc>
          <w:tcPr>
            <w:tcW w:w="1050" w:type="dxa"/>
            <w:tcBorders>
              <w:top w:val="nil"/>
              <w:left w:val="nil"/>
              <w:bottom w:val="nil"/>
              <w:right w:val="nil"/>
            </w:tcBorders>
            <w:vAlign w:val="center"/>
          </w:tcPr>
          <w:p w14:paraId="58BE5F1F"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-0.0251</w:t>
            </w:r>
          </w:p>
        </w:tc>
        <w:tc>
          <w:tcPr>
            <w:tcW w:w="1150" w:type="dxa"/>
            <w:tcBorders>
              <w:top w:val="nil"/>
              <w:left w:val="nil"/>
              <w:bottom w:val="nil"/>
              <w:right w:val="nil"/>
            </w:tcBorders>
            <w:vAlign w:val="center"/>
          </w:tcPr>
          <w:p w14:paraId="1A53FFDB"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0.0075</w:t>
            </w:r>
          </w:p>
        </w:tc>
        <w:tc>
          <w:tcPr>
            <w:tcW w:w="1150" w:type="dxa"/>
            <w:tcBorders>
              <w:top w:val="nil"/>
              <w:left w:val="nil"/>
              <w:bottom w:val="nil"/>
              <w:right w:val="nil"/>
            </w:tcBorders>
            <w:vAlign w:val="center"/>
          </w:tcPr>
          <w:p w14:paraId="238B350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-3.3571</w:t>
            </w:r>
          </w:p>
        </w:tc>
        <w:tc>
          <w:tcPr>
            <w:tcW w:w="950" w:type="dxa"/>
            <w:tcBorders>
              <w:top w:val="nil"/>
              <w:left w:val="nil"/>
              <w:bottom w:val="nil"/>
              <w:right w:val="nil"/>
            </w:tcBorders>
            <w:vAlign w:val="center"/>
          </w:tcPr>
          <w:p w14:paraId="2E7CFC9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0.0008</w:t>
            </w:r>
          </w:p>
        </w:tc>
      </w:tr>
      <w:tr w:rsidR="00333E87" w:rsidRPr="00F975C1" w14:paraId="19853F01" w14:textId="77777777" w:rsidTr="00F90590">
        <w:trPr>
          <w:trHeight w:val="220"/>
        </w:trPr>
        <w:tc>
          <w:tcPr>
            <w:tcW w:w="1920" w:type="dxa"/>
            <w:tcBorders>
              <w:top w:val="nil"/>
              <w:left w:val="nil"/>
              <w:bottom w:val="nil"/>
              <w:right w:val="nil"/>
            </w:tcBorders>
            <w:vAlign w:val="center"/>
          </w:tcPr>
          <w:p w14:paraId="65293EDA"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2"/>
            </w:r>
          </w:p>
        </w:tc>
        <w:tc>
          <w:tcPr>
            <w:tcW w:w="1050" w:type="dxa"/>
            <w:tcBorders>
              <w:top w:val="nil"/>
              <w:left w:val="nil"/>
              <w:bottom w:val="nil"/>
              <w:right w:val="nil"/>
            </w:tcBorders>
            <w:vAlign w:val="center"/>
          </w:tcPr>
          <w:p w14:paraId="7A5D27E1"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0.0102</w:t>
            </w:r>
          </w:p>
        </w:tc>
        <w:tc>
          <w:tcPr>
            <w:tcW w:w="1150" w:type="dxa"/>
            <w:tcBorders>
              <w:top w:val="nil"/>
              <w:left w:val="nil"/>
              <w:bottom w:val="nil"/>
              <w:right w:val="nil"/>
            </w:tcBorders>
            <w:vAlign w:val="center"/>
          </w:tcPr>
          <w:p w14:paraId="62CFD82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0.0070</w:t>
            </w:r>
          </w:p>
        </w:tc>
        <w:tc>
          <w:tcPr>
            <w:tcW w:w="1150" w:type="dxa"/>
            <w:tcBorders>
              <w:top w:val="nil"/>
              <w:left w:val="nil"/>
              <w:bottom w:val="nil"/>
              <w:right w:val="nil"/>
            </w:tcBorders>
            <w:vAlign w:val="center"/>
          </w:tcPr>
          <w:p w14:paraId="5AA41BEB"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1.4731</w:t>
            </w:r>
          </w:p>
        </w:tc>
        <w:tc>
          <w:tcPr>
            <w:tcW w:w="950" w:type="dxa"/>
            <w:tcBorders>
              <w:top w:val="nil"/>
              <w:left w:val="nil"/>
              <w:bottom w:val="nil"/>
              <w:right w:val="nil"/>
            </w:tcBorders>
            <w:vAlign w:val="center"/>
          </w:tcPr>
          <w:p w14:paraId="64CFF8B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0.1407</w:t>
            </w:r>
          </w:p>
        </w:tc>
      </w:tr>
      <w:tr w:rsidR="00333E87" w:rsidRPr="00F975C1" w14:paraId="67341DB0" w14:textId="77777777" w:rsidTr="00F90590">
        <w:trPr>
          <w:trHeight w:val="220"/>
        </w:trPr>
        <w:tc>
          <w:tcPr>
            <w:tcW w:w="1920" w:type="dxa"/>
            <w:tcBorders>
              <w:top w:val="nil"/>
              <w:left w:val="nil"/>
              <w:bottom w:val="nil"/>
              <w:right w:val="nil"/>
            </w:tcBorders>
            <w:vAlign w:val="center"/>
          </w:tcPr>
          <w:p w14:paraId="27CEB785"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3"/>
            </w:r>
          </w:p>
        </w:tc>
        <w:tc>
          <w:tcPr>
            <w:tcW w:w="1050" w:type="dxa"/>
            <w:tcBorders>
              <w:top w:val="nil"/>
              <w:left w:val="nil"/>
              <w:bottom w:val="nil"/>
              <w:right w:val="nil"/>
            </w:tcBorders>
            <w:vAlign w:val="center"/>
          </w:tcPr>
          <w:p w14:paraId="40633EF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-0.6711</w:t>
            </w:r>
          </w:p>
        </w:tc>
        <w:tc>
          <w:tcPr>
            <w:tcW w:w="1150" w:type="dxa"/>
            <w:tcBorders>
              <w:top w:val="nil"/>
              <w:left w:val="nil"/>
              <w:bottom w:val="nil"/>
              <w:right w:val="nil"/>
            </w:tcBorders>
            <w:vAlign w:val="center"/>
          </w:tcPr>
          <w:p w14:paraId="3A732E7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0.1501</w:t>
            </w:r>
          </w:p>
        </w:tc>
        <w:tc>
          <w:tcPr>
            <w:tcW w:w="1150" w:type="dxa"/>
            <w:tcBorders>
              <w:top w:val="nil"/>
              <w:left w:val="nil"/>
              <w:bottom w:val="nil"/>
              <w:right w:val="nil"/>
            </w:tcBorders>
            <w:vAlign w:val="center"/>
          </w:tcPr>
          <w:p w14:paraId="6FC9A566"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-4.4719</w:t>
            </w:r>
          </w:p>
        </w:tc>
        <w:tc>
          <w:tcPr>
            <w:tcW w:w="950" w:type="dxa"/>
            <w:tcBorders>
              <w:top w:val="nil"/>
              <w:left w:val="nil"/>
              <w:bottom w:val="nil"/>
              <w:right w:val="nil"/>
            </w:tcBorders>
            <w:vAlign w:val="center"/>
          </w:tcPr>
          <w:p w14:paraId="25DB4007"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629D55E6" w14:textId="77777777" w:rsidTr="00F90590">
        <w:trPr>
          <w:trHeight w:val="220"/>
        </w:trPr>
        <w:tc>
          <w:tcPr>
            <w:tcW w:w="1920" w:type="dxa"/>
            <w:tcBorders>
              <w:top w:val="nil"/>
              <w:left w:val="nil"/>
              <w:bottom w:val="nil"/>
              <w:right w:val="nil"/>
            </w:tcBorders>
            <w:vAlign w:val="center"/>
          </w:tcPr>
          <w:p w14:paraId="5563DE46"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4"/>
            </w:r>
          </w:p>
        </w:tc>
        <w:tc>
          <w:tcPr>
            <w:tcW w:w="1050" w:type="dxa"/>
            <w:tcBorders>
              <w:top w:val="nil"/>
              <w:left w:val="nil"/>
              <w:bottom w:val="nil"/>
              <w:right w:val="nil"/>
            </w:tcBorders>
            <w:vAlign w:val="center"/>
          </w:tcPr>
          <w:p w14:paraId="73530E80"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2.7224</w:t>
            </w:r>
          </w:p>
        </w:tc>
        <w:tc>
          <w:tcPr>
            <w:tcW w:w="1150" w:type="dxa"/>
            <w:tcBorders>
              <w:top w:val="nil"/>
              <w:left w:val="nil"/>
              <w:bottom w:val="nil"/>
              <w:right w:val="nil"/>
            </w:tcBorders>
            <w:vAlign w:val="center"/>
          </w:tcPr>
          <w:p w14:paraId="546033FE"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0.1141</w:t>
            </w:r>
          </w:p>
        </w:tc>
        <w:tc>
          <w:tcPr>
            <w:tcW w:w="1150" w:type="dxa"/>
            <w:tcBorders>
              <w:top w:val="nil"/>
              <w:left w:val="nil"/>
              <w:bottom w:val="nil"/>
              <w:right w:val="nil"/>
            </w:tcBorders>
            <w:vAlign w:val="center"/>
          </w:tcPr>
          <w:p w14:paraId="09B77BE8"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23.8603</w:t>
            </w:r>
          </w:p>
        </w:tc>
        <w:tc>
          <w:tcPr>
            <w:tcW w:w="950" w:type="dxa"/>
            <w:tcBorders>
              <w:top w:val="nil"/>
              <w:left w:val="nil"/>
              <w:bottom w:val="nil"/>
              <w:right w:val="nil"/>
            </w:tcBorders>
            <w:vAlign w:val="center"/>
          </w:tcPr>
          <w:p w14:paraId="5F19249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0.0000</w:t>
            </w:r>
          </w:p>
        </w:tc>
      </w:tr>
      <w:tr w:rsidR="00333E87" w:rsidRPr="00F975C1" w14:paraId="5FA1BED5" w14:textId="77777777" w:rsidTr="00F90590">
        <w:trPr>
          <w:trHeight w:val="220"/>
        </w:trPr>
        <w:tc>
          <w:tcPr>
            <w:tcW w:w="1920" w:type="dxa"/>
            <w:tcBorders>
              <w:top w:val="nil"/>
              <w:left w:val="nil"/>
              <w:bottom w:val="nil"/>
              <w:right w:val="nil"/>
            </w:tcBorders>
            <w:vAlign w:val="center"/>
          </w:tcPr>
          <w:p w14:paraId="48F5365D" w14:textId="77777777" w:rsidR="00333E87" w:rsidRPr="004A43EF" w:rsidRDefault="00333E87" w:rsidP="00F90590">
            <w:pPr>
              <w:spacing w:after="0" w:line="240" w:lineRule="auto"/>
              <w:contextualSpacing/>
              <w:jc w:val="center"/>
              <w:rPr>
                <w:rFonts w:ascii="Garamond" w:hAnsi="Garamond" w:cs="Calibri"/>
                <w:color w:val="000000"/>
                <w:sz w:val="24"/>
                <w:szCs w:val="24"/>
              </w:rPr>
            </w:pPr>
            <w:r w:rsidRPr="004A43EF">
              <w:rPr>
                <w:rFonts w:ascii="Garamond" w:hAnsi="Garamond" w:cs="Calibri"/>
                <w:color w:val="000000"/>
                <w:sz w:val="24"/>
                <w:szCs w:val="24"/>
              </w:rPr>
              <w:sym w:font="Symbol" w:char="F071"/>
            </w:r>
            <w:r w:rsidRPr="004A43EF">
              <w:rPr>
                <w:rFonts w:ascii="Garamond" w:hAnsi="Garamond" w:cs="Calibri"/>
                <w:color w:val="000000"/>
                <w:sz w:val="24"/>
                <w:szCs w:val="24"/>
                <w:vertAlign w:val="subscript"/>
              </w:rPr>
              <w:sym w:font="Symbol" w:char="F035"/>
            </w:r>
          </w:p>
        </w:tc>
        <w:tc>
          <w:tcPr>
            <w:tcW w:w="1050" w:type="dxa"/>
            <w:tcBorders>
              <w:top w:val="nil"/>
              <w:left w:val="nil"/>
              <w:bottom w:val="nil"/>
              <w:right w:val="nil"/>
            </w:tcBorders>
            <w:vAlign w:val="center"/>
          </w:tcPr>
          <w:p w14:paraId="02337783"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0.0054</w:t>
            </w:r>
          </w:p>
        </w:tc>
        <w:tc>
          <w:tcPr>
            <w:tcW w:w="1150" w:type="dxa"/>
            <w:tcBorders>
              <w:top w:val="nil"/>
              <w:left w:val="nil"/>
              <w:bottom w:val="nil"/>
              <w:right w:val="nil"/>
            </w:tcBorders>
            <w:vAlign w:val="center"/>
          </w:tcPr>
          <w:p w14:paraId="0B7C9B6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0.0015</w:t>
            </w:r>
          </w:p>
        </w:tc>
        <w:tc>
          <w:tcPr>
            <w:tcW w:w="1150" w:type="dxa"/>
            <w:tcBorders>
              <w:top w:val="nil"/>
              <w:left w:val="nil"/>
              <w:bottom w:val="nil"/>
              <w:right w:val="nil"/>
            </w:tcBorders>
            <w:vAlign w:val="center"/>
          </w:tcPr>
          <w:p w14:paraId="4661BA52"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3.6148</w:t>
            </w:r>
          </w:p>
        </w:tc>
        <w:tc>
          <w:tcPr>
            <w:tcW w:w="950" w:type="dxa"/>
            <w:tcBorders>
              <w:top w:val="nil"/>
              <w:left w:val="nil"/>
              <w:bottom w:val="nil"/>
              <w:right w:val="nil"/>
            </w:tcBorders>
            <w:vAlign w:val="center"/>
          </w:tcPr>
          <w:p w14:paraId="2E35C3B5" w14:textId="77777777" w:rsidR="00333E87" w:rsidRPr="00F975C1" w:rsidRDefault="00333E87" w:rsidP="00F90590">
            <w:pPr>
              <w:spacing w:after="0" w:line="240" w:lineRule="auto"/>
              <w:contextualSpacing/>
              <w:jc w:val="right"/>
              <w:rPr>
                <w:rFonts w:ascii="Garamond" w:hAnsi="Garamond" w:cs="Calibri"/>
                <w:color w:val="000000"/>
                <w:sz w:val="24"/>
                <w:szCs w:val="24"/>
              </w:rPr>
            </w:pPr>
            <w:r w:rsidRPr="004A43EF">
              <w:rPr>
                <w:rFonts w:ascii="Garamond" w:hAnsi="Garamond" w:cs="Arial"/>
                <w:color w:val="000000"/>
                <w:sz w:val="24"/>
                <w:szCs w:val="24"/>
              </w:rPr>
              <w:t>0.0003</w:t>
            </w:r>
          </w:p>
        </w:tc>
      </w:tr>
      <w:tr w:rsidR="00333E87" w:rsidRPr="00F975C1" w14:paraId="08DE027D" w14:textId="77777777" w:rsidTr="00F90590">
        <w:trPr>
          <w:trHeight w:hRule="exact" w:val="88"/>
        </w:trPr>
        <w:tc>
          <w:tcPr>
            <w:tcW w:w="1920" w:type="dxa"/>
            <w:tcBorders>
              <w:top w:val="nil"/>
              <w:left w:val="nil"/>
              <w:bottom w:val="double" w:sz="6" w:space="2" w:color="auto"/>
              <w:right w:val="nil"/>
            </w:tcBorders>
            <w:vAlign w:val="bottom"/>
          </w:tcPr>
          <w:p w14:paraId="5B22E78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2" w:color="auto"/>
              <w:right w:val="nil"/>
            </w:tcBorders>
            <w:vAlign w:val="bottom"/>
          </w:tcPr>
          <w:p w14:paraId="65198421"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1EEECE84"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2" w:color="auto"/>
              <w:right w:val="nil"/>
            </w:tcBorders>
            <w:vAlign w:val="bottom"/>
          </w:tcPr>
          <w:p w14:paraId="4A756057"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2" w:color="auto"/>
              <w:right w:val="nil"/>
            </w:tcBorders>
            <w:vAlign w:val="bottom"/>
          </w:tcPr>
          <w:p w14:paraId="13FDC0E6"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3E42ED44" w14:textId="77777777" w:rsidTr="00F90590">
        <w:trPr>
          <w:trHeight w:hRule="exact" w:val="132"/>
        </w:trPr>
        <w:tc>
          <w:tcPr>
            <w:tcW w:w="1920" w:type="dxa"/>
            <w:tcBorders>
              <w:top w:val="nil"/>
              <w:left w:val="nil"/>
              <w:bottom w:val="nil"/>
              <w:right w:val="nil"/>
            </w:tcBorders>
            <w:vAlign w:val="bottom"/>
          </w:tcPr>
          <w:p w14:paraId="48121B19"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nil"/>
              <w:right w:val="nil"/>
            </w:tcBorders>
            <w:vAlign w:val="bottom"/>
          </w:tcPr>
          <w:p w14:paraId="79A675EE"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0207223A"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nil"/>
              <w:right w:val="nil"/>
            </w:tcBorders>
            <w:vAlign w:val="bottom"/>
          </w:tcPr>
          <w:p w14:paraId="66B8BACC"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nil"/>
              <w:right w:val="nil"/>
            </w:tcBorders>
            <w:vAlign w:val="bottom"/>
          </w:tcPr>
          <w:p w14:paraId="57E31900"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257A58E3" w14:textId="77777777" w:rsidTr="00F90590">
        <w:trPr>
          <w:trHeight w:val="220"/>
        </w:trPr>
        <w:tc>
          <w:tcPr>
            <w:tcW w:w="1920" w:type="dxa"/>
            <w:tcBorders>
              <w:top w:val="nil"/>
              <w:left w:val="nil"/>
              <w:bottom w:val="nil"/>
              <w:right w:val="nil"/>
            </w:tcBorders>
            <w:vAlign w:val="bottom"/>
          </w:tcPr>
          <w:p w14:paraId="2895227F" w14:textId="77777777" w:rsidR="00333E87" w:rsidRPr="00F975C1" w:rsidRDefault="00333E87" w:rsidP="00F90590">
            <w:pPr>
              <w:autoSpaceDE w:val="0"/>
              <w:autoSpaceDN w:val="0"/>
              <w:adjustRightInd w:val="0"/>
              <w:spacing w:after="0" w:line="240" w:lineRule="auto"/>
              <w:contextualSpacing/>
              <w:rPr>
                <w:rFonts w:ascii="Garamond" w:hAnsi="Garamond" w:cs="Arial"/>
                <w:color w:val="000000"/>
                <w:sz w:val="24"/>
                <w:szCs w:val="24"/>
              </w:rPr>
            </w:pPr>
            <w:r w:rsidRPr="00F975C1">
              <w:rPr>
                <w:rFonts w:ascii="Garamond" w:hAnsi="Garamond" w:cs="Arial"/>
                <w:color w:val="000000"/>
                <w:sz w:val="24"/>
                <w:szCs w:val="24"/>
              </w:rPr>
              <w:t>Log-Likelihood</w:t>
            </w:r>
          </w:p>
        </w:tc>
        <w:tc>
          <w:tcPr>
            <w:tcW w:w="1050" w:type="dxa"/>
            <w:tcBorders>
              <w:top w:val="nil"/>
              <w:left w:val="nil"/>
              <w:bottom w:val="nil"/>
              <w:right w:val="nil"/>
            </w:tcBorders>
            <w:vAlign w:val="bottom"/>
          </w:tcPr>
          <w:p w14:paraId="7C591EFA" w14:textId="77777777" w:rsidR="00333E87" w:rsidRPr="00F975C1" w:rsidRDefault="00333E87" w:rsidP="00F90590">
            <w:pPr>
              <w:autoSpaceDE w:val="0"/>
              <w:autoSpaceDN w:val="0"/>
              <w:adjustRightInd w:val="0"/>
              <w:spacing w:after="0" w:line="240" w:lineRule="auto"/>
              <w:ind w:right="20"/>
              <w:contextualSpacing/>
              <w:jc w:val="right"/>
              <w:rPr>
                <w:rFonts w:ascii="Garamond" w:hAnsi="Garamond" w:cs="Arial"/>
                <w:color w:val="000000"/>
                <w:sz w:val="24"/>
                <w:szCs w:val="24"/>
              </w:rPr>
            </w:pPr>
            <w:r w:rsidRPr="00F975C1">
              <w:rPr>
                <w:rFonts w:ascii="Garamond" w:hAnsi="Garamond" w:cs="Arial"/>
                <w:color w:val="000000"/>
                <w:sz w:val="24"/>
                <w:szCs w:val="24"/>
              </w:rPr>
              <w:t>-28634.43</w:t>
            </w:r>
          </w:p>
        </w:tc>
        <w:tc>
          <w:tcPr>
            <w:tcW w:w="2300" w:type="dxa"/>
            <w:gridSpan w:val="2"/>
            <w:tcBorders>
              <w:top w:val="nil"/>
              <w:left w:val="nil"/>
              <w:bottom w:val="nil"/>
              <w:right w:val="nil"/>
            </w:tcBorders>
            <w:vAlign w:val="bottom"/>
          </w:tcPr>
          <w:p w14:paraId="0206498C" w14:textId="77777777" w:rsidR="00333E87" w:rsidRPr="00F975C1" w:rsidRDefault="00333E87" w:rsidP="00F90590">
            <w:pPr>
              <w:autoSpaceDE w:val="0"/>
              <w:autoSpaceDN w:val="0"/>
              <w:adjustRightInd w:val="0"/>
              <w:spacing w:after="0" w:line="240" w:lineRule="auto"/>
              <w:ind w:right="20"/>
              <w:contextualSpacing/>
              <w:rPr>
                <w:rFonts w:ascii="Garamond" w:hAnsi="Garamond" w:cs="Arial"/>
                <w:color w:val="000000"/>
                <w:sz w:val="24"/>
                <w:szCs w:val="24"/>
              </w:rPr>
            </w:pPr>
            <w:r w:rsidRPr="00F975C1">
              <w:rPr>
                <w:rFonts w:ascii="Garamond" w:hAnsi="Garamond" w:cs="Arial"/>
                <w:color w:val="000000"/>
                <w:sz w:val="24"/>
                <w:szCs w:val="24"/>
              </w:rPr>
              <w:t>    AIC</w:t>
            </w:r>
          </w:p>
        </w:tc>
        <w:tc>
          <w:tcPr>
            <w:tcW w:w="950" w:type="dxa"/>
            <w:tcBorders>
              <w:top w:val="nil"/>
              <w:left w:val="nil"/>
              <w:bottom w:val="nil"/>
              <w:right w:val="nil"/>
            </w:tcBorders>
            <w:vAlign w:val="bottom"/>
          </w:tcPr>
          <w:p w14:paraId="4640228D" w14:textId="77777777" w:rsidR="00333E87" w:rsidRPr="00F975C1" w:rsidRDefault="00333E87" w:rsidP="00F90590">
            <w:pPr>
              <w:autoSpaceDE w:val="0"/>
              <w:autoSpaceDN w:val="0"/>
              <w:adjustRightInd w:val="0"/>
              <w:spacing w:after="0" w:line="240" w:lineRule="auto"/>
              <w:ind w:right="20"/>
              <w:contextualSpacing/>
              <w:jc w:val="right"/>
              <w:rPr>
                <w:rFonts w:ascii="Garamond" w:hAnsi="Garamond" w:cs="Arial"/>
                <w:color w:val="000000"/>
                <w:sz w:val="24"/>
                <w:szCs w:val="24"/>
              </w:rPr>
            </w:pPr>
            <w:r w:rsidRPr="00F975C1">
              <w:rPr>
                <w:rFonts w:ascii="Garamond" w:hAnsi="Garamond" w:cs="Arial"/>
                <w:color w:val="000000"/>
                <w:sz w:val="24"/>
                <w:szCs w:val="24"/>
              </w:rPr>
              <w:t>2.4235</w:t>
            </w:r>
          </w:p>
        </w:tc>
      </w:tr>
      <w:tr w:rsidR="00333E87" w:rsidRPr="00F975C1" w14:paraId="02F6DAF7" w14:textId="77777777" w:rsidTr="00F90590">
        <w:trPr>
          <w:trHeight w:hRule="exact" w:val="88"/>
        </w:trPr>
        <w:tc>
          <w:tcPr>
            <w:tcW w:w="1920" w:type="dxa"/>
            <w:tcBorders>
              <w:top w:val="nil"/>
              <w:left w:val="nil"/>
              <w:bottom w:val="double" w:sz="6" w:space="0" w:color="auto"/>
              <w:right w:val="nil"/>
            </w:tcBorders>
            <w:vAlign w:val="bottom"/>
          </w:tcPr>
          <w:p w14:paraId="61B0C8E4"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050" w:type="dxa"/>
            <w:tcBorders>
              <w:top w:val="nil"/>
              <w:left w:val="nil"/>
              <w:bottom w:val="double" w:sz="6" w:space="0" w:color="auto"/>
              <w:right w:val="nil"/>
            </w:tcBorders>
            <w:vAlign w:val="bottom"/>
          </w:tcPr>
          <w:p w14:paraId="5617B728"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0" w:color="auto"/>
              <w:right w:val="nil"/>
            </w:tcBorders>
            <w:vAlign w:val="bottom"/>
          </w:tcPr>
          <w:p w14:paraId="66DA5BAF"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1150" w:type="dxa"/>
            <w:tcBorders>
              <w:top w:val="nil"/>
              <w:left w:val="nil"/>
              <w:bottom w:val="double" w:sz="6" w:space="0" w:color="auto"/>
              <w:right w:val="nil"/>
            </w:tcBorders>
            <w:vAlign w:val="bottom"/>
          </w:tcPr>
          <w:p w14:paraId="61FC46D4"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c>
          <w:tcPr>
            <w:tcW w:w="950" w:type="dxa"/>
            <w:tcBorders>
              <w:top w:val="nil"/>
              <w:left w:val="nil"/>
              <w:bottom w:val="double" w:sz="6" w:space="0" w:color="auto"/>
              <w:right w:val="nil"/>
            </w:tcBorders>
            <w:vAlign w:val="bottom"/>
          </w:tcPr>
          <w:p w14:paraId="26360F54" w14:textId="77777777" w:rsidR="00333E87" w:rsidRPr="00F975C1" w:rsidRDefault="00333E87" w:rsidP="00F90590">
            <w:pPr>
              <w:autoSpaceDE w:val="0"/>
              <w:autoSpaceDN w:val="0"/>
              <w:adjustRightInd w:val="0"/>
              <w:spacing w:after="0" w:line="240" w:lineRule="auto"/>
              <w:contextualSpacing/>
              <w:jc w:val="center"/>
              <w:rPr>
                <w:rFonts w:ascii="Garamond" w:hAnsi="Garamond" w:cs="Arial"/>
                <w:color w:val="000000"/>
                <w:sz w:val="24"/>
                <w:szCs w:val="24"/>
              </w:rPr>
            </w:pPr>
          </w:p>
        </w:tc>
      </w:tr>
      <w:tr w:rsidR="00333E87" w:rsidRPr="00F975C1" w14:paraId="4C6608D3" w14:textId="77777777" w:rsidTr="00F90590">
        <w:trPr>
          <w:trHeight w:hRule="exact" w:val="132"/>
        </w:trPr>
        <w:tc>
          <w:tcPr>
            <w:tcW w:w="1920" w:type="dxa"/>
            <w:tcBorders>
              <w:top w:val="nil"/>
              <w:left w:val="nil"/>
              <w:bottom w:val="nil"/>
              <w:right w:val="nil"/>
            </w:tcBorders>
            <w:vAlign w:val="bottom"/>
          </w:tcPr>
          <w:p w14:paraId="533AFA37"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050" w:type="dxa"/>
            <w:tcBorders>
              <w:top w:val="nil"/>
              <w:left w:val="nil"/>
              <w:bottom w:val="nil"/>
              <w:right w:val="nil"/>
            </w:tcBorders>
            <w:vAlign w:val="bottom"/>
          </w:tcPr>
          <w:p w14:paraId="189DEA93"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7D3CC4AB"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1150" w:type="dxa"/>
            <w:tcBorders>
              <w:top w:val="nil"/>
              <w:left w:val="nil"/>
              <w:bottom w:val="nil"/>
              <w:right w:val="nil"/>
            </w:tcBorders>
            <w:vAlign w:val="bottom"/>
          </w:tcPr>
          <w:p w14:paraId="1F51C7F6"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c>
          <w:tcPr>
            <w:tcW w:w="950" w:type="dxa"/>
            <w:tcBorders>
              <w:top w:val="nil"/>
              <w:left w:val="nil"/>
              <w:bottom w:val="nil"/>
              <w:right w:val="nil"/>
            </w:tcBorders>
            <w:vAlign w:val="bottom"/>
          </w:tcPr>
          <w:p w14:paraId="1F70FB51" w14:textId="77777777" w:rsidR="00333E87" w:rsidRPr="00F975C1" w:rsidRDefault="00333E87" w:rsidP="00F90590">
            <w:pPr>
              <w:autoSpaceDE w:val="0"/>
              <w:autoSpaceDN w:val="0"/>
              <w:adjustRightInd w:val="0"/>
              <w:spacing w:after="0" w:line="240" w:lineRule="auto"/>
              <w:jc w:val="center"/>
              <w:rPr>
                <w:rFonts w:ascii="Garamond" w:hAnsi="Garamond" w:cs="Arial"/>
                <w:color w:val="000000"/>
                <w:sz w:val="24"/>
                <w:szCs w:val="24"/>
              </w:rPr>
            </w:pPr>
          </w:p>
        </w:tc>
      </w:tr>
    </w:tbl>
    <w:p w14:paraId="016D5B8D" w14:textId="77777777" w:rsidR="00333E87" w:rsidRPr="00F975C1" w:rsidRDefault="00333E87" w:rsidP="00333E87">
      <w:pPr>
        <w:spacing w:after="0" w:line="240" w:lineRule="auto"/>
        <w:ind w:right="20"/>
        <w:contextualSpacing/>
        <w:rPr>
          <w:rFonts w:ascii="Garamond" w:hAnsi="Garamond"/>
          <w:sz w:val="24"/>
          <w:szCs w:val="24"/>
        </w:rPr>
      </w:pPr>
      <w:r w:rsidRPr="004A43EF">
        <w:rPr>
          <w:rFonts w:ascii="Garamond" w:hAnsi="Garamond" w:cs="Arial"/>
          <w:b/>
          <w:sz w:val="24"/>
          <w:szCs w:val="24"/>
        </w:rPr>
        <w:t>Note:</w:t>
      </w:r>
      <w:r w:rsidRPr="004A43EF">
        <w:rPr>
          <w:rFonts w:ascii="Garamond" w:hAnsi="Garamond" w:cs="Arial"/>
          <w:sz w:val="24"/>
          <w:szCs w:val="24"/>
        </w:rPr>
        <w:t xml:space="preserve"> See Notes to Table 1.</w:t>
      </w:r>
      <w:r w:rsidRPr="004A43EF">
        <w:rPr>
          <w:rFonts w:ascii="Garamond" w:hAnsi="Garamond" w:cs="Arial"/>
          <w:sz w:val="24"/>
          <w:szCs w:val="24"/>
        </w:rPr>
        <w:br/>
      </w:r>
    </w:p>
    <w:p w14:paraId="5B5DDBFB" w14:textId="77777777" w:rsidR="009C1846" w:rsidRPr="00F975C1" w:rsidRDefault="009C1846" w:rsidP="009C1846">
      <w:pPr>
        <w:spacing w:after="0" w:line="240" w:lineRule="auto"/>
        <w:ind w:right="20"/>
        <w:contextualSpacing/>
        <w:jc w:val="both"/>
        <w:rPr>
          <w:rFonts w:ascii="Garamond" w:hAnsi="Garamond"/>
          <w:sz w:val="24"/>
          <w:szCs w:val="24"/>
        </w:rPr>
      </w:pPr>
    </w:p>
    <w:p w14:paraId="3ACD0906" w14:textId="77777777" w:rsidR="009C1846" w:rsidRPr="00F975C1" w:rsidRDefault="009C1846" w:rsidP="009C1846">
      <w:pPr>
        <w:spacing w:after="0" w:line="240" w:lineRule="auto"/>
        <w:ind w:right="20"/>
        <w:contextualSpacing/>
        <w:jc w:val="both"/>
        <w:rPr>
          <w:rFonts w:ascii="Garamond" w:hAnsi="Garamond"/>
          <w:sz w:val="24"/>
          <w:szCs w:val="24"/>
        </w:rPr>
      </w:pPr>
    </w:p>
    <w:p w14:paraId="66DFEC24" w14:textId="77777777" w:rsidR="00B50207" w:rsidRPr="00F975C1" w:rsidRDefault="00DA10AD" w:rsidP="00166DF7">
      <w:pPr>
        <w:spacing w:after="0" w:line="240" w:lineRule="auto"/>
        <w:ind w:right="20"/>
        <w:contextualSpacing/>
        <w:jc w:val="both"/>
        <w:rPr>
          <w:rFonts w:ascii="Garamond" w:hAnsi="Garamond"/>
          <w:sz w:val="24"/>
          <w:szCs w:val="24"/>
        </w:rPr>
      </w:pPr>
      <w:r w:rsidRPr="00F975C1">
        <w:rPr>
          <w:rFonts w:ascii="Garamond" w:hAnsi="Garamond"/>
          <w:sz w:val="24"/>
          <w:szCs w:val="24"/>
        </w:rPr>
        <w:t xml:space="preserve"> </w:t>
      </w:r>
      <w:r w:rsidR="00B50207" w:rsidRPr="00F975C1">
        <w:rPr>
          <w:rFonts w:ascii="Garamond" w:hAnsi="Garamond"/>
          <w:sz w:val="24"/>
          <w:szCs w:val="24"/>
        </w:rPr>
        <w:t xml:space="preserve">   </w:t>
      </w:r>
    </w:p>
    <w:p w14:paraId="37730D6D" w14:textId="77777777" w:rsidR="00497824" w:rsidRPr="00F975C1" w:rsidRDefault="00497824" w:rsidP="00166DF7">
      <w:pPr>
        <w:spacing w:after="0" w:line="240" w:lineRule="auto"/>
        <w:ind w:right="20"/>
        <w:contextualSpacing/>
        <w:jc w:val="both"/>
        <w:rPr>
          <w:rFonts w:ascii="Garamond" w:hAnsi="Garamond"/>
          <w:sz w:val="24"/>
          <w:szCs w:val="24"/>
        </w:rPr>
      </w:pPr>
    </w:p>
    <w:p w14:paraId="53D6DB19" w14:textId="77777777" w:rsidR="00497824" w:rsidRPr="00F975C1" w:rsidRDefault="00497824" w:rsidP="00166DF7">
      <w:pPr>
        <w:spacing w:after="0" w:line="240" w:lineRule="auto"/>
        <w:ind w:right="20"/>
        <w:contextualSpacing/>
        <w:jc w:val="both"/>
        <w:rPr>
          <w:rFonts w:ascii="Garamond" w:hAnsi="Garamond"/>
          <w:sz w:val="24"/>
          <w:szCs w:val="24"/>
        </w:rPr>
      </w:pPr>
    </w:p>
    <w:p w14:paraId="74A03960" w14:textId="77777777" w:rsidR="00166DF7" w:rsidRPr="00F975C1" w:rsidRDefault="00166DF7" w:rsidP="007C659B">
      <w:pPr>
        <w:jc w:val="both"/>
        <w:rPr>
          <w:rFonts w:ascii="Garamond" w:hAnsi="Garamond"/>
          <w:sz w:val="24"/>
          <w:szCs w:val="24"/>
        </w:rPr>
      </w:pPr>
    </w:p>
    <w:sectPr w:rsidR="00166DF7" w:rsidRPr="00F975C1">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986524" w14:textId="77777777" w:rsidR="008A1898" w:rsidRDefault="008A1898" w:rsidP="00C5087A">
      <w:pPr>
        <w:spacing w:after="0" w:line="240" w:lineRule="auto"/>
      </w:pPr>
      <w:r>
        <w:separator/>
      </w:r>
    </w:p>
  </w:endnote>
  <w:endnote w:type="continuationSeparator" w:id="0">
    <w:p w14:paraId="63BBD8E1" w14:textId="77777777" w:rsidR="008A1898" w:rsidRDefault="008A1898" w:rsidP="00C508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mr8">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mr12">
    <w:charset w:val="00"/>
    <w:family w:val="swiss"/>
    <w:pitch w:val="variable"/>
    <w:sig w:usb0="00000003" w:usb1="00000000" w:usb2="00000000" w:usb3="00000000" w:csb0="00000001" w:csb1="00000000"/>
  </w:font>
  <w:font w:name="cmmi12">
    <w:charset w:val="02"/>
    <w:family w:val="swiss"/>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Garamond" w:hAnsi="Garamond"/>
        <w:sz w:val="24"/>
        <w:szCs w:val="24"/>
      </w:rPr>
      <w:id w:val="1827390774"/>
      <w:docPartObj>
        <w:docPartGallery w:val="Page Numbers (Bottom of Page)"/>
        <w:docPartUnique/>
      </w:docPartObj>
    </w:sdtPr>
    <w:sdtEndPr>
      <w:rPr>
        <w:noProof/>
      </w:rPr>
    </w:sdtEndPr>
    <w:sdtContent>
      <w:p w14:paraId="3B810E3C" w14:textId="6434F0A8" w:rsidR="00F90590" w:rsidRPr="006B02F7" w:rsidRDefault="00F90590">
        <w:pPr>
          <w:pStyle w:val="Footer"/>
          <w:jc w:val="right"/>
          <w:rPr>
            <w:rFonts w:ascii="Garamond" w:hAnsi="Garamond"/>
            <w:sz w:val="24"/>
            <w:szCs w:val="24"/>
          </w:rPr>
        </w:pPr>
        <w:r w:rsidRPr="006B02F7">
          <w:rPr>
            <w:rFonts w:ascii="Garamond" w:hAnsi="Garamond"/>
            <w:sz w:val="24"/>
            <w:szCs w:val="24"/>
          </w:rPr>
          <w:fldChar w:fldCharType="begin"/>
        </w:r>
        <w:r w:rsidRPr="006B02F7">
          <w:rPr>
            <w:rFonts w:ascii="Garamond" w:hAnsi="Garamond"/>
            <w:sz w:val="24"/>
            <w:szCs w:val="24"/>
          </w:rPr>
          <w:instrText xml:space="preserve"> PAGE   \* MERGEFORMAT </w:instrText>
        </w:r>
        <w:r w:rsidRPr="006B02F7">
          <w:rPr>
            <w:rFonts w:ascii="Garamond" w:hAnsi="Garamond"/>
            <w:sz w:val="24"/>
            <w:szCs w:val="24"/>
          </w:rPr>
          <w:fldChar w:fldCharType="separate"/>
        </w:r>
        <w:r w:rsidR="004A677E">
          <w:rPr>
            <w:rFonts w:ascii="Garamond" w:hAnsi="Garamond"/>
            <w:noProof/>
            <w:sz w:val="24"/>
            <w:szCs w:val="24"/>
          </w:rPr>
          <w:t>1</w:t>
        </w:r>
        <w:r w:rsidRPr="006B02F7">
          <w:rPr>
            <w:rFonts w:ascii="Garamond" w:hAnsi="Garamond"/>
            <w:noProof/>
            <w:sz w:val="24"/>
            <w:szCs w:val="24"/>
          </w:rPr>
          <w:fldChar w:fldCharType="end"/>
        </w:r>
      </w:p>
    </w:sdtContent>
  </w:sdt>
  <w:p w14:paraId="610BEA1D" w14:textId="77777777" w:rsidR="00F90590" w:rsidRPr="006B02F7" w:rsidRDefault="00F90590">
    <w:pPr>
      <w:pStyle w:val="Footer"/>
      <w:rPr>
        <w:rFonts w:ascii="Garamond" w:hAnsi="Garamond"/>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1CD9A" w14:textId="77777777" w:rsidR="008A1898" w:rsidRDefault="008A1898" w:rsidP="00C5087A">
      <w:pPr>
        <w:spacing w:after="0" w:line="240" w:lineRule="auto"/>
      </w:pPr>
      <w:r>
        <w:separator/>
      </w:r>
    </w:p>
  </w:footnote>
  <w:footnote w:type="continuationSeparator" w:id="0">
    <w:p w14:paraId="156654BC" w14:textId="77777777" w:rsidR="008A1898" w:rsidRDefault="008A1898" w:rsidP="00C5087A">
      <w:pPr>
        <w:spacing w:after="0" w:line="240" w:lineRule="auto"/>
      </w:pPr>
      <w:r>
        <w:continuationSeparator/>
      </w:r>
    </w:p>
  </w:footnote>
  <w:footnote w:id="1">
    <w:p w14:paraId="73667E40" w14:textId="0C4E92E9" w:rsidR="00F90590" w:rsidRPr="004C3181" w:rsidRDefault="00F90590" w:rsidP="004C3181">
      <w:pPr>
        <w:pStyle w:val="FootnoteText"/>
        <w:jc w:val="both"/>
        <w:rPr>
          <w:rFonts w:ascii="Garamond" w:hAnsi="Garamond"/>
        </w:rPr>
      </w:pPr>
      <w:r w:rsidRPr="004C3181">
        <w:rPr>
          <w:rStyle w:val="FootnoteReference"/>
          <w:rFonts w:ascii="Garamond" w:hAnsi="Garamond"/>
        </w:rPr>
        <w:t>*</w:t>
      </w:r>
      <w:r w:rsidRPr="004C3181">
        <w:rPr>
          <w:rFonts w:ascii="Garamond" w:hAnsi="Garamond"/>
        </w:rPr>
        <w:t xml:space="preserve"> Corresponding author. Department of Economics, University of Pretoria, Pretoria, 0002, South Africa. Email: </w:t>
      </w:r>
      <w:hyperlink r:id="rId1" w:history="1">
        <w:r w:rsidRPr="004C3181">
          <w:rPr>
            <w:rStyle w:val="Hyperlink"/>
            <w:rFonts w:ascii="Garamond" w:hAnsi="Garamond"/>
          </w:rPr>
          <w:t>rangan.gupta@up.ac.za</w:t>
        </w:r>
      </w:hyperlink>
      <w:r w:rsidRPr="004C3181">
        <w:rPr>
          <w:rFonts w:ascii="Garamond" w:hAnsi="Garamond"/>
        </w:rPr>
        <w:t>.</w:t>
      </w:r>
    </w:p>
  </w:footnote>
  <w:footnote w:id="2">
    <w:p w14:paraId="3E065B6E" w14:textId="3D66A74C" w:rsidR="00F90590" w:rsidRPr="004C3181" w:rsidRDefault="00F90590" w:rsidP="004C3181">
      <w:pPr>
        <w:pStyle w:val="FootnoteText"/>
        <w:jc w:val="both"/>
        <w:rPr>
          <w:rFonts w:ascii="Garamond" w:hAnsi="Garamond"/>
        </w:rPr>
      </w:pPr>
      <w:r w:rsidRPr="004C3181">
        <w:rPr>
          <w:rStyle w:val="FootnoteReference"/>
          <w:rFonts w:ascii="Garamond" w:hAnsi="Garamond"/>
        </w:rPr>
        <w:t>**</w:t>
      </w:r>
      <w:r>
        <w:rPr>
          <w:rFonts w:ascii="Garamond" w:hAnsi="Garamond"/>
        </w:rPr>
        <w:t xml:space="preserve"> </w:t>
      </w:r>
      <w:r w:rsidRPr="004C3181">
        <w:rPr>
          <w:rFonts w:ascii="Garamond" w:hAnsi="Garamond"/>
        </w:rPr>
        <w:t xml:space="preserve">Department of Economics, </w:t>
      </w:r>
      <w:proofErr w:type="spellStart"/>
      <w:r w:rsidRPr="004C3181">
        <w:rPr>
          <w:rFonts w:ascii="Garamond" w:hAnsi="Garamond"/>
        </w:rPr>
        <w:t>Northeastern</w:t>
      </w:r>
      <w:proofErr w:type="spellEnd"/>
      <w:r w:rsidRPr="004C3181">
        <w:rPr>
          <w:rFonts w:ascii="Garamond" w:hAnsi="Garamond"/>
        </w:rPr>
        <w:t xml:space="preserve"> Illinois University, BBH 344G, 5500 N. St. Louis Ave., Chicago, IL 60625, USA. E-mail: </w:t>
      </w:r>
      <w:hyperlink r:id="rId2" w:history="1">
        <w:r w:rsidRPr="004C3181">
          <w:rPr>
            <w:rStyle w:val="Hyperlink"/>
            <w:rFonts w:ascii="Garamond" w:hAnsi="Garamond"/>
          </w:rPr>
          <w:t>h-marfatia@neiu.edu</w:t>
        </w:r>
      </w:hyperlink>
      <w:r w:rsidRPr="004C3181">
        <w:rPr>
          <w:rFonts w:ascii="Garamond" w:hAnsi="Garamond"/>
        </w:rPr>
        <w:t>.</w:t>
      </w:r>
    </w:p>
  </w:footnote>
  <w:footnote w:id="3">
    <w:p w14:paraId="14EE604F" w14:textId="262CE05C" w:rsidR="00F90590" w:rsidRPr="004C3181" w:rsidRDefault="00F90590" w:rsidP="004C3181">
      <w:pPr>
        <w:pStyle w:val="FootnoteText"/>
        <w:jc w:val="both"/>
        <w:rPr>
          <w:rFonts w:ascii="Garamond" w:hAnsi="Garamond"/>
        </w:rPr>
      </w:pPr>
      <w:r w:rsidRPr="004C3181">
        <w:rPr>
          <w:rStyle w:val="FootnoteReference"/>
          <w:rFonts w:ascii="Garamond" w:hAnsi="Garamond"/>
        </w:rPr>
        <w:t>***</w:t>
      </w:r>
      <w:r w:rsidRPr="004C3181">
        <w:rPr>
          <w:rFonts w:ascii="Garamond" w:hAnsi="Garamond"/>
        </w:rPr>
        <w:t xml:space="preserve"> College of Business and Economics, West Virginia University, Morgantown, WV 26506, USA. Email: </w:t>
      </w:r>
      <w:hyperlink r:id="rId3" w:history="1">
        <w:r w:rsidRPr="004C3181">
          <w:rPr>
            <w:rStyle w:val="Hyperlink"/>
            <w:rFonts w:ascii="Garamond" w:hAnsi="Garamond"/>
          </w:rPr>
          <w:t>eric.olson@mail.wvu.edu</w:t>
        </w:r>
      </w:hyperlink>
      <w:r w:rsidRPr="004C3181">
        <w:rPr>
          <w:rFonts w:ascii="Garamond" w:hAnsi="Garamond"/>
        </w:rPr>
        <w:t>.</w:t>
      </w:r>
    </w:p>
  </w:footnote>
  <w:footnote w:id="4">
    <w:p w14:paraId="17F165E8" w14:textId="77777777" w:rsidR="00F90590" w:rsidRPr="004C3181" w:rsidRDefault="00F90590" w:rsidP="004C3181">
      <w:pPr>
        <w:pStyle w:val="FootnoteText"/>
        <w:contextualSpacing/>
        <w:jc w:val="both"/>
        <w:rPr>
          <w:rFonts w:ascii="Garamond" w:hAnsi="Garamond"/>
        </w:rPr>
      </w:pPr>
      <w:r w:rsidRPr="004C3181">
        <w:rPr>
          <w:rStyle w:val="FootnoteReference"/>
          <w:rFonts w:ascii="Garamond" w:hAnsi="Garamond"/>
        </w:rPr>
        <w:footnoteRef/>
      </w:r>
      <w:r w:rsidRPr="004C3181">
        <w:rPr>
          <w:rFonts w:ascii="Garamond" w:hAnsi="Garamond"/>
        </w:rPr>
        <w:t xml:space="preserve"> The data is downloadable from: </w:t>
      </w:r>
      <w:hyperlink r:id="rId4" w:history="1">
        <w:r w:rsidRPr="004C3181">
          <w:rPr>
            <w:rStyle w:val="Hyperlink"/>
            <w:rFonts w:ascii="Garamond" w:hAnsi="Garamond"/>
          </w:rPr>
          <w:t>http://mba.tuck.dartmouth.edu/pages/faculty/ken.french/data_library.html</w:t>
        </w:r>
      </w:hyperlink>
      <w:r w:rsidRPr="004C3181">
        <w:rPr>
          <w:rFonts w:ascii="Garamond" w:hAnsi="Garamond"/>
        </w:rPr>
        <w:t>.</w:t>
      </w:r>
    </w:p>
  </w:footnote>
  <w:footnote w:id="5">
    <w:p w14:paraId="22DF3965" w14:textId="77777777" w:rsidR="00F90590" w:rsidRPr="004C3181" w:rsidRDefault="00F90590" w:rsidP="004C3181">
      <w:pPr>
        <w:pStyle w:val="FootnoteText"/>
        <w:contextualSpacing/>
        <w:jc w:val="both"/>
        <w:rPr>
          <w:rFonts w:ascii="Garamond" w:hAnsi="Garamond"/>
        </w:rPr>
      </w:pPr>
      <w:r w:rsidRPr="004C3181">
        <w:rPr>
          <w:rStyle w:val="FootnoteReference"/>
          <w:rFonts w:ascii="Garamond" w:hAnsi="Garamond"/>
        </w:rPr>
        <w:footnoteRef/>
      </w:r>
      <w:r w:rsidRPr="004C3181">
        <w:rPr>
          <w:rFonts w:ascii="Garamond" w:hAnsi="Garamond"/>
        </w:rPr>
        <w:t xml:space="preserve"> The historical FOMC dates are available at: </w:t>
      </w:r>
      <w:hyperlink r:id="rId5" w:history="1">
        <w:r w:rsidRPr="004C3181">
          <w:rPr>
            <w:rStyle w:val="Hyperlink"/>
            <w:rFonts w:ascii="Garamond" w:hAnsi="Garamond"/>
          </w:rPr>
          <w:t>https://www.federalreserve.gov/monetarypolicy/fomc_historical_year.htm</w:t>
        </w:r>
      </w:hyperlink>
      <w:r w:rsidRPr="004C3181">
        <w:rPr>
          <w:rFonts w:ascii="Garamond" w:hAnsi="Garamond"/>
        </w:rPr>
        <w:t>.</w:t>
      </w:r>
    </w:p>
  </w:footnote>
  <w:footnote w:id="6">
    <w:p w14:paraId="68A98F70" w14:textId="77777777" w:rsidR="00F90590" w:rsidRPr="004C3181" w:rsidRDefault="00F90590" w:rsidP="004C3181">
      <w:pPr>
        <w:pStyle w:val="FootnoteText"/>
        <w:contextualSpacing/>
        <w:jc w:val="both"/>
        <w:rPr>
          <w:rFonts w:ascii="Garamond" w:hAnsi="Garamond"/>
        </w:rPr>
      </w:pPr>
      <w:r w:rsidRPr="004C3181">
        <w:rPr>
          <w:rStyle w:val="FootnoteReference"/>
          <w:rFonts w:ascii="Garamond" w:hAnsi="Garamond"/>
        </w:rPr>
        <w:footnoteRef/>
      </w:r>
      <w:r w:rsidRPr="004C3181">
        <w:rPr>
          <w:rFonts w:ascii="Garamond" w:hAnsi="Garamond"/>
        </w:rPr>
        <w:t xml:space="preserve"> Our results were qualitatively similar, if we just used the changes in the interest rate on FOMC dates without filtering the recessionary impact. Complete details are available upon request from the authors.</w:t>
      </w:r>
    </w:p>
  </w:footnote>
  <w:footnote w:id="7">
    <w:p w14:paraId="4BF09AEC" w14:textId="77777777" w:rsidR="00F90590" w:rsidRPr="004C3181" w:rsidRDefault="00F90590" w:rsidP="004C3181">
      <w:pPr>
        <w:pStyle w:val="FootnoteText"/>
        <w:contextualSpacing/>
        <w:jc w:val="both"/>
        <w:rPr>
          <w:rFonts w:ascii="Garamond" w:hAnsi="Garamond"/>
        </w:rPr>
      </w:pPr>
      <w:r w:rsidRPr="004C3181">
        <w:rPr>
          <w:rStyle w:val="FootnoteReference"/>
          <w:rFonts w:ascii="Garamond" w:hAnsi="Garamond"/>
        </w:rPr>
        <w:footnoteRef/>
      </w:r>
      <w:r w:rsidRPr="004C3181">
        <w:rPr>
          <w:rFonts w:ascii="Garamond" w:hAnsi="Garamond"/>
        </w:rPr>
        <w:t xml:space="preserve"> The data is available for download from: </w:t>
      </w:r>
      <w:hyperlink r:id="rId6" w:history="1">
        <w:r w:rsidRPr="004C3181">
          <w:rPr>
            <w:rStyle w:val="Hyperlink"/>
            <w:rFonts w:ascii="Garamond" w:hAnsi="Garamond"/>
          </w:rPr>
          <w:t>https://www.rbnz.govt.nz/research-and-publications/research-programme/additional-research/measures-of-the-stance-of-united-states-monetary-policy</w:t>
        </w:r>
      </w:hyperlink>
      <w:r w:rsidRPr="004C3181">
        <w:rPr>
          <w:rFonts w:ascii="Garamond" w:hAnsi="Garamond"/>
        </w:rPr>
        <w:t>.</w:t>
      </w:r>
    </w:p>
  </w:footnote>
  <w:footnote w:id="8">
    <w:p w14:paraId="68742467" w14:textId="77777777" w:rsidR="00F90590" w:rsidRPr="004C3181" w:rsidRDefault="00F90590" w:rsidP="004C3181">
      <w:pPr>
        <w:spacing w:after="0" w:line="240" w:lineRule="auto"/>
        <w:contextualSpacing/>
        <w:jc w:val="both"/>
        <w:rPr>
          <w:rFonts w:ascii="Garamond" w:hAnsi="Garamond"/>
          <w:sz w:val="20"/>
          <w:szCs w:val="20"/>
        </w:rPr>
      </w:pPr>
      <w:r w:rsidRPr="004C3181">
        <w:rPr>
          <w:rStyle w:val="FootnoteReference"/>
          <w:rFonts w:ascii="Garamond" w:hAnsi="Garamond"/>
          <w:sz w:val="20"/>
          <w:szCs w:val="20"/>
        </w:rPr>
        <w:footnoteRef/>
      </w:r>
      <w:r w:rsidRPr="004C3181">
        <w:rPr>
          <w:rFonts w:ascii="Garamond" w:hAnsi="Garamond"/>
          <w:sz w:val="20"/>
          <w:szCs w:val="20"/>
        </w:rPr>
        <w:t xml:space="preserve"> The process allows one to answer the question: “What policy rate would generate the observed yield curve if the policy rate could be taken as negative?” The shadow policy rate generated in this manner, therefore, provides a measure of the monetary policy stance after the actual policy rate reaches zero.  </w:t>
      </w:r>
    </w:p>
  </w:footnote>
  <w:footnote w:id="9">
    <w:p w14:paraId="4AA566FF" w14:textId="77777777" w:rsidR="00F90590" w:rsidRPr="004C3181" w:rsidRDefault="00F90590" w:rsidP="004C3181">
      <w:pPr>
        <w:pStyle w:val="FootnoteText"/>
        <w:contextualSpacing/>
        <w:jc w:val="both"/>
        <w:rPr>
          <w:rFonts w:ascii="Garamond" w:hAnsi="Garamond"/>
        </w:rPr>
      </w:pPr>
      <w:r w:rsidRPr="004C3181">
        <w:rPr>
          <w:rStyle w:val="FootnoteReference"/>
          <w:rFonts w:ascii="Garamond" w:hAnsi="Garamond"/>
        </w:rPr>
        <w:footnoteRef/>
      </w:r>
      <w:r w:rsidRPr="004C3181">
        <w:rPr>
          <w:rFonts w:ascii="Garamond" w:hAnsi="Garamond"/>
        </w:rPr>
        <w:t xml:space="preserve"> The data can be downloaded from the website of Professor Jorge M. Uribe at: </w:t>
      </w:r>
      <w:hyperlink r:id="rId7" w:history="1">
        <w:r w:rsidRPr="004C3181">
          <w:rPr>
            <w:rStyle w:val="Hyperlink"/>
            <w:rFonts w:ascii="Garamond" w:hAnsi="Garamond"/>
          </w:rPr>
          <w:t>http://www.ub.edu/rfa/uncertainty-index/</w:t>
        </w:r>
      </w:hyperlink>
      <w:r w:rsidRPr="004C3181">
        <w:rPr>
          <w:rFonts w:ascii="Garamond" w:hAnsi="Garamond"/>
        </w:rPr>
        <w:t>.</w:t>
      </w:r>
    </w:p>
  </w:footnote>
  <w:footnote w:id="10">
    <w:p w14:paraId="466D2DD6" w14:textId="77777777" w:rsidR="00F90590" w:rsidRPr="004C3181" w:rsidRDefault="00F90590" w:rsidP="004C3181">
      <w:pPr>
        <w:pStyle w:val="FootnoteText"/>
        <w:jc w:val="both"/>
        <w:rPr>
          <w:rFonts w:ascii="Garamond" w:hAnsi="Garamond"/>
        </w:rPr>
      </w:pPr>
      <w:r w:rsidRPr="004C3181">
        <w:rPr>
          <w:rStyle w:val="FootnoteReference"/>
          <w:rFonts w:ascii="Garamond" w:hAnsi="Garamond"/>
        </w:rPr>
        <w:footnoteRef/>
      </w:r>
      <w:r w:rsidRPr="004C3181">
        <w:rPr>
          <w:rFonts w:ascii="Garamond" w:hAnsi="Garamond"/>
        </w:rPr>
        <w:t xml:space="preserve"> To construct the uncertainty shocks, we define a dummy variable which takes the value of one when the growth in uncertainty is positive (negative) and zero otherwise, and then multiply the growth in the uncertainty variable with this dummy to get the corresponding positive (negative) innovation in uncertainty.</w:t>
      </w:r>
    </w:p>
  </w:footnote>
  <w:footnote w:id="11">
    <w:p w14:paraId="6584457A" w14:textId="77777777" w:rsidR="00F90590" w:rsidRPr="004C3181" w:rsidRDefault="00F90590" w:rsidP="004C3181">
      <w:pPr>
        <w:autoSpaceDE w:val="0"/>
        <w:autoSpaceDN w:val="0"/>
        <w:adjustRightInd w:val="0"/>
        <w:spacing w:after="0" w:line="240" w:lineRule="auto"/>
        <w:jc w:val="both"/>
        <w:rPr>
          <w:rFonts w:ascii="Garamond" w:hAnsi="Garamond"/>
          <w:sz w:val="20"/>
          <w:szCs w:val="20"/>
        </w:rPr>
      </w:pPr>
      <w:r w:rsidRPr="004C3181">
        <w:rPr>
          <w:rStyle w:val="FootnoteReference"/>
          <w:rFonts w:ascii="Garamond" w:hAnsi="Garamond"/>
          <w:sz w:val="20"/>
          <w:szCs w:val="20"/>
        </w:rPr>
        <w:footnoteRef/>
      </w:r>
      <w:r w:rsidRPr="004C3181">
        <w:rPr>
          <w:rFonts w:ascii="Garamond" w:hAnsi="Garamond"/>
          <w:sz w:val="20"/>
          <w:szCs w:val="20"/>
        </w:rPr>
        <w:t xml:space="preserve"> While, FOMC meeting dates are not available prior to 18</w:t>
      </w:r>
      <w:r w:rsidRPr="004C3181">
        <w:rPr>
          <w:rFonts w:ascii="Garamond" w:hAnsi="Garamond"/>
          <w:sz w:val="20"/>
          <w:szCs w:val="20"/>
          <w:vertAlign w:val="superscript"/>
        </w:rPr>
        <w:t>th</w:t>
      </w:r>
      <w:r w:rsidRPr="004C3181">
        <w:rPr>
          <w:rFonts w:ascii="Garamond" w:hAnsi="Garamond"/>
          <w:sz w:val="20"/>
          <w:szCs w:val="20"/>
        </w:rPr>
        <w:t xml:space="preserve"> March, 1936, daily data on interest rates (i.e., the risk-free rate), is indeed available from Professor French’s data library for the period of 6</w:t>
      </w:r>
      <w:r w:rsidRPr="004C3181">
        <w:rPr>
          <w:rFonts w:ascii="Garamond" w:hAnsi="Garamond"/>
          <w:sz w:val="20"/>
          <w:szCs w:val="20"/>
          <w:vertAlign w:val="superscript"/>
        </w:rPr>
        <w:t>th</w:t>
      </w:r>
      <w:r w:rsidRPr="004C3181">
        <w:rPr>
          <w:rFonts w:ascii="Garamond" w:hAnsi="Garamond"/>
          <w:sz w:val="20"/>
          <w:szCs w:val="20"/>
        </w:rPr>
        <w:t xml:space="preserve"> January, 1927 till 17</w:t>
      </w:r>
      <w:r w:rsidRPr="004C3181">
        <w:rPr>
          <w:rFonts w:ascii="Garamond" w:hAnsi="Garamond"/>
          <w:sz w:val="20"/>
          <w:szCs w:val="20"/>
          <w:vertAlign w:val="superscript"/>
        </w:rPr>
        <w:t>th</w:t>
      </w:r>
      <w:r w:rsidRPr="004C3181">
        <w:rPr>
          <w:rFonts w:ascii="Garamond" w:hAnsi="Garamond"/>
          <w:sz w:val="20"/>
          <w:szCs w:val="20"/>
        </w:rPr>
        <w:t xml:space="preserve"> March, 1936, as are the other variables of interest from their respective sources. Given this, we take </w:t>
      </w:r>
      <w:proofErr w:type="gramStart"/>
      <w:r w:rsidRPr="004C3181">
        <w:rPr>
          <w:rFonts w:ascii="Garamond" w:hAnsi="Garamond"/>
          <w:sz w:val="20"/>
          <w:szCs w:val="20"/>
        </w:rPr>
        <w:t>first-difference</w:t>
      </w:r>
      <w:proofErr w:type="gramEnd"/>
      <w:r w:rsidRPr="004C3181">
        <w:rPr>
          <w:rFonts w:ascii="Garamond" w:hAnsi="Garamond"/>
          <w:sz w:val="20"/>
          <w:szCs w:val="20"/>
        </w:rPr>
        <w:t xml:space="preserve"> of the risk-free rate over this additional period as monetary policy shocks, and merge with our existing data set, and then re-conduct the analysis again. The results have been now reported in Table A1 in the Appendix of the paper.  As can be seen, our results are qualitatively similar to those reported in Table 1 (except now </w:t>
      </w:r>
      <w:proofErr w:type="spellStart"/>
      <w:r w:rsidRPr="004C3181">
        <w:rPr>
          <w:rFonts w:ascii="Garamond" w:hAnsi="Garamond"/>
          <w:i/>
          <w:sz w:val="20"/>
          <w:szCs w:val="20"/>
        </w:rPr>
        <w:t>mps</w:t>
      </w:r>
      <w:r w:rsidRPr="004C3181">
        <w:rPr>
          <w:rFonts w:ascii="Garamond" w:hAnsi="Garamond"/>
          <w:i/>
          <w:sz w:val="20"/>
          <w:szCs w:val="20"/>
          <w:vertAlign w:val="superscript"/>
        </w:rPr>
        <w:t>pos</w:t>
      </w:r>
      <w:proofErr w:type="spellEnd"/>
      <w:r w:rsidRPr="004C3181">
        <w:rPr>
          <w:rFonts w:ascii="Garamond" w:hAnsi="Garamond"/>
          <w:sz w:val="20"/>
          <w:szCs w:val="20"/>
        </w:rPr>
        <w:t xml:space="preserve"> does not have a significant negative effect on stock </w:t>
      </w:r>
      <w:proofErr w:type="gramStart"/>
      <w:r w:rsidRPr="004C3181">
        <w:rPr>
          <w:rFonts w:ascii="Garamond" w:hAnsi="Garamond"/>
          <w:sz w:val="20"/>
          <w:szCs w:val="20"/>
        </w:rPr>
        <w:t>returns, but</w:t>
      </w:r>
      <w:proofErr w:type="gramEnd"/>
      <w:r w:rsidRPr="004C3181">
        <w:rPr>
          <w:rFonts w:ascii="Garamond" w:hAnsi="Garamond"/>
          <w:sz w:val="20"/>
          <w:szCs w:val="20"/>
        </w:rPr>
        <w:t xml:space="preserve"> reduces volatility significantly). In other words, the effect of uncertainty shocks is robust, irrespective of how monetary shocks are measured. </w:t>
      </w:r>
    </w:p>
  </w:footnote>
  <w:footnote w:id="12">
    <w:p w14:paraId="1E6A5840" w14:textId="77777777" w:rsidR="00F90590" w:rsidRPr="004C3181" w:rsidRDefault="00F90590" w:rsidP="004C3181">
      <w:pPr>
        <w:pStyle w:val="FootnoteText"/>
        <w:jc w:val="both"/>
        <w:rPr>
          <w:rFonts w:ascii="Garamond" w:hAnsi="Garamond"/>
        </w:rPr>
      </w:pPr>
      <w:r w:rsidRPr="004C3181">
        <w:rPr>
          <w:rStyle w:val="FootnoteReference"/>
          <w:rFonts w:ascii="Garamond" w:hAnsi="Garamond"/>
        </w:rPr>
        <w:footnoteRef/>
      </w:r>
      <w:r w:rsidRPr="004C3181">
        <w:rPr>
          <w:rFonts w:ascii="Garamond" w:hAnsi="Garamond"/>
        </w:rPr>
        <w:t xml:space="preserve"> However, our results are qualitatively </w:t>
      </w:r>
      <w:proofErr w:type="gramStart"/>
      <w:r w:rsidRPr="004C3181">
        <w:rPr>
          <w:rFonts w:ascii="Garamond" w:hAnsi="Garamond"/>
        </w:rPr>
        <w:t>similar to</w:t>
      </w:r>
      <w:proofErr w:type="gramEnd"/>
      <w:r w:rsidRPr="004C3181">
        <w:rPr>
          <w:rFonts w:ascii="Garamond" w:hAnsi="Garamond"/>
        </w:rPr>
        <w:t xml:space="preserve"> a bigger size of the rolling window involving 10 years of data. Complete details of these results are available upon request from the authors.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D56863"/>
    <w:multiLevelType w:val="hybridMultilevel"/>
    <w:tmpl w:val="2B50E4A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344"/>
    <w:rsid w:val="00006814"/>
    <w:rsid w:val="00021FBF"/>
    <w:rsid w:val="00083AC4"/>
    <w:rsid w:val="000B4806"/>
    <w:rsid w:val="000E7FB2"/>
    <w:rsid w:val="000F5619"/>
    <w:rsid w:val="00166DF7"/>
    <w:rsid w:val="001B0718"/>
    <w:rsid w:val="001B697A"/>
    <w:rsid w:val="001C0184"/>
    <w:rsid w:val="001E1938"/>
    <w:rsid w:val="002005AE"/>
    <w:rsid w:val="00290EAF"/>
    <w:rsid w:val="002C25D9"/>
    <w:rsid w:val="002C5E10"/>
    <w:rsid w:val="002C6278"/>
    <w:rsid w:val="00333E87"/>
    <w:rsid w:val="00353627"/>
    <w:rsid w:val="00362EE1"/>
    <w:rsid w:val="003B7FB5"/>
    <w:rsid w:val="003C2741"/>
    <w:rsid w:val="00462F6B"/>
    <w:rsid w:val="00497824"/>
    <w:rsid w:val="004A1BC7"/>
    <w:rsid w:val="004A43EF"/>
    <w:rsid w:val="004A677E"/>
    <w:rsid w:val="004C3181"/>
    <w:rsid w:val="004E5BE3"/>
    <w:rsid w:val="00500444"/>
    <w:rsid w:val="00517F22"/>
    <w:rsid w:val="005244D6"/>
    <w:rsid w:val="00541F6B"/>
    <w:rsid w:val="00553DCC"/>
    <w:rsid w:val="005576CC"/>
    <w:rsid w:val="00563A02"/>
    <w:rsid w:val="0058713C"/>
    <w:rsid w:val="0058760A"/>
    <w:rsid w:val="00595D41"/>
    <w:rsid w:val="005E5024"/>
    <w:rsid w:val="005F4033"/>
    <w:rsid w:val="00603A4D"/>
    <w:rsid w:val="006067A5"/>
    <w:rsid w:val="00620E92"/>
    <w:rsid w:val="00640EE3"/>
    <w:rsid w:val="00667CC5"/>
    <w:rsid w:val="00693663"/>
    <w:rsid w:val="006B02F7"/>
    <w:rsid w:val="00716C2D"/>
    <w:rsid w:val="0075436B"/>
    <w:rsid w:val="00791CAA"/>
    <w:rsid w:val="0079362F"/>
    <w:rsid w:val="007C0FB9"/>
    <w:rsid w:val="007C659B"/>
    <w:rsid w:val="0081418F"/>
    <w:rsid w:val="00814ADD"/>
    <w:rsid w:val="008656C9"/>
    <w:rsid w:val="00870E71"/>
    <w:rsid w:val="008756AC"/>
    <w:rsid w:val="008A1898"/>
    <w:rsid w:val="008B65A3"/>
    <w:rsid w:val="009071DB"/>
    <w:rsid w:val="00917629"/>
    <w:rsid w:val="009205D4"/>
    <w:rsid w:val="00943850"/>
    <w:rsid w:val="009578F8"/>
    <w:rsid w:val="00996088"/>
    <w:rsid w:val="009C1846"/>
    <w:rsid w:val="009E722B"/>
    <w:rsid w:val="00A225A8"/>
    <w:rsid w:val="00A53FEA"/>
    <w:rsid w:val="00A54451"/>
    <w:rsid w:val="00A65ABA"/>
    <w:rsid w:val="00A96460"/>
    <w:rsid w:val="00AA1342"/>
    <w:rsid w:val="00AD31A9"/>
    <w:rsid w:val="00B50207"/>
    <w:rsid w:val="00B6726B"/>
    <w:rsid w:val="00B9299F"/>
    <w:rsid w:val="00C45ADB"/>
    <w:rsid w:val="00C5087A"/>
    <w:rsid w:val="00C65E24"/>
    <w:rsid w:val="00C72CF0"/>
    <w:rsid w:val="00CC4012"/>
    <w:rsid w:val="00D0741F"/>
    <w:rsid w:val="00D3116B"/>
    <w:rsid w:val="00D37219"/>
    <w:rsid w:val="00D56458"/>
    <w:rsid w:val="00D6445D"/>
    <w:rsid w:val="00D665F3"/>
    <w:rsid w:val="00DA10AD"/>
    <w:rsid w:val="00DC2264"/>
    <w:rsid w:val="00DE6B60"/>
    <w:rsid w:val="00E0191E"/>
    <w:rsid w:val="00E24245"/>
    <w:rsid w:val="00E30FA9"/>
    <w:rsid w:val="00E44344"/>
    <w:rsid w:val="00E61A0F"/>
    <w:rsid w:val="00ED06D7"/>
    <w:rsid w:val="00ED1A5B"/>
    <w:rsid w:val="00ED3619"/>
    <w:rsid w:val="00EF03CA"/>
    <w:rsid w:val="00F33D93"/>
    <w:rsid w:val="00F51DE9"/>
    <w:rsid w:val="00F62243"/>
    <w:rsid w:val="00F90590"/>
    <w:rsid w:val="00F975C1"/>
    <w:rsid w:val="00FA648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57C5"/>
  <w15:docId w15:val="{3855D796-CE56-424C-AC5B-7C66E339C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link w:val="Heading1Char"/>
    <w:uiPriority w:val="9"/>
    <w:qFormat/>
    <w:rsid w:val="0049782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ZA"/>
    </w:rPr>
  </w:style>
  <w:style w:type="paragraph" w:styleId="Heading2">
    <w:name w:val="heading 2"/>
    <w:basedOn w:val="Normal"/>
    <w:next w:val="Normal"/>
    <w:link w:val="Heading2Char"/>
    <w:uiPriority w:val="9"/>
    <w:semiHidden/>
    <w:unhideWhenUsed/>
    <w:qFormat/>
    <w:rsid w:val="00A53FE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E5BE3"/>
    <w:pPr>
      <w:ind w:left="720"/>
      <w:contextualSpacing/>
    </w:pPr>
  </w:style>
  <w:style w:type="paragraph" w:styleId="FootnoteText">
    <w:name w:val="footnote text"/>
    <w:aliases w:val=" Char,Char"/>
    <w:basedOn w:val="Normal"/>
    <w:link w:val="FootnoteTextChar"/>
    <w:uiPriority w:val="99"/>
    <w:semiHidden/>
    <w:unhideWhenUsed/>
    <w:rsid w:val="00C5087A"/>
    <w:pPr>
      <w:spacing w:after="0" w:line="240" w:lineRule="auto"/>
    </w:pPr>
    <w:rPr>
      <w:sz w:val="20"/>
      <w:szCs w:val="20"/>
    </w:rPr>
  </w:style>
  <w:style w:type="character" w:customStyle="1" w:styleId="FootnoteTextChar">
    <w:name w:val="Footnote Text Char"/>
    <w:aliases w:val=" Char Char,Char Char"/>
    <w:basedOn w:val="DefaultParagraphFont"/>
    <w:link w:val="FootnoteText"/>
    <w:uiPriority w:val="99"/>
    <w:semiHidden/>
    <w:rsid w:val="00C5087A"/>
    <w:rPr>
      <w:sz w:val="20"/>
      <w:szCs w:val="20"/>
    </w:rPr>
  </w:style>
  <w:style w:type="character" w:styleId="FootnoteReference">
    <w:name w:val="footnote reference"/>
    <w:basedOn w:val="DefaultParagraphFont"/>
    <w:uiPriority w:val="99"/>
    <w:semiHidden/>
    <w:unhideWhenUsed/>
    <w:rsid w:val="00C5087A"/>
    <w:rPr>
      <w:vertAlign w:val="superscript"/>
    </w:rPr>
  </w:style>
  <w:style w:type="character" w:styleId="Hyperlink">
    <w:name w:val="Hyperlink"/>
    <w:basedOn w:val="DefaultParagraphFont"/>
    <w:uiPriority w:val="99"/>
    <w:unhideWhenUsed/>
    <w:rsid w:val="00C5087A"/>
    <w:rPr>
      <w:color w:val="0000FF"/>
      <w:u w:val="single"/>
    </w:rPr>
  </w:style>
  <w:style w:type="character" w:styleId="PlaceholderText">
    <w:name w:val="Placeholder Text"/>
    <w:basedOn w:val="DefaultParagraphFont"/>
    <w:uiPriority w:val="99"/>
    <w:semiHidden/>
    <w:rsid w:val="00814ADD"/>
    <w:rPr>
      <w:color w:val="808080"/>
    </w:rPr>
  </w:style>
  <w:style w:type="paragraph" w:customStyle="1" w:styleId="MTDisplayEquation">
    <w:name w:val="MTDisplayEquation"/>
    <w:basedOn w:val="Normal"/>
    <w:next w:val="Normal"/>
    <w:link w:val="MTDisplayEquationChar"/>
    <w:rsid w:val="00166DF7"/>
    <w:pPr>
      <w:tabs>
        <w:tab w:val="center" w:pos="4520"/>
        <w:tab w:val="right" w:pos="9020"/>
      </w:tabs>
      <w:autoSpaceDE w:val="0"/>
      <w:autoSpaceDN w:val="0"/>
      <w:adjustRightInd w:val="0"/>
      <w:spacing w:after="0" w:line="240" w:lineRule="auto"/>
    </w:pPr>
    <w:rPr>
      <w:rFonts w:ascii="Garamond" w:hAnsi="Garamond" w:cs="cmr8"/>
      <w:sz w:val="24"/>
      <w:szCs w:val="24"/>
    </w:rPr>
  </w:style>
  <w:style w:type="character" w:customStyle="1" w:styleId="MTDisplayEquationChar">
    <w:name w:val="MTDisplayEquation Char"/>
    <w:basedOn w:val="DefaultParagraphFont"/>
    <w:link w:val="MTDisplayEquation"/>
    <w:rsid w:val="00166DF7"/>
    <w:rPr>
      <w:rFonts w:ascii="Garamond" w:hAnsi="Garamond" w:cs="cmr8"/>
      <w:sz w:val="24"/>
      <w:szCs w:val="24"/>
    </w:rPr>
  </w:style>
  <w:style w:type="character" w:customStyle="1" w:styleId="Heading1Char">
    <w:name w:val="Heading 1 Char"/>
    <w:basedOn w:val="DefaultParagraphFont"/>
    <w:link w:val="Heading1"/>
    <w:uiPriority w:val="9"/>
    <w:rsid w:val="00497824"/>
    <w:rPr>
      <w:rFonts w:ascii="Times New Roman" w:eastAsia="Times New Roman" w:hAnsi="Times New Roman" w:cs="Times New Roman"/>
      <w:b/>
      <w:bCs/>
      <w:kern w:val="36"/>
      <w:sz w:val="48"/>
      <w:szCs w:val="48"/>
      <w:lang w:eastAsia="en-ZA"/>
    </w:rPr>
  </w:style>
  <w:style w:type="paragraph" w:styleId="NormalWeb">
    <w:name w:val="Normal (Web)"/>
    <w:basedOn w:val="Normal"/>
    <w:uiPriority w:val="99"/>
    <w:semiHidden/>
    <w:unhideWhenUsed/>
    <w:rsid w:val="00497824"/>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html-italic">
    <w:name w:val="html-italic"/>
    <w:basedOn w:val="DefaultParagraphFont"/>
    <w:rsid w:val="00640EE3"/>
  </w:style>
  <w:style w:type="character" w:customStyle="1" w:styleId="Heading2Char">
    <w:name w:val="Heading 2 Char"/>
    <w:basedOn w:val="DefaultParagraphFont"/>
    <w:link w:val="Heading2"/>
    <w:uiPriority w:val="9"/>
    <w:semiHidden/>
    <w:rsid w:val="00A53FEA"/>
    <w:rPr>
      <w:rFonts w:asciiTheme="majorHAnsi" w:eastAsiaTheme="majorEastAsia" w:hAnsiTheme="majorHAnsi" w:cstheme="majorBidi"/>
      <w:color w:val="2E74B5" w:themeColor="accent1" w:themeShade="BF"/>
      <w:sz w:val="26"/>
      <w:szCs w:val="26"/>
    </w:rPr>
  </w:style>
  <w:style w:type="character" w:customStyle="1" w:styleId="epub-state">
    <w:name w:val="epub-state"/>
    <w:basedOn w:val="DefaultParagraphFont"/>
    <w:rsid w:val="00A53FEA"/>
  </w:style>
  <w:style w:type="character" w:customStyle="1" w:styleId="epub-date">
    <w:name w:val="epub-date"/>
    <w:basedOn w:val="DefaultParagraphFont"/>
    <w:rsid w:val="00A53FEA"/>
  </w:style>
  <w:style w:type="paragraph" w:styleId="Header">
    <w:name w:val="header"/>
    <w:basedOn w:val="Normal"/>
    <w:link w:val="HeaderChar"/>
    <w:uiPriority w:val="99"/>
    <w:unhideWhenUsed/>
    <w:rsid w:val="006B02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02F7"/>
  </w:style>
  <w:style w:type="paragraph" w:styleId="Footer">
    <w:name w:val="footer"/>
    <w:basedOn w:val="Normal"/>
    <w:link w:val="FooterChar"/>
    <w:uiPriority w:val="99"/>
    <w:unhideWhenUsed/>
    <w:rsid w:val="006B02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02F7"/>
  </w:style>
  <w:style w:type="character" w:styleId="CommentReference">
    <w:name w:val="annotation reference"/>
    <w:basedOn w:val="DefaultParagraphFont"/>
    <w:uiPriority w:val="99"/>
    <w:semiHidden/>
    <w:unhideWhenUsed/>
    <w:rsid w:val="00462F6B"/>
    <w:rPr>
      <w:sz w:val="16"/>
      <w:szCs w:val="16"/>
    </w:rPr>
  </w:style>
  <w:style w:type="paragraph" w:styleId="CommentText">
    <w:name w:val="annotation text"/>
    <w:basedOn w:val="Normal"/>
    <w:link w:val="CommentTextChar"/>
    <w:uiPriority w:val="99"/>
    <w:unhideWhenUsed/>
    <w:rsid w:val="00462F6B"/>
    <w:pPr>
      <w:spacing w:line="240" w:lineRule="auto"/>
    </w:pPr>
    <w:rPr>
      <w:sz w:val="20"/>
      <w:szCs w:val="20"/>
    </w:rPr>
  </w:style>
  <w:style w:type="character" w:customStyle="1" w:styleId="CommentTextChar">
    <w:name w:val="Comment Text Char"/>
    <w:basedOn w:val="DefaultParagraphFont"/>
    <w:link w:val="CommentText"/>
    <w:uiPriority w:val="99"/>
    <w:rsid w:val="00462F6B"/>
    <w:rPr>
      <w:sz w:val="20"/>
      <w:szCs w:val="20"/>
    </w:rPr>
  </w:style>
  <w:style w:type="paragraph" w:styleId="CommentSubject">
    <w:name w:val="annotation subject"/>
    <w:basedOn w:val="CommentText"/>
    <w:next w:val="CommentText"/>
    <w:link w:val="CommentSubjectChar"/>
    <w:uiPriority w:val="99"/>
    <w:semiHidden/>
    <w:unhideWhenUsed/>
    <w:rsid w:val="00462F6B"/>
    <w:rPr>
      <w:b/>
      <w:bCs/>
    </w:rPr>
  </w:style>
  <w:style w:type="character" w:customStyle="1" w:styleId="CommentSubjectChar">
    <w:name w:val="Comment Subject Char"/>
    <w:basedOn w:val="CommentTextChar"/>
    <w:link w:val="CommentSubject"/>
    <w:uiPriority w:val="99"/>
    <w:semiHidden/>
    <w:rsid w:val="00462F6B"/>
    <w:rPr>
      <w:b/>
      <w:bCs/>
      <w:sz w:val="20"/>
      <w:szCs w:val="20"/>
    </w:rPr>
  </w:style>
  <w:style w:type="paragraph" w:styleId="BalloonText">
    <w:name w:val="Balloon Text"/>
    <w:basedOn w:val="Normal"/>
    <w:link w:val="BalloonTextChar"/>
    <w:uiPriority w:val="99"/>
    <w:semiHidden/>
    <w:unhideWhenUsed/>
    <w:rsid w:val="00462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2F6B"/>
    <w:rPr>
      <w:rFonts w:ascii="Segoe UI" w:hAnsi="Segoe UI" w:cs="Segoe UI"/>
      <w:sz w:val="18"/>
      <w:szCs w:val="18"/>
    </w:rPr>
  </w:style>
  <w:style w:type="character" w:customStyle="1" w:styleId="UnresolvedMention1">
    <w:name w:val="Unresolved Mention1"/>
    <w:basedOn w:val="DefaultParagraphFont"/>
    <w:uiPriority w:val="99"/>
    <w:semiHidden/>
    <w:unhideWhenUsed/>
    <w:rsid w:val="00A544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6957227">
      <w:bodyDiv w:val="1"/>
      <w:marLeft w:val="0"/>
      <w:marRight w:val="0"/>
      <w:marTop w:val="0"/>
      <w:marBottom w:val="0"/>
      <w:divBdr>
        <w:top w:val="none" w:sz="0" w:space="0" w:color="auto"/>
        <w:left w:val="none" w:sz="0" w:space="0" w:color="auto"/>
        <w:bottom w:val="none" w:sz="0" w:space="0" w:color="auto"/>
        <w:right w:val="none" w:sz="0" w:space="0" w:color="auto"/>
      </w:divBdr>
    </w:div>
    <w:div w:id="1644044051">
      <w:bodyDiv w:val="1"/>
      <w:marLeft w:val="0"/>
      <w:marRight w:val="0"/>
      <w:marTop w:val="0"/>
      <w:marBottom w:val="0"/>
      <w:divBdr>
        <w:top w:val="none" w:sz="0" w:space="0" w:color="auto"/>
        <w:left w:val="none" w:sz="0" w:space="0" w:color="auto"/>
        <w:bottom w:val="none" w:sz="0" w:space="0" w:color="auto"/>
        <w:right w:val="none" w:sz="0" w:space="0" w:color="auto"/>
      </w:divBdr>
      <w:divsChild>
        <w:div w:id="1875269041">
          <w:marLeft w:val="0"/>
          <w:marRight w:val="0"/>
          <w:marTop w:val="225"/>
          <w:marBottom w:val="225"/>
          <w:divBdr>
            <w:top w:val="none" w:sz="0" w:space="0" w:color="auto"/>
            <w:left w:val="none" w:sz="0" w:space="0" w:color="auto"/>
            <w:bottom w:val="none" w:sz="0" w:space="0" w:color="auto"/>
            <w:right w:val="none" w:sz="0" w:space="0" w:color="auto"/>
          </w:divBdr>
          <w:divsChild>
            <w:div w:id="385877959">
              <w:marLeft w:val="0"/>
              <w:marRight w:val="0"/>
              <w:marTop w:val="0"/>
              <w:marBottom w:val="0"/>
              <w:divBdr>
                <w:top w:val="none" w:sz="0" w:space="0" w:color="auto"/>
                <w:left w:val="none" w:sz="0" w:space="0" w:color="auto"/>
                <w:bottom w:val="none" w:sz="0" w:space="0" w:color="auto"/>
                <w:right w:val="none" w:sz="0" w:space="0" w:color="auto"/>
              </w:divBdr>
              <w:divsChild>
                <w:div w:id="656688367">
                  <w:marLeft w:val="0"/>
                  <w:marRight w:val="0"/>
                  <w:marTop w:val="0"/>
                  <w:marBottom w:val="0"/>
                  <w:divBdr>
                    <w:top w:val="none" w:sz="0" w:space="0" w:color="auto"/>
                    <w:left w:val="none" w:sz="0" w:space="0" w:color="auto"/>
                    <w:bottom w:val="none" w:sz="0" w:space="0" w:color="auto"/>
                    <w:right w:val="none" w:sz="0" w:space="0" w:color="auto"/>
                  </w:divBdr>
                  <w:divsChild>
                    <w:div w:id="1374421609">
                      <w:marLeft w:val="0"/>
                      <w:marRight w:val="0"/>
                      <w:marTop w:val="0"/>
                      <w:marBottom w:val="0"/>
                      <w:divBdr>
                        <w:top w:val="none" w:sz="0" w:space="0" w:color="auto"/>
                        <w:left w:val="none" w:sz="0" w:space="0" w:color="auto"/>
                        <w:bottom w:val="none" w:sz="0" w:space="0" w:color="auto"/>
                        <w:right w:val="none" w:sz="0" w:space="0" w:color="auto"/>
                      </w:divBdr>
                    </w:div>
                    <w:div w:id="69815085">
                      <w:marLeft w:val="0"/>
                      <w:marRight w:val="0"/>
                      <w:marTop w:val="0"/>
                      <w:marBottom w:val="0"/>
                      <w:divBdr>
                        <w:top w:val="none" w:sz="0" w:space="0" w:color="auto"/>
                        <w:left w:val="none" w:sz="0" w:space="0" w:color="auto"/>
                        <w:bottom w:val="none" w:sz="0" w:space="0" w:color="auto"/>
                        <w:right w:val="none" w:sz="0" w:space="0" w:color="auto"/>
                      </w:divBdr>
                    </w:div>
                    <w:div w:id="62751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192807">
          <w:marLeft w:val="0"/>
          <w:marRight w:val="0"/>
          <w:marTop w:val="225"/>
          <w:marBottom w:val="225"/>
          <w:divBdr>
            <w:top w:val="none" w:sz="0" w:space="0" w:color="auto"/>
            <w:left w:val="none" w:sz="0" w:space="0" w:color="auto"/>
            <w:bottom w:val="none" w:sz="0" w:space="0" w:color="auto"/>
            <w:right w:val="none" w:sz="0" w:space="0" w:color="auto"/>
          </w:divBdr>
          <w:divsChild>
            <w:div w:id="45959799">
              <w:marLeft w:val="0"/>
              <w:marRight w:val="0"/>
              <w:marTop w:val="0"/>
              <w:marBottom w:val="0"/>
              <w:divBdr>
                <w:top w:val="none" w:sz="0" w:space="0" w:color="auto"/>
                <w:left w:val="none" w:sz="0" w:space="0" w:color="auto"/>
                <w:bottom w:val="none" w:sz="0" w:space="0" w:color="auto"/>
                <w:right w:val="none" w:sz="0" w:space="0" w:color="auto"/>
              </w:divBdr>
            </w:div>
            <w:div w:id="149351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hyperlink" Target="https://doi.org/10.1002/rfe.1051" TargetMode="External"/><Relationship Id="rId3" Type="http://schemas.openxmlformats.org/officeDocument/2006/relationships/styles" Target="styles.xml"/><Relationship Id="rId21" Type="http://schemas.openxmlformats.org/officeDocument/2006/relationships/oleObject" Target="embeddings/oleObject8.bin"/><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oleObject" Target="embeddings/oleObject7.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8.emf"/><Relationship Id="rId28"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7.emf"/><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file:///C:\Users\edols\Dropbox\Papers\Working%20Papers\Rangan%202\eric.olson@mail.wvu.edu" TargetMode="External"/><Relationship Id="rId7" Type="http://schemas.openxmlformats.org/officeDocument/2006/relationships/hyperlink" Target="http://www.ub.edu/rfa/uncertainty-index/" TargetMode="External"/><Relationship Id="rId2" Type="http://schemas.openxmlformats.org/officeDocument/2006/relationships/hyperlink" Target="file:///C:\Users\edols\Dropbox\Papers\Working%20Papers\Rangan%202\h-marfatia@neiu.edu" TargetMode="External"/><Relationship Id="rId1" Type="http://schemas.openxmlformats.org/officeDocument/2006/relationships/hyperlink" Target="file:///C:\Users\edols\Dropbox\Papers\Working%20Papers\Rangan%202\rangan.gupta@up.ac.za" TargetMode="External"/><Relationship Id="rId6" Type="http://schemas.openxmlformats.org/officeDocument/2006/relationships/hyperlink" Target="https://www.rbnz.govt.nz/research-and-publications/research-programme/additional-research/measures-of-the-stance-of-united-states-monetary-policy" TargetMode="External"/><Relationship Id="rId5" Type="http://schemas.openxmlformats.org/officeDocument/2006/relationships/hyperlink" Target="https://www.federalreserve.gov/monetarypolicy/fomc_historical_year.htm" TargetMode="External"/><Relationship Id="rId4" Type="http://schemas.openxmlformats.org/officeDocument/2006/relationships/hyperlink" Target="http://mba.tuck.dartmouth.edu/pages/faculty/ken.french/data_librar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00B53F-0BD9-4931-A4F0-361244CC0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2852</Words>
  <Characters>15892</Characters>
  <Application>Microsoft Office Word</Application>
  <DocSecurity>0</DocSecurity>
  <Lines>588</Lines>
  <Paragraphs>271</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18473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 R Gupta</dc:creator>
  <cp:lastModifiedBy>library</cp:lastModifiedBy>
  <cp:revision>2</cp:revision>
  <dcterms:created xsi:type="dcterms:W3CDTF">2020-03-26T09:46:00Z</dcterms:created>
  <dcterms:modified xsi:type="dcterms:W3CDTF">2020-03-26T09:46:00Z</dcterms:modified>
</cp:coreProperties>
</file>