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A8E120">
      <w:pPr>
        <w:rPr>
          <w:rFonts w:asciiTheme="majorBidi" w:hAnsiTheme="majorBidi" w:cstheme="majorBidi"/>
          <w:color w:val="auto"/>
          <w:sz w:val="21"/>
          <w:szCs w:val="21"/>
          <w:lang w:val="en-US" w:eastAsia="zh-CN"/>
        </w:rPr>
      </w:pPr>
      <w:r>
        <w:rPr>
          <w:rFonts w:asciiTheme="majorBidi" w:hAnsiTheme="majorBidi" w:cstheme="majorBidi"/>
          <w:color w:val="auto"/>
          <w:sz w:val="24"/>
          <w:szCs w:val="24"/>
          <w:lang w:val="en-US" w:eastAsia="zh-CN"/>
        </w:rPr>
        <w:t>Appendix A</w:t>
      </w:r>
      <w:r>
        <w:rPr>
          <w:rFonts w:hint="eastAsia" w:asciiTheme="majorBidi" w:hAnsiTheme="majorBidi" w:cstheme="majorBidi"/>
          <w:color w:val="auto"/>
          <w:sz w:val="24"/>
          <w:szCs w:val="24"/>
          <w:lang w:val="en-US" w:eastAsia="zh-CN"/>
        </w:rPr>
        <w:t xml:space="preserve">  </w:t>
      </w:r>
      <w:r>
        <w:rPr>
          <w:rFonts w:asciiTheme="majorBidi" w:hAnsiTheme="majorBidi" w:cstheme="majorBidi"/>
          <w:color w:val="auto"/>
          <w:sz w:val="24"/>
          <w:szCs w:val="24"/>
        </w:rPr>
        <w:t>Summary of the included studies (</w:t>
      </w:r>
      <w:r>
        <w:rPr>
          <w:rFonts w:asciiTheme="majorBidi" w:hAnsiTheme="majorBidi" w:cstheme="majorBidi"/>
          <w:i/>
          <w:iCs/>
          <w:color w:val="auto"/>
          <w:sz w:val="24"/>
          <w:szCs w:val="24"/>
        </w:rPr>
        <w:t>n</w:t>
      </w:r>
      <w:r>
        <w:rPr>
          <w:rFonts w:hint="eastAsia" w:asciiTheme="majorBidi" w:hAnsiTheme="majorBidi" w:cstheme="majorBidi"/>
          <w:color w:val="auto"/>
          <w:sz w:val="24"/>
          <w:szCs w:val="24"/>
          <w:lang w:val="en-US" w:eastAsia="zh-CN"/>
        </w:rPr>
        <w:t xml:space="preserve"> </w:t>
      </w:r>
      <w:r>
        <w:rPr>
          <w:rFonts w:asciiTheme="majorBidi" w:hAnsiTheme="majorBidi" w:cstheme="majorBidi"/>
          <w:color w:val="auto"/>
          <w:sz w:val="24"/>
          <w:szCs w:val="24"/>
        </w:rPr>
        <w:t>=</w:t>
      </w:r>
      <w:r>
        <w:rPr>
          <w:rFonts w:hint="eastAsia" w:asciiTheme="majorBidi" w:hAnsiTheme="majorBidi" w:cstheme="majorBidi"/>
          <w:color w:val="auto"/>
          <w:sz w:val="24"/>
          <w:szCs w:val="24"/>
          <w:lang w:val="en-US" w:eastAsia="zh-CN"/>
        </w:rPr>
        <w:t xml:space="preserve"> </w:t>
      </w:r>
      <w:r>
        <w:rPr>
          <w:rFonts w:asciiTheme="majorBidi" w:hAnsiTheme="majorBidi" w:cstheme="majorBidi"/>
          <w:color w:val="auto"/>
          <w:sz w:val="24"/>
          <w:szCs w:val="24"/>
        </w:rPr>
        <w:t>19).</w:t>
      </w:r>
      <w:r>
        <w:rPr>
          <w:rFonts w:hint="eastAsia" w:asciiTheme="majorBidi" w:hAnsiTheme="majorBidi" w:cstheme="majorBidi"/>
          <w:color w:val="auto"/>
          <w:sz w:val="24"/>
          <w:szCs w:val="24"/>
          <w:lang w:val="en-US" w:eastAsia="zh-CN"/>
        </w:rPr>
        <w:t xml:space="preserve"> </w:t>
      </w:r>
    </w:p>
    <w:tbl>
      <w:tblPr>
        <w:tblStyle w:val="22"/>
        <w:tblW w:w="5687" w:type="pct"/>
        <w:tblInd w:w="-88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756"/>
        <w:gridCol w:w="2749"/>
        <w:gridCol w:w="2866"/>
        <w:gridCol w:w="6983"/>
        <w:gridCol w:w="920"/>
        <w:gridCol w:w="849"/>
      </w:tblGrid>
      <w:tr w14:paraId="2AA8E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top w:val="single" w:color="auto" w:sz="4" w:space="0"/>
              <w:bottom w:val="single" w:color="auto" w:sz="4" w:space="0"/>
              <w:insideH w:val="single" w:sz="4" w:space="0"/>
            </w:tcBorders>
            <w:shd w:val="clear" w:color="auto" w:fill="auto"/>
          </w:tcPr>
          <w:p w14:paraId="2AA8E121">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 xml:space="preserve">Study and </w:t>
            </w:r>
            <w:r>
              <w:rPr>
                <w:rFonts w:hint="eastAsia" w:asciiTheme="majorBidi" w:hAnsiTheme="majorBidi" w:eastAsiaTheme="majorEastAsia" w:cstheme="majorBidi"/>
                <w:i w:val="0"/>
                <w:iCs w:val="0"/>
                <w:color w:val="auto"/>
                <w:sz w:val="21"/>
                <w:lang w:val="en-US" w:eastAsia="zh-CN"/>
              </w:rPr>
              <w:t>l</w:t>
            </w:r>
            <w:r>
              <w:rPr>
                <w:rFonts w:asciiTheme="majorBidi" w:hAnsiTheme="majorBidi" w:eastAsiaTheme="majorEastAsia" w:cstheme="majorBidi"/>
                <w:i w:val="0"/>
                <w:iCs w:val="0"/>
                <w:color w:val="auto"/>
                <w:sz w:val="21"/>
              </w:rPr>
              <w:t xml:space="preserve">ocation  </w:t>
            </w:r>
          </w:p>
        </w:tc>
        <w:tc>
          <w:tcPr>
            <w:tcW w:w="852" w:type="pct"/>
            <w:tcBorders>
              <w:top w:val="single" w:color="auto" w:sz="4" w:space="0"/>
              <w:bottom w:val="single" w:color="auto" w:sz="4" w:space="0"/>
              <w:insideH w:val="single" w:sz="4" w:space="0"/>
            </w:tcBorders>
            <w:shd w:val="clear" w:color="auto" w:fill="auto"/>
          </w:tcPr>
          <w:p w14:paraId="2AA8E122">
            <w:pPr>
              <w:pStyle w:val="4"/>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 xml:space="preserve">Aim of the study </w:t>
            </w:r>
          </w:p>
        </w:tc>
        <w:tc>
          <w:tcPr>
            <w:tcW w:w="888" w:type="pct"/>
            <w:tcBorders>
              <w:top w:val="single" w:color="auto" w:sz="4" w:space="0"/>
              <w:bottom w:val="single" w:color="auto" w:sz="4" w:space="0"/>
              <w:insideH w:val="single" w:sz="4" w:space="0"/>
            </w:tcBorders>
            <w:shd w:val="clear" w:color="auto" w:fill="auto"/>
          </w:tcPr>
          <w:p w14:paraId="2AA8E123">
            <w:pPr>
              <w:pStyle w:val="4"/>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Design, method, and sample</w:t>
            </w:r>
          </w:p>
        </w:tc>
        <w:tc>
          <w:tcPr>
            <w:tcW w:w="2165" w:type="pct"/>
            <w:tcBorders>
              <w:top w:val="single" w:color="auto" w:sz="4" w:space="0"/>
              <w:bottom w:val="single" w:color="auto" w:sz="4" w:space="0"/>
              <w:insideH w:val="single" w:sz="4" w:space="0"/>
            </w:tcBorders>
            <w:shd w:val="clear" w:color="auto" w:fill="auto"/>
          </w:tcPr>
          <w:p w14:paraId="2AA8E124">
            <w:pPr>
              <w:pStyle w:val="4"/>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Key findings</w:t>
            </w:r>
          </w:p>
        </w:tc>
        <w:tc>
          <w:tcPr>
            <w:tcW w:w="285" w:type="pct"/>
            <w:tcBorders>
              <w:top w:val="single" w:color="auto" w:sz="4" w:space="0"/>
              <w:bottom w:val="single" w:color="auto" w:sz="4" w:space="0"/>
              <w:insideH w:val="single" w:sz="4" w:space="0"/>
            </w:tcBorders>
            <w:shd w:val="clear" w:color="auto" w:fill="auto"/>
          </w:tcPr>
          <w:p w14:paraId="2AA8E125">
            <w:pPr>
              <w:pStyle w:val="4"/>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 xml:space="preserve">Quality </w:t>
            </w:r>
            <w:r>
              <w:rPr>
                <w:rFonts w:hint="eastAsia" w:asciiTheme="majorBidi" w:hAnsiTheme="majorBidi" w:eastAsiaTheme="majorEastAsia" w:cstheme="majorBidi"/>
                <w:i w:val="0"/>
                <w:iCs w:val="0"/>
                <w:color w:val="auto"/>
                <w:sz w:val="21"/>
                <w:lang w:val="en-US" w:eastAsia="zh-CN"/>
              </w:rPr>
              <w:t>r</w:t>
            </w:r>
            <w:r>
              <w:rPr>
                <w:rFonts w:asciiTheme="majorBidi" w:hAnsiTheme="majorBidi" w:eastAsiaTheme="majorEastAsia" w:cstheme="majorBidi"/>
                <w:i w:val="0"/>
                <w:iCs w:val="0"/>
                <w:color w:val="auto"/>
                <w:sz w:val="21"/>
              </w:rPr>
              <w:t xml:space="preserve">ating  </w:t>
            </w:r>
          </w:p>
        </w:tc>
        <w:tc>
          <w:tcPr>
            <w:tcW w:w="263" w:type="pct"/>
            <w:tcBorders>
              <w:top w:val="single" w:color="auto" w:sz="4" w:space="0"/>
              <w:bottom w:val="single" w:color="auto" w:sz="4" w:space="0"/>
              <w:insideH w:val="single" w:sz="4" w:space="0"/>
            </w:tcBorders>
            <w:shd w:val="clear" w:color="auto" w:fill="auto"/>
          </w:tcPr>
          <w:p w14:paraId="2AA8E126">
            <w:pPr>
              <w:pStyle w:val="4"/>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 xml:space="preserve">Cluster </w:t>
            </w:r>
          </w:p>
        </w:tc>
      </w:tr>
      <w:tr w14:paraId="2AA8E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544" w:type="pct"/>
            <w:tcBorders>
              <w:top w:val="single" w:color="auto" w:sz="4" w:space="0"/>
              <w:insideV w:val="single" w:sz="4" w:space="0"/>
              <w:tl2br w:val="nil"/>
              <w:tr2bl w:val="nil"/>
            </w:tcBorders>
            <w:shd w:val="clear" w:color="auto" w:fill="auto"/>
          </w:tcPr>
          <w:p w14:paraId="2AA8E128">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&lt;EndNote&gt;&lt;Cite&gt;&lt;Author&gt;Thorne&lt;/Author&gt;&lt;Year&gt;2018&lt;/Year&gt;&lt;RecNum&gt;356&lt;/RecNum&gt;&lt;DisplayText&gt;(Thorne et al., 2018)&lt;/DisplayText&gt;&lt;record&gt;&lt;rec-number&gt;356&lt;/rec-number&gt;&lt;foreign-keys&gt;&lt;key app="EN" db-id="daxr9sxtlpdx2peae9dx2f5o0vr2zzews552" timestamp="1703369154"&gt;356&lt;/key&gt;&lt;/foreign-keys&gt;&lt;ref-type name="Journal Article"&gt;17&lt;/ref-type&gt;&lt;contributors&gt;&lt;authors&gt;&lt;author&gt;Thorne, Sally&lt;/author&gt;&lt;author&gt;Konikoff, Laura&lt;/author&gt;&lt;author&gt;Brown, Helen&lt;/author&gt;&lt;author&gt;Albersheim, Susan&lt;/author&gt;&lt;/authors&gt;&lt;/contributors&gt;&lt;titles&gt;&lt;title&gt;Navigating the Dangerous Terrain of Moral Distress: Understanding Response Patterns in the NICU&lt;/title&gt;&lt;secondary-title&gt;Qualitative Health Research&lt;/secondary-title&gt;&lt;/titles&gt;&lt;periodical&gt;&lt;full-title&gt;Qualitative Health Research&lt;/full-title&gt;&lt;/periodical&gt;&lt;pages&gt;683-701&lt;/pages&gt;&lt;volume&gt;28&lt;/volume&gt;&lt;number&gt;5&lt;/number&gt;&lt;section&gt;683&lt;/section&gt;&lt;dates&gt;&lt;year&gt;2018&lt;/year&gt;&lt;/dates&gt;&lt;isbn&gt;1049-7323&lt;/isbn&gt;&lt;urls&gt;&lt;/urls&gt;&lt;electronic-resource-num&gt;10.1177/1049732317753585&lt;/electronic-resource-num&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Thorne et al.,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2018)</w:t>
            </w:r>
            <w:r>
              <w:rPr>
                <w:rFonts w:asciiTheme="majorBidi" w:hAnsiTheme="majorBidi" w:eastAsiaTheme="majorEastAsia" w:cstheme="majorBidi"/>
                <w:i/>
                <w:iCs/>
                <w:color w:val="auto"/>
                <w:sz w:val="21"/>
              </w:rPr>
              <w:fldChar w:fldCharType="end"/>
            </w:r>
            <w:r>
              <w:rPr>
                <w:rFonts w:asciiTheme="majorBidi" w:hAnsiTheme="majorBidi" w:eastAsiaTheme="majorEastAsia" w:cstheme="majorBidi"/>
                <w:i/>
                <w:iCs/>
                <w:color w:val="auto"/>
                <w:sz w:val="21"/>
                <w:lang w:val="en-US"/>
              </w:rPr>
              <w:t xml:space="preserve">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lang w:val="en-US" w:eastAsia="zh-CN"/>
              </w:rPr>
              <w:t>28</w:t>
            </w:r>
            <w:r>
              <w:rPr>
                <w:rFonts w:hint="eastAsia" w:asciiTheme="majorBidi" w:hAnsiTheme="majorBidi" w:eastAsiaTheme="majorEastAsia" w:cstheme="majorBidi"/>
                <w:i w:val="0"/>
                <w:iCs w:val="0"/>
                <w:color w:val="auto"/>
                <w:sz w:val="21"/>
                <w:lang w:val="en-US" w:eastAsia="zh-CN"/>
              </w:rPr>
              <w:t>]</w:t>
            </w:r>
          </w:p>
          <w:p w14:paraId="2AA8E129">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Canada</w:t>
            </w:r>
          </w:p>
        </w:tc>
        <w:tc>
          <w:tcPr>
            <w:tcW w:w="852" w:type="pct"/>
            <w:tcBorders>
              <w:top w:val="single" w:color="auto" w:sz="4" w:space="0"/>
              <w:tl2br w:val="nil"/>
              <w:tr2bl w:val="nil"/>
            </w:tcBorders>
            <w:shd w:val="clear" w:color="auto" w:fill="auto"/>
          </w:tcPr>
          <w:p w14:paraId="2AA8E12A">
            <w:pPr>
              <w:pStyle w:val="4"/>
              <w:rPr>
                <w:rFonts w:asciiTheme="majorBidi" w:hAnsiTheme="majorBidi" w:cstheme="majorBidi"/>
                <w:color w:val="auto"/>
                <w:sz w:val="21"/>
              </w:rPr>
            </w:pPr>
            <w:r>
              <w:rPr>
                <w:rFonts w:asciiTheme="majorBidi" w:hAnsiTheme="majorBidi" w:cstheme="majorBidi"/>
                <w:color w:val="auto"/>
                <w:sz w:val="21"/>
              </w:rPr>
              <w:t>A critical exploration of the dynamics</w:t>
            </w:r>
          </w:p>
          <w:p w14:paraId="2AA8E12B">
            <w:pPr>
              <w:pStyle w:val="4"/>
              <w:rPr>
                <w:rFonts w:asciiTheme="majorBidi" w:hAnsiTheme="majorBidi" w:cstheme="majorBidi"/>
                <w:color w:val="auto"/>
                <w:sz w:val="21"/>
              </w:rPr>
            </w:pPr>
            <w:r>
              <w:rPr>
                <w:rFonts w:asciiTheme="majorBidi" w:hAnsiTheme="majorBidi" w:cstheme="majorBidi"/>
                <w:color w:val="auto"/>
                <w:sz w:val="21"/>
              </w:rPr>
              <w:t>Of moral distress experience</w:t>
            </w:r>
          </w:p>
        </w:tc>
        <w:tc>
          <w:tcPr>
            <w:tcW w:w="888" w:type="pct"/>
            <w:tcBorders>
              <w:top w:val="single" w:color="auto" w:sz="4" w:space="0"/>
              <w:tl2br w:val="nil"/>
              <w:tr2bl w:val="nil"/>
            </w:tcBorders>
            <w:shd w:val="clear" w:color="auto" w:fill="auto"/>
          </w:tcPr>
          <w:p w14:paraId="2AA8E12C">
            <w:pPr>
              <w:pStyle w:val="4"/>
              <w:rPr>
                <w:rFonts w:asciiTheme="majorBidi" w:hAnsiTheme="majorBidi" w:cstheme="majorBidi"/>
                <w:color w:val="auto"/>
                <w:sz w:val="21"/>
              </w:rPr>
            </w:pPr>
            <w:r>
              <w:rPr>
                <w:rFonts w:asciiTheme="majorBidi" w:hAnsiTheme="majorBidi" w:cstheme="majorBidi"/>
                <w:color w:val="auto"/>
                <w:sz w:val="21"/>
              </w:rPr>
              <w:t xml:space="preserve">Qualitative, interpretive description methodology, </w:t>
            </w:r>
          </w:p>
          <w:p w14:paraId="2AA8E12D">
            <w:pPr>
              <w:pStyle w:val="4"/>
              <w:rPr>
                <w:rFonts w:asciiTheme="majorBidi" w:hAnsiTheme="majorBidi" w:cstheme="majorBidi"/>
                <w:color w:val="auto"/>
                <w:sz w:val="21"/>
              </w:rPr>
            </w:pPr>
            <w:r>
              <w:rPr>
                <w:rFonts w:asciiTheme="majorBidi" w:hAnsiTheme="majorBidi" w:cstheme="majorBidi"/>
                <w:color w:val="auto"/>
                <w:kern w:val="0"/>
                <w:sz w:val="21"/>
              </w:rPr>
              <w:t xml:space="preserve">28 </w:t>
            </w:r>
            <w:r>
              <w:rPr>
                <w:rFonts w:asciiTheme="majorBidi" w:hAnsiTheme="majorBidi" w:cstheme="majorBidi"/>
                <w:color w:val="auto"/>
                <w:sz w:val="21"/>
              </w:rPr>
              <w:t>NICU</w:t>
            </w:r>
            <w:r>
              <w:rPr>
                <w:color w:val="auto"/>
                <w:lang w:val="en-US"/>
              </w:rPr>
              <w:t xml:space="preserve"> </w:t>
            </w:r>
            <w:r>
              <w:rPr>
                <w:rFonts w:asciiTheme="majorBidi" w:hAnsiTheme="majorBidi" w:cstheme="majorBidi"/>
                <w:color w:val="auto"/>
                <w:sz w:val="21"/>
              </w:rPr>
              <w:t>practitioners</w:t>
            </w:r>
          </w:p>
        </w:tc>
        <w:tc>
          <w:tcPr>
            <w:tcW w:w="2165" w:type="pct"/>
            <w:tcBorders>
              <w:top w:val="single" w:color="auto" w:sz="4" w:space="0"/>
              <w:tl2br w:val="nil"/>
              <w:tr2bl w:val="nil"/>
            </w:tcBorders>
            <w:shd w:val="clear" w:color="auto" w:fill="auto"/>
          </w:tcPr>
          <w:p w14:paraId="2AA8E12E">
            <w:pPr>
              <w:pStyle w:val="4"/>
              <w:jc w:val="both"/>
              <w:rPr>
                <w:rFonts w:asciiTheme="majorBidi" w:hAnsiTheme="majorBidi" w:cstheme="majorBidi"/>
                <w:color w:val="auto"/>
                <w:sz w:val="21"/>
              </w:rPr>
            </w:pPr>
            <w:r>
              <w:rPr>
                <w:rFonts w:asciiTheme="majorBidi" w:hAnsiTheme="majorBidi" w:cstheme="majorBidi"/>
                <w:color w:val="auto"/>
                <w:sz w:val="21"/>
              </w:rPr>
              <w:t xml:space="preserve">Organizational and Relational Contexts created a dynamic and complex environment that signifies the experience of moral distress in various moral situations.  </w:t>
            </w:r>
          </w:p>
        </w:tc>
        <w:tc>
          <w:tcPr>
            <w:tcW w:w="285" w:type="pct"/>
            <w:tcBorders>
              <w:top w:val="single" w:color="auto" w:sz="4" w:space="0"/>
              <w:tl2br w:val="nil"/>
              <w:tr2bl w:val="nil"/>
            </w:tcBorders>
            <w:shd w:val="clear" w:color="auto" w:fill="auto"/>
          </w:tcPr>
          <w:p w14:paraId="2AA8E12F">
            <w:pPr>
              <w:pStyle w:val="4"/>
              <w:rPr>
                <w:rFonts w:asciiTheme="majorBidi" w:hAnsiTheme="majorBidi" w:cstheme="majorBidi"/>
                <w:color w:val="auto"/>
                <w:sz w:val="21"/>
              </w:rPr>
            </w:pPr>
            <w:r>
              <w:rPr>
                <w:rFonts w:asciiTheme="majorBidi" w:hAnsiTheme="majorBidi" w:cstheme="majorBidi"/>
                <w:color w:val="auto"/>
                <w:sz w:val="21"/>
              </w:rPr>
              <w:t>LVL</w:t>
            </w:r>
            <w:r>
              <w:rPr>
                <w:color w:val="auto"/>
                <w:sz w:val="21"/>
              </w:rPr>
              <w:t xml:space="preserve"> </w:t>
            </w:r>
            <w:r>
              <w:rPr>
                <w:rFonts w:asciiTheme="majorBidi" w:hAnsiTheme="majorBidi" w:cstheme="majorBidi"/>
                <w:color w:val="auto"/>
                <w:sz w:val="21"/>
              </w:rPr>
              <w:t>II</w:t>
            </w:r>
          </w:p>
        </w:tc>
        <w:tc>
          <w:tcPr>
            <w:tcW w:w="263" w:type="pct"/>
            <w:tcBorders>
              <w:top w:val="single" w:color="auto" w:sz="4" w:space="0"/>
              <w:tl2br w:val="nil"/>
              <w:tr2bl w:val="nil"/>
            </w:tcBorders>
            <w:shd w:val="clear" w:color="auto" w:fill="auto"/>
          </w:tcPr>
          <w:p w14:paraId="2AA8E130">
            <w:pPr>
              <w:pStyle w:val="4"/>
              <w:rPr>
                <w:rFonts w:asciiTheme="majorBidi" w:hAnsiTheme="majorBidi" w:cstheme="majorBidi"/>
                <w:color w:val="auto"/>
                <w:sz w:val="21"/>
              </w:rPr>
            </w:pPr>
            <w:r>
              <w:rPr>
                <w:rFonts w:asciiTheme="majorBidi" w:hAnsiTheme="majorBidi" w:cstheme="majorBidi"/>
                <w:color w:val="auto"/>
                <w:sz w:val="21"/>
              </w:rPr>
              <w:t>a,b,c,d,e</w:t>
            </w:r>
          </w:p>
        </w:tc>
      </w:tr>
      <w:tr w14:paraId="2AA8E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32">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&lt;EndNote&gt;&lt;Cite&gt;&lt;Author&gt;Ko&lt;/Author&gt;&lt;Year&gt;2018&lt;/Year&gt;&lt;RecNum&gt;357&lt;/RecNum&gt;&lt;DisplayText&gt;(Ko, Chin &amp;amp; Hsu, 2018)&lt;/DisplayText&gt;&lt;record&gt;&lt;rec-number&gt;357&lt;/rec-number&gt;&lt;foreign-keys&gt;&lt;key app="EN" db-id="daxr9sxtlpdx2peae9dx2f5o0vr2zzews552" timestamp="1703419342"&gt;357&lt;/key&gt;&lt;/foreign-keys&gt;&lt;ref-type name="Journal Article"&gt;17&lt;/ref-type&gt;&lt;contributors&gt;&lt;authors&gt;&lt;author&gt;Ko, Hsun-Kuei&lt;/author&gt;&lt;author&gt;Chin, Chi-Chun&lt;/author&gt;&lt;author&gt;Hsu, Min-Tao&lt;/author&gt;&lt;/authors&gt;&lt;/contributors&gt;&lt;titles&gt;&lt;title&gt;Moral Distress Model Reconstructed Using Grounded Theory&lt;/title&gt;&lt;secondary-title&gt;The journal of nursing research : JNR&lt;/secondary-title&gt;&lt;/titles&gt;&lt;periodical&gt;&lt;full-title&gt;The journal of nursing research : JNR&lt;/full-title&gt;&lt;/periodical&gt;&lt;pages&gt;18-26&lt;/pages&gt;&lt;volume&gt;26&lt;/volume&gt;&lt;number&gt;1&lt;/number&gt;&lt;section&gt;18&lt;/section&gt;&lt;dates&gt;&lt;year&gt;2018&lt;/year&gt;&lt;/dates&gt;&lt;isbn&gt;1682-3141&lt;/isbn&gt;&lt;urls&gt;&lt;/urls&gt;&lt;electronic-resource-num&gt;10.1097/JNR.0000000000000189&lt;/electronic-resource-num&gt;&lt;remote-database-name&gt;MEDLINE&lt;/remote-database-name&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Ko</w:t>
            </w:r>
            <w:r>
              <w:rPr>
                <w:rFonts w:hint="eastAsia" w:asciiTheme="majorBidi" w:hAnsiTheme="majorBidi" w:eastAsiaTheme="majorEastAsia" w:cstheme="majorBidi"/>
                <w:i w:val="0"/>
                <w:iCs w:val="0"/>
                <w:color w:val="auto"/>
                <w:sz w:val="21"/>
                <w:lang w:val="en-US" w:eastAsia="zh-CN"/>
              </w:rPr>
              <w:t xml:space="preserve"> etal.</w:t>
            </w:r>
            <w:r>
              <w:rPr>
                <w:rFonts w:asciiTheme="majorBidi" w:hAnsiTheme="majorBidi" w:eastAsiaTheme="majorEastAsia" w:cstheme="majorBidi"/>
                <w:i w:val="0"/>
                <w:iCs w:val="0"/>
                <w:color w:val="auto"/>
                <w:sz w:val="21"/>
              </w:rPr>
              <w:t xml:space="preserve">,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2018)</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bookmarkStart w:id="0" w:name="OLE_LINK2"/>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lang w:val="en-US" w:eastAsia="zh-CN"/>
              </w:rPr>
              <w:t>31</w:t>
            </w:r>
            <w:r>
              <w:rPr>
                <w:rFonts w:hint="eastAsia" w:asciiTheme="majorBidi" w:hAnsiTheme="majorBidi" w:eastAsiaTheme="majorEastAsia" w:cstheme="majorBidi"/>
                <w:i w:val="0"/>
                <w:iCs w:val="0"/>
                <w:color w:val="auto"/>
                <w:sz w:val="21"/>
                <w:lang w:val="en-US" w:eastAsia="zh-CN"/>
              </w:rPr>
              <w:t>]</w:t>
            </w:r>
            <w:bookmarkEnd w:id="0"/>
          </w:p>
          <w:p w14:paraId="2AA8E133">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val="0"/>
                <w:iCs w:val="0"/>
                <w:color w:val="auto"/>
                <w:sz w:val="21"/>
              </w:rPr>
              <w:t>Taiwan</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lang w:val="en-US" w:eastAsia="zh-CN"/>
              </w:rPr>
              <w:t xml:space="preserve"> </w:t>
            </w:r>
            <w:r>
              <w:rPr>
                <w:rFonts w:hint="eastAsia" w:asciiTheme="majorBidi" w:hAnsiTheme="majorBidi" w:eastAsiaTheme="majorEastAsia" w:cstheme="majorBidi"/>
                <w:i w:val="0"/>
                <w:iCs w:val="0"/>
                <w:color w:val="auto"/>
                <w:sz w:val="21"/>
                <w:lang w:val="en-US" w:eastAsia="zh-CN"/>
              </w:rPr>
              <w:t>China</w:t>
            </w:r>
          </w:p>
        </w:tc>
        <w:tc>
          <w:tcPr>
            <w:tcW w:w="852" w:type="pct"/>
            <w:tcBorders>
              <w:tl2br w:val="nil"/>
              <w:tr2bl w:val="nil"/>
            </w:tcBorders>
            <w:shd w:val="clear" w:color="auto" w:fill="auto"/>
          </w:tcPr>
          <w:p w14:paraId="2AA8E134">
            <w:pPr>
              <w:pStyle w:val="4"/>
              <w:rPr>
                <w:rFonts w:asciiTheme="majorBidi" w:hAnsiTheme="majorBidi" w:cstheme="majorBidi"/>
                <w:color w:val="auto"/>
                <w:sz w:val="21"/>
              </w:rPr>
            </w:pPr>
            <w:r>
              <w:rPr>
                <w:rFonts w:asciiTheme="majorBidi" w:hAnsiTheme="majorBidi" w:cstheme="majorBidi"/>
                <w:color w:val="auto"/>
                <w:sz w:val="21"/>
              </w:rPr>
              <w:t>Reconstruct the model</w:t>
            </w:r>
          </w:p>
          <w:p w14:paraId="2AA8E135">
            <w:pPr>
              <w:pStyle w:val="4"/>
              <w:rPr>
                <w:rFonts w:asciiTheme="majorBidi" w:hAnsiTheme="majorBidi" w:cstheme="majorBidi"/>
                <w:color w:val="auto"/>
                <w:sz w:val="21"/>
              </w:rPr>
            </w:pPr>
            <w:r>
              <w:rPr>
                <w:rFonts w:asciiTheme="majorBidi" w:hAnsiTheme="majorBidi" w:cstheme="majorBidi"/>
                <w:color w:val="auto"/>
                <w:sz w:val="21"/>
              </w:rPr>
              <w:t>of moral distress using the grounded theory.</w:t>
            </w:r>
          </w:p>
        </w:tc>
        <w:tc>
          <w:tcPr>
            <w:tcW w:w="888" w:type="pct"/>
            <w:tcBorders>
              <w:tl2br w:val="nil"/>
              <w:tr2bl w:val="nil"/>
            </w:tcBorders>
            <w:shd w:val="clear" w:color="auto" w:fill="auto"/>
          </w:tcPr>
          <w:p w14:paraId="2AA8E136">
            <w:pPr>
              <w:pStyle w:val="4"/>
              <w:rPr>
                <w:rFonts w:asciiTheme="majorBidi" w:hAnsiTheme="majorBidi" w:cstheme="majorBidi"/>
                <w:color w:val="auto"/>
                <w:sz w:val="21"/>
              </w:rPr>
            </w:pPr>
            <w:r>
              <w:rPr>
                <w:rFonts w:asciiTheme="majorBidi" w:hAnsiTheme="majorBidi" w:cstheme="majorBidi"/>
                <w:color w:val="auto"/>
                <w:sz w:val="21"/>
              </w:rPr>
              <w:t>Qualitative, Grounded theory</w:t>
            </w:r>
          </w:p>
          <w:p w14:paraId="2AA8E137">
            <w:pPr>
              <w:pStyle w:val="4"/>
              <w:rPr>
                <w:rFonts w:asciiTheme="majorBidi" w:hAnsiTheme="majorBidi" w:cstheme="majorBidi"/>
                <w:color w:val="auto"/>
                <w:sz w:val="21"/>
              </w:rPr>
            </w:pPr>
            <w:r>
              <w:rPr>
                <w:rFonts w:asciiTheme="majorBidi" w:hAnsiTheme="majorBidi" w:cstheme="majorBidi"/>
                <w:color w:val="auto"/>
                <w:sz w:val="21"/>
              </w:rPr>
              <w:t>25</w:t>
            </w:r>
          </w:p>
          <w:p w14:paraId="2AA8E13A">
            <w:pPr>
              <w:pStyle w:val="4"/>
              <w:rPr>
                <w:rFonts w:asciiTheme="majorBidi" w:hAnsiTheme="majorBidi" w:cstheme="majorBidi"/>
                <w:color w:val="auto"/>
                <w:sz w:val="21"/>
              </w:rPr>
            </w:pPr>
            <w:r>
              <w:rPr>
                <w:rFonts w:asciiTheme="majorBidi" w:hAnsiTheme="majorBidi" w:cstheme="majorBidi"/>
                <w:color w:val="auto"/>
                <w:sz w:val="21"/>
              </w:rPr>
              <w:t>Registered Nurses work units that attend to</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the needs of adult, pediatric, acute, and critical disease or end of-life-care patients</w:t>
            </w:r>
          </w:p>
        </w:tc>
        <w:tc>
          <w:tcPr>
            <w:tcW w:w="2165" w:type="pct"/>
            <w:tcBorders>
              <w:tl2br w:val="nil"/>
              <w:tr2bl w:val="nil"/>
            </w:tcBorders>
            <w:shd w:val="clear" w:color="auto" w:fill="auto"/>
          </w:tcPr>
          <w:p w14:paraId="2AA8E13B">
            <w:pPr>
              <w:pStyle w:val="4"/>
              <w:numPr>
                <w:ilvl w:val="0"/>
                <w:numId w:val="1"/>
              </w:numPr>
              <w:jc w:val="both"/>
              <w:rPr>
                <w:rFonts w:asciiTheme="majorBidi" w:hAnsiTheme="majorBidi" w:cstheme="majorBidi"/>
                <w:color w:val="auto"/>
                <w:sz w:val="21"/>
              </w:rPr>
            </w:pPr>
            <w:r>
              <w:rPr>
                <w:rFonts w:asciiTheme="majorBidi" w:hAnsiTheme="majorBidi" w:cstheme="majorBidi"/>
                <w:color w:val="auto"/>
                <w:sz w:val="21"/>
              </w:rPr>
              <w:t>Clinical moral events are influenced by the nurses</w:t>
            </w:r>
            <w:r>
              <w:rPr>
                <w:rFonts w:asciiTheme="majorBidi" w:hAnsiTheme="majorBidi" w:cstheme="majorBidi"/>
                <w:color w:val="auto"/>
                <w:sz w:val="21"/>
                <w:lang w:val="en-US" w:eastAsia="zh-CN"/>
              </w:rPr>
              <w:t>’</w:t>
            </w:r>
            <w:r>
              <w:rPr>
                <w:rFonts w:asciiTheme="majorBidi" w:hAnsiTheme="majorBidi" w:cstheme="majorBidi"/>
                <w:color w:val="auto"/>
                <w:sz w:val="21"/>
              </w:rPr>
              <w:t xml:space="preserve"> moral values.</w:t>
            </w:r>
          </w:p>
          <w:p w14:paraId="2AA8E13C">
            <w:pPr>
              <w:pStyle w:val="4"/>
              <w:numPr>
                <w:ilvl w:val="0"/>
                <w:numId w:val="1"/>
              </w:numPr>
              <w:jc w:val="both"/>
              <w:rPr>
                <w:rFonts w:asciiTheme="majorBidi" w:hAnsiTheme="majorBidi" w:cstheme="majorBidi"/>
                <w:color w:val="auto"/>
                <w:sz w:val="21"/>
              </w:rPr>
            </w:pPr>
            <w:r>
              <w:rPr>
                <w:rFonts w:asciiTheme="majorBidi" w:hAnsiTheme="majorBidi" w:cstheme="majorBidi"/>
                <w:color w:val="auto"/>
                <w:sz w:val="21"/>
              </w:rPr>
              <w:t xml:space="preserve">Nurses’ moral values constitute a constraint that leads to moral distress. </w:t>
            </w:r>
          </w:p>
          <w:p w14:paraId="2AA8E13D">
            <w:pPr>
              <w:pStyle w:val="4"/>
              <w:numPr>
                <w:ilvl w:val="0"/>
                <w:numId w:val="1"/>
              </w:numPr>
              <w:jc w:val="both"/>
              <w:rPr>
                <w:rFonts w:asciiTheme="majorBidi" w:hAnsiTheme="majorBidi" w:cstheme="majorBidi"/>
                <w:color w:val="auto"/>
                <w:sz w:val="21"/>
              </w:rPr>
            </w:pPr>
            <w:r>
              <w:rPr>
                <w:rFonts w:asciiTheme="majorBidi" w:hAnsiTheme="majorBidi" w:cstheme="majorBidi"/>
                <w:color w:val="auto"/>
                <w:sz w:val="21"/>
              </w:rPr>
              <w:t xml:space="preserve">Heterodox skills and self-confidence promote moral efficacy and moral actions. </w:t>
            </w:r>
          </w:p>
          <w:p w14:paraId="2AA8E13E">
            <w:pPr>
              <w:pStyle w:val="4"/>
              <w:numPr>
                <w:ilvl w:val="0"/>
                <w:numId w:val="1"/>
              </w:numPr>
              <w:jc w:val="both"/>
              <w:rPr>
                <w:rFonts w:asciiTheme="majorBidi" w:hAnsiTheme="majorBidi" w:cstheme="majorBidi"/>
                <w:color w:val="auto"/>
                <w:sz w:val="21"/>
              </w:rPr>
            </w:pPr>
            <w:r>
              <w:rPr>
                <w:rFonts w:asciiTheme="majorBidi" w:hAnsiTheme="majorBidi" w:cstheme="majorBidi"/>
                <w:color w:val="auto"/>
                <w:sz w:val="21"/>
              </w:rPr>
              <w:t xml:space="preserve">Moral efficacy enhances moral judgment.  </w:t>
            </w:r>
          </w:p>
        </w:tc>
        <w:tc>
          <w:tcPr>
            <w:tcW w:w="285" w:type="pct"/>
            <w:tcBorders>
              <w:tl2br w:val="nil"/>
              <w:tr2bl w:val="nil"/>
            </w:tcBorders>
            <w:shd w:val="clear" w:color="auto" w:fill="auto"/>
          </w:tcPr>
          <w:p w14:paraId="2AA8E13F">
            <w:pPr>
              <w:pStyle w:val="4"/>
              <w:rPr>
                <w:rFonts w:asciiTheme="majorBidi" w:hAnsiTheme="majorBidi" w:cstheme="majorBidi"/>
                <w:color w:val="auto"/>
                <w:sz w:val="21"/>
              </w:rPr>
            </w:pPr>
            <w:r>
              <w:rPr>
                <w:rFonts w:asciiTheme="majorBidi" w:hAnsiTheme="majorBidi" w:cstheme="majorBidi"/>
                <w:color w:val="auto"/>
                <w:sz w:val="21"/>
              </w:rPr>
              <w:t>LVL II</w:t>
            </w:r>
          </w:p>
        </w:tc>
        <w:tc>
          <w:tcPr>
            <w:tcW w:w="263" w:type="pct"/>
            <w:tcBorders>
              <w:tl2br w:val="nil"/>
              <w:tr2bl w:val="nil"/>
            </w:tcBorders>
            <w:shd w:val="clear" w:color="auto" w:fill="auto"/>
          </w:tcPr>
          <w:p w14:paraId="2AA8E140">
            <w:pPr>
              <w:pStyle w:val="4"/>
              <w:rPr>
                <w:rFonts w:asciiTheme="majorBidi" w:hAnsiTheme="majorBidi" w:cstheme="majorBidi"/>
                <w:color w:val="auto"/>
                <w:sz w:val="21"/>
              </w:rPr>
            </w:pPr>
            <w:r>
              <w:rPr>
                <w:rFonts w:asciiTheme="majorBidi" w:hAnsiTheme="majorBidi" w:cstheme="majorBidi"/>
                <w:color w:val="auto"/>
                <w:sz w:val="21"/>
              </w:rPr>
              <w:t>a,b,c,e</w:t>
            </w:r>
          </w:p>
        </w:tc>
      </w:tr>
      <w:tr w14:paraId="2AA8E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42">
            <w:pPr>
              <w:pStyle w:val="4"/>
              <w:jc w:val="left"/>
              <w:rPr>
                <w:rFonts w:asciiTheme="majorBidi" w:hAnsiTheme="majorBidi" w:eastAsiaTheme="majorEastAsia" w:cstheme="majorBidi"/>
                <w:i/>
                <w:iCs/>
                <w:color w:val="auto"/>
                <w:sz w:val="21"/>
                <w:lang w:val="en-US"/>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&lt;EndNote&gt;&lt;Cite&gt;&lt;Author&gt;McCarthy&lt;/Author&gt;&lt;Year&gt;2018&lt;/Year&gt;&lt;RecNum&gt;341&lt;/RecNum&gt;&lt;DisplayText&gt;(McCarthy &amp;amp; Monteverde, 2018)&lt;/DisplayText&gt;&lt;record&gt;&lt;rec-number&gt;341&lt;/rec-number&gt;&lt;foreign-keys&gt;&lt;key app="EN" db-id="daxr9sxtlpdx2peae9dx2f5o0vr2zzews552" timestamp="1694197083"&gt;341&lt;/key&gt;&lt;/foreign-keys&gt;&lt;ref-type name="Journal Article"&gt;17&lt;/ref-type&gt;&lt;contributors&gt;&lt;authors&gt;&lt;author&gt;McCarthy, Joan&lt;/author&gt;&lt;author&gt;Monteverde, Settimio&lt;/author&gt;&lt;/authors&gt;&lt;/contributors&gt;&lt;titles&gt;&lt;title&gt;The Standard Account of Moral Distress and Why We Should Keep It&lt;/title&gt;&lt;secondary-title&gt;HEC Forum&lt;/secondary-title&gt;&lt;/titles&gt;&lt;periodical&gt;&lt;full-title&gt;HEC Forum&lt;/full-title&gt;&lt;/periodical&gt;&lt;pages&gt;319-328&lt;/pages&gt;&lt;volume&gt;30&lt;/volume&gt;&lt;number&gt;4&lt;/number&gt;&lt;dates&gt;&lt;year&gt;2018&lt;/year&gt;&lt;pub-dates&gt;&lt;date&gt;2018/12/01&lt;/date&gt;&lt;/pub-dates&gt;&lt;/dates&gt;&lt;isbn&gt;1572-8498&lt;/isbn&gt;&lt;urls&gt;&lt;related-urls&gt;&lt;url&gt;https://doi.org/10.1007/s10730-018-9349-4&lt;/url&gt;&lt;/related-urls&gt;&lt;/urls&gt;&lt;electronic-resource-num&gt;10.1007/s10730-018-9349-4&lt;/electronic-resource-num&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McCarthy &amp; Monteverde,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2018)</w:t>
            </w:r>
            <w:r>
              <w:rPr>
                <w:rFonts w:asciiTheme="majorBidi" w:hAnsiTheme="majorBidi" w:eastAsiaTheme="majorEastAsia" w:cstheme="majorBidi"/>
                <w:i/>
                <w:iCs/>
                <w:color w:val="auto"/>
                <w:sz w:val="21"/>
              </w:rPr>
              <w:fldChar w:fldCharType="end"/>
            </w:r>
            <w:r>
              <w:rPr>
                <w:rFonts w:asciiTheme="majorBidi" w:hAnsiTheme="majorBidi" w:eastAsiaTheme="majorEastAsia" w:cstheme="majorBidi"/>
                <w:i/>
                <w:iCs/>
                <w:color w:val="auto"/>
                <w:sz w:val="21"/>
                <w:lang w:val="en-US"/>
              </w:rPr>
              <w:t xml:space="preserve">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lang w:val="en-US" w:eastAsia="zh-CN"/>
              </w:rPr>
              <w:t>14</w:t>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(NA)</w:t>
            </w:r>
          </w:p>
        </w:tc>
        <w:tc>
          <w:tcPr>
            <w:tcW w:w="852" w:type="pct"/>
            <w:tcBorders>
              <w:tl2br w:val="nil"/>
              <w:tr2bl w:val="nil"/>
            </w:tcBorders>
            <w:shd w:val="clear" w:color="auto" w:fill="auto"/>
          </w:tcPr>
          <w:p w14:paraId="2AA8E143">
            <w:pPr>
              <w:pStyle w:val="4"/>
              <w:rPr>
                <w:rFonts w:asciiTheme="majorBidi" w:hAnsiTheme="majorBidi" w:cstheme="majorBidi"/>
                <w:color w:val="auto"/>
                <w:sz w:val="21"/>
              </w:rPr>
            </w:pPr>
            <w:r>
              <w:rPr>
                <w:rFonts w:asciiTheme="majorBidi" w:hAnsiTheme="majorBidi" w:cstheme="majorBidi"/>
                <w:color w:val="auto"/>
                <w:sz w:val="21"/>
              </w:rPr>
              <w:t>Defend the standard account of moral distress</w:t>
            </w:r>
          </w:p>
        </w:tc>
        <w:tc>
          <w:tcPr>
            <w:tcW w:w="888" w:type="pct"/>
            <w:tcBorders>
              <w:tl2br w:val="nil"/>
              <w:tr2bl w:val="nil"/>
            </w:tcBorders>
            <w:shd w:val="clear" w:color="auto" w:fill="auto"/>
          </w:tcPr>
          <w:p w14:paraId="2AA8E144">
            <w:pPr>
              <w:pStyle w:val="4"/>
              <w:rPr>
                <w:rFonts w:asciiTheme="majorBidi" w:hAnsiTheme="majorBidi" w:cstheme="majorBidi"/>
                <w:color w:val="auto"/>
                <w:sz w:val="21"/>
              </w:rPr>
            </w:pPr>
            <w:r>
              <w:rPr>
                <w:rFonts w:asciiTheme="majorBidi" w:hAnsiTheme="majorBidi" w:cstheme="majorBidi"/>
                <w:color w:val="auto"/>
                <w:sz w:val="21"/>
              </w:rPr>
              <w:t xml:space="preserve">Qualitative </w:t>
            </w:r>
          </w:p>
          <w:p w14:paraId="2AA8E145">
            <w:pPr>
              <w:pStyle w:val="4"/>
              <w:rPr>
                <w:rFonts w:asciiTheme="majorBidi" w:hAnsiTheme="majorBidi" w:cstheme="majorBidi"/>
                <w:color w:val="auto"/>
                <w:sz w:val="21"/>
              </w:rPr>
            </w:pPr>
            <w:r>
              <w:rPr>
                <w:rFonts w:asciiTheme="majorBidi" w:hAnsiTheme="majorBidi" w:cstheme="majorBidi"/>
                <w:color w:val="auto"/>
                <w:sz w:val="21"/>
              </w:rPr>
              <w:t>Historical</w:t>
            </w:r>
          </w:p>
          <w:p w14:paraId="2AA8E146">
            <w:pPr>
              <w:pStyle w:val="4"/>
              <w:rPr>
                <w:rFonts w:asciiTheme="majorBidi" w:hAnsiTheme="majorBidi" w:cstheme="majorBidi"/>
                <w:color w:val="auto"/>
                <w:sz w:val="21"/>
              </w:rPr>
            </w:pPr>
            <w:r>
              <w:rPr>
                <w:rFonts w:asciiTheme="majorBidi" w:hAnsiTheme="majorBidi" w:cstheme="majorBidi"/>
                <w:color w:val="auto"/>
                <w:sz w:val="21"/>
              </w:rPr>
              <w:t>Moral distress definition</w:t>
            </w:r>
          </w:p>
        </w:tc>
        <w:tc>
          <w:tcPr>
            <w:tcW w:w="2165" w:type="pct"/>
            <w:tcBorders>
              <w:tl2br w:val="nil"/>
              <w:tr2bl w:val="nil"/>
            </w:tcBorders>
            <w:shd w:val="clear" w:color="auto" w:fill="auto"/>
          </w:tcPr>
          <w:p w14:paraId="2AA8E147">
            <w:pPr>
              <w:pStyle w:val="4"/>
              <w:jc w:val="both"/>
              <w:rPr>
                <w:rFonts w:asciiTheme="majorBidi" w:hAnsiTheme="majorBidi" w:cstheme="majorBidi"/>
                <w:color w:val="auto"/>
                <w:sz w:val="21"/>
              </w:rPr>
            </w:pPr>
            <w:r>
              <w:rPr>
                <w:rFonts w:asciiTheme="majorBidi" w:hAnsiTheme="majorBidi" w:cstheme="majorBidi"/>
                <w:color w:val="auto"/>
                <w:sz w:val="21"/>
              </w:rPr>
              <w:t>The moral distress concept underlines social, political, and contextual determinants and highlights the emotional dimension of the moral realm. Moral distress puts pressure on healthcare providers and compromises patient care safety and quality.</w:t>
            </w:r>
          </w:p>
        </w:tc>
        <w:tc>
          <w:tcPr>
            <w:tcW w:w="285" w:type="pct"/>
            <w:tcBorders>
              <w:tl2br w:val="nil"/>
              <w:tr2bl w:val="nil"/>
            </w:tcBorders>
            <w:shd w:val="clear" w:color="auto" w:fill="auto"/>
          </w:tcPr>
          <w:p w14:paraId="2AA8E148">
            <w:pPr>
              <w:pStyle w:val="4"/>
              <w:rPr>
                <w:rFonts w:asciiTheme="majorBidi" w:hAnsiTheme="majorBidi" w:cstheme="majorBidi"/>
                <w:color w:val="auto"/>
                <w:sz w:val="21"/>
              </w:rPr>
            </w:pPr>
            <w:r>
              <w:rPr>
                <w:rFonts w:asciiTheme="majorBidi" w:hAnsiTheme="majorBidi" w:cstheme="majorBidi"/>
                <w:color w:val="auto"/>
                <w:sz w:val="21"/>
              </w:rPr>
              <w:t>LVL III</w:t>
            </w:r>
          </w:p>
        </w:tc>
        <w:tc>
          <w:tcPr>
            <w:tcW w:w="263" w:type="pct"/>
            <w:tcBorders>
              <w:tl2br w:val="nil"/>
              <w:tr2bl w:val="nil"/>
            </w:tcBorders>
            <w:shd w:val="clear" w:color="auto" w:fill="auto"/>
          </w:tcPr>
          <w:p w14:paraId="2AA8E149">
            <w:pPr>
              <w:pStyle w:val="4"/>
              <w:rPr>
                <w:rFonts w:asciiTheme="majorBidi" w:hAnsiTheme="majorBidi" w:cstheme="majorBidi"/>
                <w:color w:val="auto"/>
                <w:sz w:val="21"/>
              </w:rPr>
            </w:pPr>
            <w:r>
              <w:rPr>
                <w:rFonts w:asciiTheme="majorBidi" w:hAnsiTheme="majorBidi" w:cstheme="majorBidi"/>
                <w:color w:val="auto"/>
                <w:sz w:val="21"/>
              </w:rPr>
              <w:t>a,b,c,d,e</w:t>
            </w:r>
          </w:p>
        </w:tc>
      </w:tr>
      <w:tr w14:paraId="2AA8E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0" w:hRule="atLeast"/>
        </w:trPr>
        <w:tc>
          <w:tcPr>
            <w:tcW w:w="544" w:type="pct"/>
            <w:tcBorders>
              <w:insideV w:val="single" w:sz="4" w:space="0"/>
              <w:tl2br w:val="nil"/>
              <w:tr2bl w:val="nil"/>
            </w:tcBorders>
            <w:shd w:val="clear" w:color="auto" w:fill="auto"/>
          </w:tcPr>
          <w:p w14:paraId="2AA8E14B">
            <w:pPr>
              <w:pStyle w:val="4"/>
              <w:jc w:val="left"/>
              <w:rPr>
                <w:rFonts w:hint="default"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&lt;EndNote&gt;&lt;Cite&gt;&lt;Author&gt;Epstein&lt;/Author&gt;&lt;Year&gt;2019&lt;/Year&gt;&lt;RecNum&gt;89&lt;/RecNum&gt;&lt;DisplayText&gt;(Epstein et al., 2019)&lt;/DisplayText&gt;&lt;record&gt;&lt;rec-number&gt;89&lt;/rec-number&gt;&lt;foreign-keys&gt;&lt;key app="EN" db-id="daxr9sxtlpdx2peae9dx2f5o0vr2zzews552" timestamp="1636010160"&gt;89&lt;/key&gt;&lt;/foreign-keys&gt;&lt;ref-type name="Journal Article"&gt;17&lt;/ref-type&gt;&lt;contributors&gt;&lt;authors&gt;&lt;author&gt;Epstein, Elizabeth G&lt;/author&gt;&lt;author&gt;Whitehead, Phyllis B&lt;/author&gt;&lt;author&gt;Prompahakul, Chuleeporn&lt;/author&gt;&lt;author&gt;Thacker, Leroy R&lt;/author&gt;&lt;author&gt;Hamric, Ann B&lt;/author&gt;&lt;/authors&gt;&lt;/contributors&gt;&lt;titles&gt;&lt;title&gt;Enhancing understanding of moral distress: the measure of moral distress for health care professionals&lt;/title&gt;&lt;secondary-title&gt;AJOB empirical bioethics&lt;/secondary-title&gt;&lt;/titles&gt;&lt;periodical&gt;&lt;full-title&gt;AJOB empirical bioethics&lt;/full-title&gt;&lt;/periodical&gt;&lt;pages&gt;113-124&lt;/pages&gt;&lt;volume&gt;10&lt;/volume&gt;&lt;number&gt;2&lt;/number&gt;&lt;dates&gt;&lt;year&gt;2019&lt;/year&gt;&lt;/dates&gt;&lt;isbn&gt;2329-4515&lt;/isbn&gt;&lt;urls&gt;&lt;/urls&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Epstein et al.,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2019)</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23</w:t>
            </w:r>
            <w:r>
              <w:rPr>
                <w:rFonts w:hint="eastAsia" w:asciiTheme="majorBidi" w:hAnsiTheme="majorBidi" w:eastAsiaTheme="majorEastAsia" w:cstheme="majorBidi"/>
                <w:i w:val="0"/>
                <w:iCs w:val="0"/>
                <w:color w:val="auto"/>
                <w:sz w:val="21"/>
                <w:lang w:val="en-US" w:eastAsia="zh-CN"/>
              </w:rPr>
              <w:t>] USA</w:t>
            </w:r>
          </w:p>
        </w:tc>
        <w:tc>
          <w:tcPr>
            <w:tcW w:w="852" w:type="pct"/>
            <w:tcBorders>
              <w:tl2br w:val="nil"/>
              <w:tr2bl w:val="nil"/>
            </w:tcBorders>
            <w:shd w:val="clear" w:color="auto" w:fill="auto"/>
          </w:tcPr>
          <w:p w14:paraId="2AA8E14C">
            <w:pPr>
              <w:pStyle w:val="4"/>
              <w:rPr>
                <w:rFonts w:asciiTheme="majorBidi" w:hAnsiTheme="majorBidi" w:cstheme="majorBidi"/>
                <w:color w:val="auto"/>
                <w:sz w:val="21"/>
              </w:rPr>
            </w:pPr>
            <w:r>
              <w:rPr>
                <w:rFonts w:asciiTheme="majorBidi" w:hAnsiTheme="majorBidi" w:cstheme="majorBidi"/>
                <w:color w:val="auto"/>
                <w:sz w:val="21"/>
              </w:rPr>
              <w:t>Describes the development</w:t>
            </w:r>
          </w:p>
          <w:p w14:paraId="2AA8E14D">
            <w:pPr>
              <w:pStyle w:val="4"/>
              <w:rPr>
                <w:rFonts w:asciiTheme="majorBidi" w:hAnsiTheme="majorBidi" w:cstheme="majorBidi"/>
                <w:color w:val="auto"/>
                <w:sz w:val="21"/>
              </w:rPr>
            </w:pPr>
            <w:r>
              <w:rPr>
                <w:rFonts w:asciiTheme="majorBidi" w:hAnsiTheme="majorBidi" w:cstheme="majorBidi"/>
                <w:color w:val="auto"/>
                <w:sz w:val="21"/>
              </w:rPr>
              <w:t>And testing of a revision of the widely used Moral Distress Scale–Revised (MDS-R)</w:t>
            </w:r>
          </w:p>
          <w:p w14:paraId="2AA8E14E">
            <w:pPr>
              <w:pStyle w:val="4"/>
              <w:rPr>
                <w:rFonts w:asciiTheme="majorBidi" w:hAnsiTheme="majorBidi" w:cstheme="majorBidi"/>
                <w:color w:val="auto"/>
                <w:sz w:val="21"/>
              </w:rPr>
            </w:pPr>
            <w:r>
              <w:rPr>
                <w:rFonts w:asciiTheme="majorBidi" w:hAnsiTheme="majorBidi" w:cstheme="majorBidi"/>
                <w:color w:val="auto"/>
                <w:sz w:val="21"/>
              </w:rPr>
              <w:t>To measure moral distress.</w:t>
            </w:r>
          </w:p>
        </w:tc>
        <w:tc>
          <w:tcPr>
            <w:tcW w:w="888" w:type="pct"/>
            <w:tcBorders>
              <w:tl2br w:val="nil"/>
              <w:tr2bl w:val="nil"/>
            </w:tcBorders>
            <w:shd w:val="clear" w:color="auto" w:fill="auto"/>
          </w:tcPr>
          <w:p w14:paraId="2AA8E14F">
            <w:pPr>
              <w:pStyle w:val="4"/>
              <w:rPr>
                <w:rFonts w:asciiTheme="majorBidi" w:hAnsiTheme="majorBidi" w:cstheme="majorBidi"/>
                <w:color w:val="auto"/>
                <w:sz w:val="21"/>
              </w:rPr>
            </w:pPr>
            <w:r>
              <w:rPr>
                <w:rFonts w:asciiTheme="majorBidi" w:hAnsiTheme="majorBidi" w:cstheme="majorBidi"/>
                <w:color w:val="auto"/>
                <w:sz w:val="21"/>
              </w:rPr>
              <w:t>Quantitative</w:t>
            </w:r>
          </w:p>
          <w:p w14:paraId="2AA8E150">
            <w:pPr>
              <w:pStyle w:val="4"/>
              <w:rPr>
                <w:rFonts w:asciiTheme="majorBidi" w:hAnsiTheme="majorBidi" w:cstheme="majorBidi"/>
                <w:color w:val="auto"/>
                <w:sz w:val="21"/>
              </w:rPr>
            </w:pPr>
            <w:r>
              <w:rPr>
                <w:rFonts w:asciiTheme="majorBidi" w:hAnsiTheme="majorBidi" w:cstheme="majorBidi"/>
                <w:color w:val="auto"/>
                <w:sz w:val="21"/>
              </w:rPr>
              <w:t xml:space="preserve">Tool development </w:t>
            </w:r>
          </w:p>
          <w:p w14:paraId="2AA8E152">
            <w:pPr>
              <w:pStyle w:val="4"/>
              <w:rPr>
                <w:rFonts w:asciiTheme="majorBidi" w:hAnsiTheme="majorBidi" w:cstheme="majorBidi"/>
                <w:color w:val="auto"/>
                <w:kern w:val="0"/>
                <w:sz w:val="21"/>
              </w:rPr>
            </w:pPr>
            <w:r>
              <w:rPr>
                <w:rFonts w:asciiTheme="majorBidi" w:hAnsiTheme="majorBidi" w:cstheme="majorBidi"/>
                <w:color w:val="auto"/>
                <w:kern w:val="0"/>
                <w:sz w:val="21"/>
              </w:rPr>
              <w:t>653</w:t>
            </w:r>
          </w:p>
          <w:p w14:paraId="2AA8E154">
            <w:pPr>
              <w:pStyle w:val="4"/>
              <w:rPr>
                <w:rFonts w:asciiTheme="majorBidi" w:hAnsiTheme="majorBidi" w:cstheme="majorBidi"/>
                <w:color w:val="auto"/>
                <w:sz w:val="21"/>
              </w:rPr>
            </w:pPr>
            <w:r>
              <w:rPr>
                <w:rFonts w:asciiTheme="majorBidi" w:hAnsiTheme="majorBidi" w:cstheme="majorBidi"/>
                <w:color w:val="auto"/>
                <w:sz w:val="21"/>
              </w:rPr>
              <w:t>Combined</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data from 22 previous studies, assessing 301 write-in items and 209 root causes identified</w:t>
            </w:r>
          </w:p>
          <w:p w14:paraId="2AA8E156">
            <w:pPr>
              <w:pStyle w:val="4"/>
              <w:rPr>
                <w:rFonts w:asciiTheme="majorBidi" w:hAnsiTheme="majorBidi" w:cstheme="majorBidi"/>
                <w:color w:val="auto"/>
                <w:sz w:val="21"/>
              </w:rPr>
            </w:pPr>
            <w:r>
              <w:rPr>
                <w:rFonts w:asciiTheme="majorBidi" w:hAnsiTheme="majorBidi" w:cstheme="majorBidi"/>
                <w:color w:val="auto"/>
                <w:sz w:val="21"/>
              </w:rPr>
              <w:t>through moral distress consultation, and reviewing 14 recent publications from various professions</w:t>
            </w:r>
          </w:p>
        </w:tc>
        <w:tc>
          <w:tcPr>
            <w:tcW w:w="2165" w:type="pct"/>
            <w:tcBorders>
              <w:tl2br w:val="nil"/>
              <w:tr2bl w:val="nil"/>
            </w:tcBorders>
            <w:shd w:val="clear" w:color="auto" w:fill="auto"/>
          </w:tcPr>
          <w:p w14:paraId="2AA8E157">
            <w:pPr>
              <w:pStyle w:val="4"/>
              <w:jc w:val="both"/>
              <w:rPr>
                <w:rFonts w:asciiTheme="majorBidi" w:hAnsiTheme="majorBidi" w:cstheme="majorBidi"/>
                <w:color w:val="auto"/>
                <w:sz w:val="21"/>
              </w:rPr>
            </w:pPr>
            <w:r>
              <w:rPr>
                <w:rFonts w:asciiTheme="majorBidi" w:hAnsiTheme="majorBidi" w:cstheme="majorBidi"/>
                <w:color w:val="auto"/>
                <w:sz w:val="21"/>
              </w:rPr>
              <w:t>The Measure of Moral Distress for Healthcare Professionals (MMD-HP) is considered a comprehensive tool to measure moral distress, encompassing the latest insights into the causes of moral distress.</w:t>
            </w:r>
          </w:p>
          <w:p w14:paraId="2AA8E158">
            <w:pPr>
              <w:pStyle w:val="4"/>
              <w:jc w:val="both"/>
              <w:rPr>
                <w:rFonts w:asciiTheme="majorBidi" w:hAnsiTheme="majorBidi" w:cstheme="majorBidi"/>
                <w:color w:val="auto"/>
                <w:sz w:val="21"/>
              </w:rPr>
            </w:pPr>
            <w:r>
              <w:rPr>
                <w:rFonts w:asciiTheme="majorBidi" w:hAnsiTheme="majorBidi" w:cstheme="majorBidi"/>
                <w:color w:val="auto"/>
                <w:sz w:val="21"/>
              </w:rPr>
              <w:t xml:space="preserve">The tool captured five components of moral distress: </w:t>
            </w:r>
          </w:p>
          <w:p w14:paraId="2AA8E159">
            <w:pPr>
              <w:pStyle w:val="4"/>
              <w:numPr>
                <w:ilvl w:val="0"/>
                <w:numId w:val="2"/>
              </w:numPr>
              <w:jc w:val="both"/>
              <w:rPr>
                <w:rFonts w:asciiTheme="majorBidi" w:hAnsiTheme="majorBidi" w:cstheme="majorBidi"/>
                <w:color w:val="auto"/>
                <w:sz w:val="21"/>
              </w:rPr>
            </w:pPr>
            <w:r>
              <w:rPr>
                <w:rFonts w:asciiTheme="majorBidi" w:hAnsiTheme="majorBidi" w:cstheme="majorBidi"/>
                <w:color w:val="auto"/>
                <w:sz w:val="21"/>
              </w:rPr>
              <w:t>Complicity in wrongdoing.</w:t>
            </w:r>
          </w:p>
          <w:p w14:paraId="2AA8E15A">
            <w:pPr>
              <w:pStyle w:val="4"/>
              <w:numPr>
                <w:ilvl w:val="0"/>
                <w:numId w:val="2"/>
              </w:numPr>
              <w:jc w:val="both"/>
              <w:rPr>
                <w:rFonts w:asciiTheme="majorBidi" w:hAnsiTheme="majorBidi" w:cstheme="majorBidi"/>
                <w:color w:val="auto"/>
                <w:sz w:val="21"/>
              </w:rPr>
            </w:pPr>
            <w:r>
              <w:rPr>
                <w:rFonts w:asciiTheme="majorBidi" w:hAnsiTheme="majorBidi" w:cstheme="majorBidi"/>
                <w:color w:val="auto"/>
                <w:sz w:val="21"/>
              </w:rPr>
              <w:t>Lack of voice.</w:t>
            </w:r>
          </w:p>
          <w:p w14:paraId="2AA8E15B">
            <w:pPr>
              <w:pStyle w:val="4"/>
              <w:numPr>
                <w:ilvl w:val="0"/>
                <w:numId w:val="2"/>
              </w:numPr>
              <w:jc w:val="both"/>
              <w:rPr>
                <w:rFonts w:asciiTheme="majorBidi" w:hAnsiTheme="majorBidi" w:cstheme="majorBidi"/>
                <w:color w:val="auto"/>
                <w:sz w:val="21"/>
              </w:rPr>
            </w:pPr>
            <w:r>
              <w:rPr>
                <w:rFonts w:asciiTheme="majorBidi" w:hAnsiTheme="majorBidi" w:cstheme="majorBidi"/>
                <w:color w:val="auto"/>
                <w:sz w:val="21"/>
              </w:rPr>
              <w:t>Wrongdoing associated with professional (not personal) values.</w:t>
            </w:r>
          </w:p>
          <w:p w14:paraId="2AA8E15C">
            <w:pPr>
              <w:pStyle w:val="4"/>
              <w:numPr>
                <w:ilvl w:val="0"/>
                <w:numId w:val="2"/>
              </w:numPr>
              <w:jc w:val="both"/>
              <w:rPr>
                <w:rFonts w:asciiTheme="majorBidi" w:hAnsiTheme="majorBidi" w:cstheme="majorBidi"/>
                <w:color w:val="auto"/>
                <w:sz w:val="21"/>
              </w:rPr>
            </w:pPr>
            <w:r>
              <w:rPr>
                <w:rFonts w:asciiTheme="majorBidi" w:hAnsiTheme="majorBidi" w:cstheme="majorBidi"/>
                <w:color w:val="auto"/>
                <w:sz w:val="21"/>
              </w:rPr>
              <w:t xml:space="preserve">Repeated experiences. </w:t>
            </w:r>
          </w:p>
          <w:p w14:paraId="2AA8E15D">
            <w:pPr>
              <w:pStyle w:val="4"/>
              <w:numPr>
                <w:ilvl w:val="0"/>
                <w:numId w:val="2"/>
              </w:numPr>
              <w:jc w:val="both"/>
              <w:rPr>
                <w:rFonts w:asciiTheme="majorBidi" w:hAnsiTheme="majorBidi" w:cstheme="majorBidi"/>
                <w:color w:val="auto"/>
                <w:sz w:val="21"/>
              </w:rPr>
            </w:pPr>
            <w:r>
              <w:rPr>
                <w:rFonts w:asciiTheme="majorBidi" w:hAnsiTheme="majorBidi" w:cstheme="majorBidi"/>
                <w:color w:val="auto"/>
                <w:sz w:val="21"/>
              </w:rPr>
              <w:t>Three levels of root causes (patient, unit,system).</w:t>
            </w:r>
          </w:p>
        </w:tc>
        <w:tc>
          <w:tcPr>
            <w:tcW w:w="285" w:type="pct"/>
            <w:tcBorders>
              <w:tl2br w:val="nil"/>
              <w:tr2bl w:val="nil"/>
            </w:tcBorders>
            <w:shd w:val="clear" w:color="auto" w:fill="auto"/>
          </w:tcPr>
          <w:p w14:paraId="2AA8E15E">
            <w:pPr>
              <w:pStyle w:val="4"/>
              <w:rPr>
                <w:rFonts w:asciiTheme="majorBidi" w:hAnsiTheme="majorBidi" w:cstheme="majorBidi"/>
                <w:color w:val="auto"/>
                <w:sz w:val="21"/>
              </w:rPr>
            </w:pPr>
            <w:r>
              <w:rPr>
                <w:rFonts w:asciiTheme="majorBidi" w:hAnsiTheme="majorBidi" w:cstheme="majorBidi"/>
                <w:color w:val="auto"/>
                <w:sz w:val="21"/>
              </w:rPr>
              <w:t>LVL II</w:t>
            </w:r>
          </w:p>
        </w:tc>
        <w:tc>
          <w:tcPr>
            <w:tcW w:w="263" w:type="pct"/>
            <w:tcBorders>
              <w:tl2br w:val="nil"/>
              <w:tr2bl w:val="nil"/>
            </w:tcBorders>
            <w:shd w:val="clear" w:color="auto" w:fill="auto"/>
          </w:tcPr>
          <w:p w14:paraId="2AA8E15F">
            <w:pPr>
              <w:pStyle w:val="4"/>
              <w:rPr>
                <w:rFonts w:asciiTheme="majorBidi" w:hAnsiTheme="majorBidi" w:cstheme="majorBidi"/>
                <w:color w:val="auto"/>
                <w:sz w:val="21"/>
              </w:rPr>
            </w:pPr>
            <w:r>
              <w:rPr>
                <w:rFonts w:asciiTheme="majorBidi" w:hAnsiTheme="majorBidi" w:cstheme="majorBidi"/>
                <w:color w:val="auto"/>
                <w:sz w:val="21"/>
              </w:rPr>
              <w:t>a,b,c,d,e</w:t>
            </w:r>
          </w:p>
        </w:tc>
      </w:tr>
      <w:tr w14:paraId="2AA8E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61">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&lt;EndNote&gt;&lt;Cite&gt;&lt;Author&gt;Ko&lt;/Author&gt;&lt;Year&gt;2019&lt;/Year&gt;&lt;RecNum&gt;347&lt;/RecNum&gt;&lt;DisplayText&gt;(Ko et al., 2019)&lt;/DisplayText&gt;&lt;record&gt;&lt;rec-number&gt;347&lt;/rec-number&gt;&lt;foreign-keys&gt;&lt;key app="EN" db-id="daxr9sxtlpdx2peae9dx2f5o0vr2zzews552" timestamp="1703107322"&gt;347&lt;/key&gt;&lt;/foreign-keys&gt;&lt;ref-type name="Journal Article"&gt;17&lt;/ref-type&gt;&lt;contributors&gt;&lt;authors&gt;&lt;author&gt;Ko, Hsun-Kuei&lt;/author&gt;&lt;author&gt;Chin, Chi-Chun&lt;/author&gt;&lt;author&gt;Hsu, Min-Tao&lt;/author&gt;&lt;author&gt;Lee, Shu-Li&lt;/author&gt;&lt;/authors&gt;&lt;/contributors&gt;&lt;titles&gt;&lt;title&gt;Phenomenon of moral distress through the aspect of interpretive interactionism&lt;/title&gt;&lt;secondary-title&gt;Nursing Ethics&lt;/secondary-title&gt;&lt;/titles&gt;&lt;periodical&gt;&lt;full-title&gt;Nursing ethics&lt;/full-title&gt;&lt;/periodical&gt;&lt;pages&gt;1484-1493&lt;/pages&gt;&lt;volume&gt;26&lt;/volume&gt;&lt;number&gt;5&lt;/number&gt;&lt;section&gt;1484&lt;/section&gt;&lt;dates&gt;&lt;year&gt;2019&lt;/year&gt;&lt;/dates&gt;&lt;isbn&gt;0969-7330&lt;/isbn&gt;&lt;urls&gt;&lt;/urls&gt;&lt;electronic-resource-num&gt;10.1177/0969733018766579&lt;/electronic-resource-num&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Ko et al.,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2019)</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lang w:val="en-US" w:eastAsia="zh-CN"/>
              </w:rPr>
              <w:t>25</w:t>
            </w:r>
            <w:r>
              <w:rPr>
                <w:rFonts w:hint="eastAsia" w:asciiTheme="majorBidi" w:hAnsiTheme="majorBidi" w:eastAsiaTheme="majorEastAsia" w:cstheme="majorBidi"/>
                <w:i w:val="0"/>
                <w:iCs w:val="0"/>
                <w:color w:val="auto"/>
                <w:sz w:val="21"/>
                <w:lang w:val="en-US" w:eastAsia="zh-CN"/>
              </w:rPr>
              <w:t>]</w:t>
            </w:r>
          </w:p>
          <w:p w14:paraId="2AA8E162">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val="0"/>
                <w:iCs w:val="0"/>
                <w:color w:val="auto"/>
                <w:sz w:val="21"/>
              </w:rPr>
              <w:t>Taiwan</w:t>
            </w:r>
            <w:r>
              <w:rPr>
                <w:rFonts w:hint="eastAsia" w:asciiTheme="majorBidi" w:hAnsiTheme="majorBidi" w:eastAsiaTheme="majorEastAsia" w:cstheme="majorBidi"/>
                <w:i w:val="0"/>
                <w:iCs w:val="0"/>
                <w:color w:val="auto"/>
                <w:sz w:val="21"/>
                <w:lang w:val="en-US" w:eastAsia="zh-CN"/>
              </w:rPr>
              <w:t>,China</w:t>
            </w:r>
          </w:p>
        </w:tc>
        <w:tc>
          <w:tcPr>
            <w:tcW w:w="852" w:type="pct"/>
            <w:tcBorders>
              <w:tl2br w:val="nil"/>
              <w:tr2bl w:val="nil"/>
            </w:tcBorders>
            <w:shd w:val="clear" w:color="auto" w:fill="auto"/>
          </w:tcPr>
          <w:p w14:paraId="2AA8E163">
            <w:pPr>
              <w:pStyle w:val="4"/>
              <w:rPr>
                <w:rFonts w:asciiTheme="majorBidi" w:hAnsiTheme="majorBidi" w:cstheme="majorBidi"/>
                <w:color w:val="auto"/>
                <w:sz w:val="21"/>
              </w:rPr>
            </w:pPr>
            <w:r>
              <w:rPr>
                <w:rFonts w:asciiTheme="majorBidi" w:hAnsiTheme="majorBidi" w:cstheme="majorBidi"/>
                <w:color w:val="auto"/>
                <w:sz w:val="21"/>
              </w:rPr>
              <w:t>To analyze the main causes for moral distress with interpretive interactionism</w:t>
            </w:r>
          </w:p>
        </w:tc>
        <w:tc>
          <w:tcPr>
            <w:tcW w:w="888" w:type="pct"/>
            <w:tcBorders>
              <w:tl2br w:val="nil"/>
              <w:tr2bl w:val="nil"/>
            </w:tcBorders>
            <w:shd w:val="clear" w:color="auto" w:fill="auto"/>
          </w:tcPr>
          <w:p w14:paraId="2AA8E164">
            <w:pPr>
              <w:pStyle w:val="4"/>
              <w:rPr>
                <w:rFonts w:asciiTheme="majorBidi" w:hAnsiTheme="majorBidi" w:cstheme="majorBidi"/>
                <w:color w:val="auto"/>
                <w:sz w:val="21"/>
              </w:rPr>
            </w:pPr>
            <w:r>
              <w:rPr>
                <w:rFonts w:asciiTheme="majorBidi" w:hAnsiTheme="majorBidi" w:cstheme="majorBidi"/>
                <w:color w:val="auto"/>
                <w:sz w:val="21"/>
              </w:rPr>
              <w:t>Qualitative; interpretive interactionism.</w:t>
            </w:r>
          </w:p>
          <w:p w14:paraId="3E0700B5">
            <w:pPr>
              <w:pStyle w:val="4"/>
              <w:rPr>
                <w:rFonts w:asciiTheme="majorBidi" w:hAnsiTheme="majorBidi" w:cstheme="majorBidi"/>
                <w:color w:val="auto"/>
                <w:sz w:val="21"/>
              </w:rPr>
            </w:pPr>
            <w:r>
              <w:rPr>
                <w:rFonts w:asciiTheme="majorBidi" w:hAnsiTheme="majorBidi" w:cstheme="majorBidi"/>
                <w:color w:val="auto"/>
                <w:sz w:val="21"/>
              </w:rPr>
              <w:t>32 nurses; 12 different departments Oncology Ward, Palliative Ward, Emergency Room, Operation Room, Intensive Care Unit, and Children</w:t>
            </w:r>
          </w:p>
        </w:tc>
        <w:tc>
          <w:tcPr>
            <w:tcW w:w="2165" w:type="pct"/>
            <w:tcBorders>
              <w:tl2br w:val="nil"/>
              <w:tr2bl w:val="nil"/>
            </w:tcBorders>
            <w:shd w:val="clear" w:color="auto" w:fill="auto"/>
          </w:tcPr>
          <w:p w14:paraId="2AA8E167">
            <w:pPr>
              <w:pStyle w:val="4"/>
              <w:jc w:val="both"/>
              <w:rPr>
                <w:rFonts w:asciiTheme="majorBidi" w:hAnsiTheme="majorBidi" w:cstheme="majorBidi"/>
                <w:color w:val="auto"/>
                <w:sz w:val="21"/>
              </w:rPr>
            </w:pPr>
            <w:r>
              <w:rPr>
                <w:rFonts w:asciiTheme="majorBidi" w:hAnsiTheme="majorBidi" w:cstheme="majorBidi"/>
                <w:color w:val="auto"/>
                <w:sz w:val="21"/>
              </w:rPr>
              <w:t xml:space="preserve">Clinical situations led to moral distress: </w:t>
            </w:r>
          </w:p>
          <w:p w14:paraId="2AA8E168">
            <w:pPr>
              <w:pStyle w:val="4"/>
              <w:numPr>
                <w:ilvl w:val="0"/>
                <w:numId w:val="3"/>
              </w:numPr>
              <w:jc w:val="both"/>
              <w:rPr>
                <w:rFonts w:asciiTheme="majorBidi" w:hAnsiTheme="majorBidi" w:cstheme="majorBidi"/>
                <w:color w:val="auto"/>
                <w:sz w:val="21"/>
              </w:rPr>
            </w:pPr>
            <w:r>
              <w:rPr>
                <w:rFonts w:asciiTheme="majorBidi" w:hAnsiTheme="majorBidi" w:cstheme="majorBidi"/>
                <w:color w:val="auto"/>
                <w:sz w:val="21"/>
              </w:rPr>
              <w:t>Patients lack knowledge regarding their medical conditions.</w:t>
            </w:r>
          </w:p>
          <w:p w14:paraId="2AA8E169">
            <w:pPr>
              <w:pStyle w:val="4"/>
              <w:numPr>
                <w:ilvl w:val="0"/>
                <w:numId w:val="3"/>
              </w:numPr>
              <w:jc w:val="both"/>
              <w:rPr>
                <w:rFonts w:asciiTheme="majorBidi" w:hAnsiTheme="majorBidi" w:cstheme="majorBidi"/>
                <w:color w:val="auto"/>
                <w:sz w:val="21"/>
              </w:rPr>
            </w:pPr>
            <w:r>
              <w:rPr>
                <w:rFonts w:asciiTheme="majorBidi" w:hAnsiTheme="majorBidi" w:cstheme="majorBidi"/>
                <w:color w:val="auto"/>
                <w:sz w:val="21"/>
              </w:rPr>
              <w:t>Medical decisions do not reach the optimal benefit for patients.</w:t>
            </w:r>
          </w:p>
          <w:p w14:paraId="2AA8E16A">
            <w:pPr>
              <w:pStyle w:val="4"/>
              <w:numPr>
                <w:ilvl w:val="0"/>
                <w:numId w:val="3"/>
              </w:numPr>
              <w:jc w:val="both"/>
              <w:rPr>
                <w:rFonts w:asciiTheme="majorBidi" w:hAnsiTheme="majorBidi" w:cstheme="majorBidi"/>
                <w:color w:val="auto"/>
                <w:sz w:val="21"/>
              </w:rPr>
            </w:pPr>
            <w:r>
              <w:rPr>
                <w:rFonts w:asciiTheme="majorBidi" w:hAnsiTheme="majorBidi" w:cstheme="majorBidi"/>
                <w:color w:val="auto"/>
                <w:sz w:val="21"/>
              </w:rPr>
              <w:t>Lack of dignified death for terminally ill patients.</w:t>
            </w:r>
          </w:p>
          <w:p w14:paraId="2AA8E16B">
            <w:pPr>
              <w:pStyle w:val="4"/>
              <w:jc w:val="both"/>
              <w:rPr>
                <w:rFonts w:asciiTheme="majorBidi" w:hAnsiTheme="majorBidi" w:cstheme="majorBidi"/>
                <w:color w:val="auto"/>
                <w:sz w:val="21"/>
              </w:rPr>
            </w:pPr>
            <w:r>
              <w:rPr>
                <w:rFonts w:asciiTheme="majorBidi" w:hAnsiTheme="majorBidi" w:cstheme="majorBidi"/>
                <w:color w:val="auto"/>
                <w:sz w:val="21"/>
              </w:rPr>
              <w:t xml:space="preserve">Nurses trapped in moral distress due to: </w:t>
            </w:r>
          </w:p>
          <w:p w14:paraId="2AA8E16C">
            <w:pPr>
              <w:pStyle w:val="4"/>
              <w:numPr>
                <w:ilvl w:val="0"/>
                <w:numId w:val="4"/>
              </w:numPr>
              <w:jc w:val="both"/>
              <w:rPr>
                <w:rFonts w:asciiTheme="majorBidi" w:hAnsiTheme="majorBidi" w:cstheme="majorBidi"/>
                <w:color w:val="auto"/>
                <w:sz w:val="21"/>
              </w:rPr>
            </w:pPr>
            <w:r>
              <w:rPr>
                <w:rFonts w:asciiTheme="majorBidi" w:hAnsiTheme="majorBidi" w:cstheme="majorBidi"/>
                <w:color w:val="auto"/>
                <w:sz w:val="21"/>
              </w:rPr>
              <w:t xml:space="preserve">Lack of moral goodness. </w:t>
            </w:r>
          </w:p>
          <w:p w14:paraId="2AA8E16D">
            <w:pPr>
              <w:pStyle w:val="4"/>
              <w:numPr>
                <w:ilvl w:val="0"/>
                <w:numId w:val="4"/>
              </w:numPr>
              <w:jc w:val="both"/>
              <w:rPr>
                <w:rFonts w:asciiTheme="majorBidi" w:hAnsiTheme="majorBidi" w:cstheme="majorBidi"/>
                <w:color w:val="auto"/>
                <w:sz w:val="21"/>
              </w:rPr>
            </w:pPr>
            <w:r>
              <w:rPr>
                <w:rFonts w:asciiTheme="majorBidi" w:hAnsiTheme="majorBidi" w:cstheme="majorBidi"/>
                <w:color w:val="auto"/>
                <w:sz w:val="21"/>
              </w:rPr>
              <w:t xml:space="preserve">Lack of confidence. </w:t>
            </w:r>
          </w:p>
          <w:p w14:paraId="2AA8E16E">
            <w:pPr>
              <w:pStyle w:val="4"/>
              <w:numPr>
                <w:ilvl w:val="0"/>
                <w:numId w:val="4"/>
              </w:numPr>
              <w:jc w:val="both"/>
              <w:rPr>
                <w:rFonts w:asciiTheme="majorBidi" w:hAnsiTheme="majorBidi" w:cstheme="majorBidi"/>
                <w:color w:val="auto"/>
                <w:sz w:val="21"/>
              </w:rPr>
            </w:pPr>
            <w:r>
              <w:rPr>
                <w:rFonts w:asciiTheme="majorBidi" w:hAnsiTheme="majorBidi" w:cstheme="majorBidi"/>
                <w:color w:val="auto"/>
                <w:sz w:val="21"/>
              </w:rPr>
              <w:t>Power of hierarchy (nurses-physicians).</w:t>
            </w:r>
          </w:p>
          <w:p w14:paraId="2AA8E16F">
            <w:pPr>
              <w:pStyle w:val="4"/>
              <w:numPr>
                <w:ilvl w:val="0"/>
                <w:numId w:val="4"/>
              </w:numPr>
              <w:jc w:val="both"/>
              <w:rPr>
                <w:rFonts w:asciiTheme="majorBidi" w:hAnsiTheme="majorBidi" w:cstheme="majorBidi"/>
                <w:color w:val="auto"/>
                <w:sz w:val="21"/>
              </w:rPr>
            </w:pPr>
            <w:r>
              <w:rPr>
                <w:rFonts w:asciiTheme="majorBidi" w:hAnsiTheme="majorBidi" w:cstheme="majorBidi"/>
                <w:color w:val="auto"/>
                <w:sz w:val="21"/>
              </w:rPr>
              <w:t xml:space="preserve">Oriental culture. </w:t>
            </w:r>
          </w:p>
        </w:tc>
        <w:tc>
          <w:tcPr>
            <w:tcW w:w="285" w:type="pct"/>
            <w:tcBorders>
              <w:tl2br w:val="nil"/>
              <w:tr2bl w:val="nil"/>
            </w:tcBorders>
            <w:shd w:val="clear" w:color="auto" w:fill="auto"/>
          </w:tcPr>
          <w:p w14:paraId="2AA8E170">
            <w:pPr>
              <w:pStyle w:val="4"/>
              <w:rPr>
                <w:rFonts w:asciiTheme="majorBidi" w:hAnsiTheme="majorBidi" w:cstheme="majorBidi"/>
                <w:color w:val="auto"/>
                <w:sz w:val="21"/>
              </w:rPr>
            </w:pPr>
            <w:r>
              <w:rPr>
                <w:rFonts w:asciiTheme="majorBidi" w:hAnsiTheme="majorBidi" w:cstheme="majorBidi"/>
                <w:color w:val="auto"/>
                <w:sz w:val="21"/>
              </w:rPr>
              <w:t>LVL II</w:t>
            </w:r>
          </w:p>
        </w:tc>
        <w:tc>
          <w:tcPr>
            <w:tcW w:w="263" w:type="pct"/>
            <w:tcBorders>
              <w:tl2br w:val="nil"/>
              <w:tr2bl w:val="nil"/>
            </w:tcBorders>
            <w:shd w:val="clear" w:color="auto" w:fill="auto"/>
          </w:tcPr>
          <w:p w14:paraId="2AA8E171">
            <w:pPr>
              <w:pStyle w:val="4"/>
              <w:rPr>
                <w:rFonts w:asciiTheme="majorBidi" w:hAnsiTheme="majorBidi" w:cstheme="majorBidi"/>
                <w:color w:val="auto"/>
                <w:sz w:val="21"/>
              </w:rPr>
            </w:pPr>
            <w:r>
              <w:rPr>
                <w:rFonts w:asciiTheme="majorBidi" w:hAnsiTheme="majorBidi" w:cstheme="majorBidi"/>
                <w:color w:val="auto"/>
                <w:sz w:val="21"/>
              </w:rPr>
              <w:t>a,b,c,d,e</w:t>
            </w:r>
          </w:p>
        </w:tc>
      </w:tr>
      <w:tr w14:paraId="2AA8E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73">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&lt;EndNote&gt;&lt;Cite&gt;&lt;Author&gt;Woods&lt;/Author&gt;&lt;Year&gt;2020&lt;/Year&gt;&lt;RecNum&gt;358&lt;/RecNum&gt;&lt;DisplayText&gt;(Woods, 2020)&lt;/DisplayText&gt;&lt;record&gt;&lt;rec-number&gt;358&lt;/rec-number&gt;&lt;foreign-keys&gt;&lt;key app="EN" db-id="daxr9sxtlpdx2peae9dx2f5o0vr2zzews552" timestamp="1703445208"&gt;358&lt;/key&gt;&lt;/foreign-keys&gt;&lt;ref-type name="Journal Article"&gt;17&lt;/ref-type&gt;&lt;contributors&gt;&lt;authors&gt;&lt;author&gt;Woods, M.&lt;/author&gt;&lt;/authors&gt;&lt;/contributors&gt;&lt;titles&gt;&lt;title&gt;Moral distress revisited: the viewpoints and responses of nurses&lt;/title&gt;&lt;secondary-title&gt;International nursing review&lt;/secondary-title&gt;&lt;/titles&gt;&lt;periodical&gt;&lt;full-title&gt;International nursing review&lt;/full-title&gt;&lt;/periodical&gt;&lt;pages&gt;68-75&lt;/pages&gt;&lt;volume&gt;67&lt;/volume&gt;&lt;number&gt;1&lt;/number&gt;&lt;section&gt;68&lt;/section&gt;&lt;dates&gt;&lt;year&gt;2020&lt;/year&gt;&lt;/dates&gt;&lt;isbn&gt;0020-8132&lt;/isbn&gt;&lt;urls&gt;&lt;/urls&gt;&lt;remote-database-name&gt;British Library Serials&lt;/remote-database-name&gt;&lt;/record&gt;&lt;/Cite&gt;&lt;/EndNote&gt;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Woods,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2020)</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35</w:t>
            </w:r>
            <w:r>
              <w:rPr>
                <w:rFonts w:hint="eastAsia" w:asciiTheme="majorBidi" w:hAnsiTheme="majorBidi" w:eastAsiaTheme="majorEastAsia" w:cstheme="majorBidi"/>
                <w:i w:val="0"/>
                <w:iCs w:val="0"/>
                <w:color w:val="auto"/>
                <w:sz w:val="21"/>
                <w:lang w:val="en-US" w:eastAsia="zh-CN"/>
              </w:rPr>
              <w:t>]</w:t>
            </w:r>
          </w:p>
          <w:p w14:paraId="2AA8E174">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New Zealand</w:t>
            </w:r>
          </w:p>
        </w:tc>
        <w:tc>
          <w:tcPr>
            <w:tcW w:w="852" w:type="pct"/>
            <w:tcBorders>
              <w:tl2br w:val="nil"/>
              <w:tr2bl w:val="nil"/>
            </w:tcBorders>
            <w:shd w:val="clear" w:color="auto" w:fill="auto"/>
          </w:tcPr>
          <w:p w14:paraId="2AA8E175">
            <w:pPr>
              <w:pStyle w:val="4"/>
              <w:rPr>
                <w:rFonts w:asciiTheme="majorBidi" w:hAnsiTheme="majorBidi" w:cstheme="majorBidi"/>
                <w:color w:val="auto"/>
                <w:sz w:val="21"/>
              </w:rPr>
            </w:pPr>
            <w:r>
              <w:rPr>
                <w:rFonts w:asciiTheme="majorBidi" w:hAnsiTheme="majorBidi" w:cstheme="majorBidi"/>
                <w:color w:val="auto"/>
                <w:sz w:val="21"/>
              </w:rPr>
              <w:t>Present and discuss the main themes that were revealed following an analysis of the qualitative</w:t>
            </w:r>
          </w:p>
          <w:p w14:paraId="2AA8E176">
            <w:pPr>
              <w:pStyle w:val="4"/>
              <w:rPr>
                <w:rFonts w:asciiTheme="majorBidi" w:hAnsiTheme="majorBidi" w:cstheme="majorBidi"/>
                <w:color w:val="auto"/>
                <w:sz w:val="21"/>
              </w:rPr>
            </w:pPr>
            <w:r>
              <w:rPr>
                <w:rFonts w:asciiTheme="majorBidi" w:hAnsiTheme="majorBidi" w:cstheme="majorBidi"/>
                <w:color w:val="auto"/>
                <w:sz w:val="21"/>
              </w:rPr>
              <w:t>Research findings that were extracted from a national survey regarding the causes and effects of moral</w:t>
            </w:r>
          </w:p>
          <w:p w14:paraId="2AA8E177">
            <w:pPr>
              <w:pStyle w:val="4"/>
              <w:rPr>
                <w:rFonts w:asciiTheme="majorBidi" w:hAnsiTheme="majorBidi" w:cstheme="majorBidi"/>
                <w:color w:val="auto"/>
                <w:sz w:val="21"/>
              </w:rPr>
            </w:pPr>
            <w:r>
              <w:rPr>
                <w:rFonts w:asciiTheme="majorBidi" w:hAnsiTheme="majorBidi" w:cstheme="majorBidi"/>
                <w:color w:val="auto"/>
                <w:sz w:val="21"/>
              </w:rPr>
              <w:t xml:space="preserve">Distress </w:t>
            </w:r>
            <w:r>
              <w:rPr>
                <w:rFonts w:hint="eastAsia" w:asciiTheme="majorBidi" w:hAnsiTheme="majorBidi" w:cstheme="majorBidi"/>
                <w:color w:val="auto"/>
                <w:sz w:val="21"/>
                <w:lang w:eastAsia="zh-CN"/>
              </w:rPr>
              <w:t>among</w:t>
            </w:r>
            <w:r>
              <w:rPr>
                <w:rFonts w:asciiTheme="majorBidi" w:hAnsiTheme="majorBidi" w:cstheme="majorBidi"/>
                <w:color w:val="auto"/>
                <w:sz w:val="21"/>
              </w:rPr>
              <w:t xml:space="preserve"> New Zealand nurses.</w:t>
            </w:r>
          </w:p>
        </w:tc>
        <w:tc>
          <w:tcPr>
            <w:tcW w:w="888" w:type="pct"/>
            <w:tcBorders>
              <w:tl2br w:val="nil"/>
              <w:tr2bl w:val="nil"/>
            </w:tcBorders>
            <w:shd w:val="clear" w:color="auto" w:fill="auto"/>
          </w:tcPr>
          <w:p w14:paraId="2AA8E178">
            <w:pPr>
              <w:pStyle w:val="4"/>
              <w:rPr>
                <w:rFonts w:asciiTheme="majorBidi" w:hAnsiTheme="majorBidi" w:cstheme="majorBidi"/>
                <w:color w:val="auto"/>
                <w:sz w:val="21"/>
              </w:rPr>
            </w:pPr>
            <w:r>
              <w:rPr>
                <w:rFonts w:asciiTheme="majorBidi" w:hAnsiTheme="majorBidi" w:cstheme="majorBidi"/>
                <w:color w:val="auto"/>
                <w:sz w:val="21"/>
              </w:rPr>
              <w:t>Qualitative</w:t>
            </w:r>
          </w:p>
          <w:p w14:paraId="2AA8E179">
            <w:pPr>
              <w:pStyle w:val="4"/>
              <w:rPr>
                <w:rFonts w:asciiTheme="majorBidi" w:hAnsiTheme="majorBidi" w:cstheme="majorBidi"/>
                <w:color w:val="auto"/>
                <w:sz w:val="21"/>
              </w:rPr>
            </w:pPr>
            <w:r>
              <w:rPr>
                <w:rFonts w:asciiTheme="majorBidi" w:hAnsiTheme="majorBidi" w:cstheme="majorBidi"/>
                <w:color w:val="auto"/>
                <w:sz w:val="21"/>
              </w:rPr>
              <w:t>Thematic analysis</w:t>
            </w:r>
          </w:p>
          <w:p w14:paraId="2AA8E17B">
            <w:pPr>
              <w:pStyle w:val="4"/>
              <w:rPr>
                <w:rFonts w:asciiTheme="majorBidi" w:hAnsiTheme="majorBidi" w:cstheme="majorBidi"/>
                <w:color w:val="auto"/>
                <w:sz w:val="21"/>
              </w:rPr>
            </w:pPr>
            <w:r>
              <w:rPr>
                <w:rFonts w:asciiTheme="majorBidi" w:hAnsiTheme="majorBidi" w:cstheme="majorBidi"/>
                <w:color w:val="auto"/>
                <w:kern w:val="0"/>
                <w:sz w:val="21"/>
              </w:rPr>
              <w:t xml:space="preserve">412 </w:t>
            </w:r>
            <w:r>
              <w:rPr>
                <w:rFonts w:asciiTheme="majorBidi" w:hAnsiTheme="majorBidi" w:cstheme="majorBidi"/>
                <w:color w:val="auto"/>
                <w:sz w:val="21"/>
              </w:rPr>
              <w:t>Nurses working in general area in healthcare system</w:t>
            </w:r>
          </w:p>
        </w:tc>
        <w:tc>
          <w:tcPr>
            <w:tcW w:w="2165" w:type="pct"/>
            <w:tcBorders>
              <w:tl2br w:val="nil"/>
              <w:tr2bl w:val="nil"/>
            </w:tcBorders>
            <w:shd w:val="clear" w:color="auto" w:fill="auto"/>
          </w:tcPr>
          <w:p w14:paraId="2AA8E17C">
            <w:pPr>
              <w:pStyle w:val="4"/>
              <w:jc w:val="both"/>
              <w:rPr>
                <w:rFonts w:asciiTheme="majorBidi" w:hAnsiTheme="majorBidi" w:cstheme="majorBidi"/>
                <w:color w:val="auto"/>
                <w:sz w:val="21"/>
              </w:rPr>
            </w:pPr>
            <w:r>
              <w:rPr>
                <w:rFonts w:asciiTheme="majorBidi" w:hAnsiTheme="majorBidi" w:cstheme="majorBidi"/>
                <w:color w:val="auto"/>
                <w:sz w:val="21"/>
              </w:rPr>
              <w:t>Nurses suffered issues and moral residue due to:</w:t>
            </w:r>
          </w:p>
          <w:p w14:paraId="2AA8E17D">
            <w:pPr>
              <w:pStyle w:val="4"/>
              <w:numPr>
                <w:ilvl w:val="0"/>
                <w:numId w:val="5"/>
              </w:numPr>
              <w:jc w:val="both"/>
              <w:rPr>
                <w:rFonts w:asciiTheme="majorBidi" w:hAnsiTheme="majorBidi" w:cstheme="majorBidi"/>
                <w:color w:val="auto"/>
                <w:sz w:val="21"/>
              </w:rPr>
            </w:pPr>
            <w:r>
              <w:rPr>
                <w:rFonts w:asciiTheme="majorBidi" w:hAnsiTheme="majorBidi" w:cstheme="majorBidi"/>
                <w:color w:val="auto"/>
                <w:sz w:val="21"/>
              </w:rPr>
              <w:t xml:space="preserve">Lack of healthcare system support. </w:t>
            </w:r>
          </w:p>
          <w:p w14:paraId="2AA8E17E">
            <w:pPr>
              <w:pStyle w:val="4"/>
              <w:numPr>
                <w:ilvl w:val="0"/>
                <w:numId w:val="5"/>
              </w:numPr>
              <w:jc w:val="both"/>
              <w:rPr>
                <w:rFonts w:asciiTheme="majorBidi" w:hAnsiTheme="majorBidi" w:cstheme="majorBidi"/>
                <w:color w:val="auto"/>
                <w:sz w:val="21"/>
              </w:rPr>
            </w:pPr>
            <w:r>
              <w:rPr>
                <w:rFonts w:asciiTheme="majorBidi" w:hAnsiTheme="majorBidi" w:cstheme="majorBidi"/>
                <w:color w:val="auto"/>
                <w:sz w:val="21"/>
              </w:rPr>
              <w:t>Bullying by their managers.</w:t>
            </w:r>
          </w:p>
          <w:p w14:paraId="2AA8E17F">
            <w:pPr>
              <w:pStyle w:val="4"/>
              <w:numPr>
                <w:ilvl w:val="0"/>
                <w:numId w:val="5"/>
              </w:numPr>
              <w:jc w:val="both"/>
              <w:rPr>
                <w:rFonts w:asciiTheme="majorBidi" w:hAnsiTheme="majorBidi" w:cstheme="majorBidi"/>
                <w:color w:val="auto"/>
                <w:sz w:val="21"/>
              </w:rPr>
            </w:pPr>
            <w:r>
              <w:rPr>
                <w:rFonts w:asciiTheme="majorBidi" w:hAnsiTheme="majorBidi" w:cstheme="majorBidi"/>
                <w:color w:val="auto"/>
                <w:sz w:val="21"/>
              </w:rPr>
              <w:t xml:space="preserve">Witnessing poor care practices. </w:t>
            </w:r>
          </w:p>
          <w:p w14:paraId="2AA8E180">
            <w:pPr>
              <w:pStyle w:val="4"/>
              <w:numPr>
                <w:ilvl w:val="0"/>
                <w:numId w:val="5"/>
              </w:numPr>
              <w:jc w:val="both"/>
              <w:rPr>
                <w:rFonts w:asciiTheme="majorBidi" w:hAnsiTheme="majorBidi" w:cstheme="majorBidi"/>
                <w:color w:val="auto"/>
                <w:sz w:val="21"/>
              </w:rPr>
            </w:pPr>
            <w:r>
              <w:rPr>
                <w:rFonts w:asciiTheme="majorBidi" w:hAnsiTheme="majorBidi" w:cstheme="majorBidi"/>
                <w:color w:val="auto"/>
                <w:sz w:val="21"/>
              </w:rPr>
              <w:t>Working with incompetent col</w:t>
            </w:r>
            <w:r>
              <w:rPr>
                <w:rFonts w:hint="eastAsia" w:asciiTheme="majorBidi" w:hAnsiTheme="majorBidi" w:cstheme="majorBidi"/>
                <w:color w:val="auto"/>
                <w:sz w:val="21"/>
                <w:lang w:val="en-US" w:eastAsia="zh-CN"/>
              </w:rPr>
              <w:t>l</w:t>
            </w:r>
            <w:r>
              <w:rPr>
                <w:rFonts w:asciiTheme="majorBidi" w:hAnsiTheme="majorBidi" w:cstheme="majorBidi"/>
                <w:color w:val="auto"/>
                <w:sz w:val="21"/>
              </w:rPr>
              <w:t>eagues.</w:t>
            </w:r>
          </w:p>
          <w:p w14:paraId="2AA8E181">
            <w:pPr>
              <w:pStyle w:val="4"/>
              <w:numPr>
                <w:ilvl w:val="0"/>
                <w:numId w:val="5"/>
              </w:numPr>
              <w:jc w:val="both"/>
              <w:rPr>
                <w:rFonts w:asciiTheme="majorBidi" w:hAnsiTheme="majorBidi" w:cstheme="majorBidi"/>
                <w:color w:val="auto"/>
                <w:sz w:val="21"/>
              </w:rPr>
            </w:pPr>
            <w:r>
              <w:rPr>
                <w:rFonts w:asciiTheme="majorBidi" w:hAnsiTheme="majorBidi" w:cstheme="majorBidi"/>
                <w:color w:val="auto"/>
                <w:sz w:val="21"/>
              </w:rPr>
              <w:t>Poor ethical climate.</w:t>
            </w:r>
          </w:p>
          <w:p w14:paraId="2AA8E182">
            <w:pPr>
              <w:pStyle w:val="4"/>
              <w:jc w:val="both"/>
              <w:rPr>
                <w:rFonts w:asciiTheme="majorBidi" w:hAnsiTheme="majorBidi" w:cstheme="majorBidi"/>
                <w:color w:val="auto"/>
                <w:sz w:val="21"/>
              </w:rPr>
            </w:pPr>
            <w:r>
              <w:rPr>
                <w:rFonts w:asciiTheme="majorBidi" w:hAnsiTheme="majorBidi" w:cstheme="majorBidi"/>
                <w:color w:val="auto"/>
                <w:sz w:val="21"/>
              </w:rPr>
              <w:t xml:space="preserve">Nurses are struggling to maintain their ethical standard. </w:t>
            </w:r>
          </w:p>
        </w:tc>
        <w:tc>
          <w:tcPr>
            <w:tcW w:w="285" w:type="pct"/>
            <w:tcBorders>
              <w:tl2br w:val="nil"/>
              <w:tr2bl w:val="nil"/>
            </w:tcBorders>
            <w:shd w:val="clear" w:color="auto" w:fill="auto"/>
          </w:tcPr>
          <w:p w14:paraId="2AA8E183">
            <w:pPr>
              <w:pStyle w:val="4"/>
              <w:rPr>
                <w:rFonts w:asciiTheme="majorBidi" w:hAnsiTheme="majorBidi" w:cstheme="majorBidi"/>
                <w:color w:val="auto"/>
                <w:sz w:val="21"/>
              </w:rPr>
            </w:pPr>
            <w:r>
              <w:rPr>
                <w:rFonts w:asciiTheme="majorBidi" w:hAnsiTheme="majorBidi" w:cstheme="majorBidi"/>
                <w:color w:val="auto"/>
                <w:sz w:val="21"/>
              </w:rPr>
              <w:t>LVL II</w:t>
            </w:r>
          </w:p>
        </w:tc>
        <w:tc>
          <w:tcPr>
            <w:tcW w:w="263" w:type="pct"/>
            <w:tcBorders>
              <w:tl2br w:val="nil"/>
              <w:tr2bl w:val="nil"/>
            </w:tcBorders>
            <w:shd w:val="clear" w:color="auto" w:fill="auto"/>
          </w:tcPr>
          <w:p w14:paraId="2AA8E184">
            <w:pPr>
              <w:pStyle w:val="4"/>
              <w:rPr>
                <w:rFonts w:asciiTheme="majorBidi" w:hAnsiTheme="majorBidi" w:cstheme="majorBidi"/>
                <w:color w:val="auto"/>
                <w:sz w:val="21"/>
              </w:rPr>
            </w:pPr>
            <w:r>
              <w:rPr>
                <w:rFonts w:asciiTheme="majorBidi" w:hAnsiTheme="majorBidi" w:cstheme="majorBidi"/>
                <w:color w:val="auto"/>
                <w:sz w:val="21"/>
              </w:rPr>
              <w:t>a,b,c,d,e</w:t>
            </w:r>
          </w:p>
        </w:tc>
      </w:tr>
      <w:tr w14:paraId="2AA8E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86">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&lt;EndNote&gt;&lt;Cite&gt;&lt;Author&gt;Burton&lt;/Author&gt;&lt;Year&gt;2020&lt;/Year&gt;&lt;RecNum&gt;377&lt;/RecNum&gt;&lt;DisplayText&gt;(Burton et al., 2020)&lt;/DisplayText&gt;&lt;record&gt;&lt;rec-number&gt;377&lt;/rec-number&gt;&lt;foreign-keys&gt;&lt;key app="EN" db-id="daxr9sxtlpdx2peae9dx2f5o0vr2zzews552" timestamp="1705239747"&gt;377&lt;/key&gt;&lt;/foreign-keys&gt;&lt;ref-type name="Journal Article"&gt;17&lt;/ref-type&gt;&lt;contributors&gt;&lt;authors&gt;&lt;author&gt;Burton, M.&lt;/author&gt;&lt;author&gt;Caswell, H.&lt;/author&gt;&lt;author&gt;Porter, C.&lt;/author&gt;&lt;author&gt;Mott, S.&lt;/author&gt;&lt;author&gt;DeGrazia, M.&lt;/author&gt;&lt;/authors&gt;&lt;/contributors&gt;&lt;titles&gt;&lt;title&gt;Moral Distress: Defined and Described by Neonatal and Pediatric Critical Care Nurses in a Quaternary Care Free-Standing Pediatric Hospital&lt;/title&gt;&lt;secondary-title&gt;Dimensions of Critical Care Nursing&lt;/secondary-title&gt;&lt;/titles&gt;&lt;periodical&gt;&lt;full-title&gt;Dimensions of Critical Care Nursing&lt;/full-title&gt;&lt;/periodical&gt;&lt;pages&gt;101-109&lt;/pages&gt;&lt;volume&gt;39&lt;/volume&gt;&lt;number&gt;2&lt;/number&gt;&lt;dates&gt;&lt;year&gt;2020&lt;/year&gt;&lt;/dates&gt;&lt;publisher&gt;Wolters Kluwer Health _ Lippincott Williams and Wilkins&lt;/publisher&gt;&lt;isbn&gt;1538-8646 0730-4625&lt;/isbn&gt;&lt;urls&gt;&lt;/urls&gt;&lt;remote-database-name&gt;/z-wcorg/&lt;/remote-database-name&gt;&lt;remote-database-provider&gt;http://worldcat.org&lt;/remote-database-provider&gt;&lt;language&gt;eng&lt;/language&gt;&lt;/record&gt;&lt;/Cite&gt;&lt;/EndNote&gt;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Burton et al.,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2020)</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lang w:val="en-US" w:eastAsia="zh-CN"/>
              </w:rPr>
              <w:t>24</w:t>
            </w:r>
            <w:r>
              <w:rPr>
                <w:rFonts w:hint="eastAsia" w:asciiTheme="majorBidi" w:hAnsiTheme="majorBidi" w:eastAsiaTheme="majorEastAsia" w:cstheme="majorBidi"/>
                <w:i w:val="0"/>
                <w:iCs w:val="0"/>
                <w:color w:val="auto"/>
                <w:sz w:val="21"/>
                <w:lang w:val="en-US" w:eastAsia="zh-CN"/>
              </w:rPr>
              <w:t>]</w:t>
            </w:r>
          </w:p>
          <w:p w14:paraId="2AA8E187">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USA</w:t>
            </w:r>
            <w:r>
              <w:rPr>
                <w:rStyle w:val="12"/>
                <w:rFonts w:asciiTheme="majorBidi" w:hAnsiTheme="majorBidi" w:eastAsiaTheme="majorEastAsia" w:cstheme="majorBidi"/>
                <w:i w:val="0"/>
                <w:iCs w:val="0"/>
                <w:color w:val="auto"/>
                <w:sz w:val="21"/>
              </w:rPr>
              <w:endnoteReference w:id="0"/>
            </w:r>
          </w:p>
          <w:p w14:paraId="2AA8E188">
            <w:pPr>
              <w:pStyle w:val="4"/>
              <w:jc w:val="left"/>
              <w:rPr>
                <w:rFonts w:asciiTheme="majorBidi" w:hAnsiTheme="majorBidi" w:eastAsiaTheme="majorEastAsia" w:cstheme="majorBidi"/>
                <w:i/>
                <w:iCs/>
                <w:color w:val="auto"/>
                <w:sz w:val="21"/>
              </w:rPr>
            </w:pPr>
          </w:p>
        </w:tc>
        <w:tc>
          <w:tcPr>
            <w:tcW w:w="852" w:type="pct"/>
            <w:tcBorders>
              <w:tl2br w:val="nil"/>
              <w:tr2bl w:val="nil"/>
            </w:tcBorders>
            <w:shd w:val="clear" w:color="auto" w:fill="auto"/>
          </w:tcPr>
          <w:p w14:paraId="2AA8E189">
            <w:pPr>
              <w:pStyle w:val="4"/>
              <w:rPr>
                <w:rFonts w:asciiTheme="majorBidi" w:hAnsiTheme="majorBidi" w:cstheme="majorBidi"/>
                <w:color w:val="auto"/>
                <w:sz w:val="21"/>
              </w:rPr>
            </w:pPr>
            <w:r>
              <w:rPr>
                <w:rFonts w:asciiTheme="majorBidi" w:hAnsiTheme="majorBidi" w:cstheme="majorBidi"/>
                <w:color w:val="auto"/>
                <w:sz w:val="21"/>
              </w:rPr>
              <w:t>Define moral distress based on the</w:t>
            </w:r>
          </w:p>
          <w:p w14:paraId="2AA8E18A">
            <w:pPr>
              <w:pStyle w:val="4"/>
              <w:rPr>
                <w:rFonts w:asciiTheme="majorBidi" w:hAnsiTheme="majorBidi" w:cstheme="majorBidi"/>
                <w:color w:val="auto"/>
                <w:sz w:val="21"/>
              </w:rPr>
            </w:pPr>
            <w:r>
              <w:rPr>
                <w:rFonts w:asciiTheme="majorBidi" w:hAnsiTheme="majorBidi" w:cstheme="majorBidi"/>
                <w:color w:val="auto"/>
                <w:sz w:val="21"/>
              </w:rPr>
              <w:t>Perceptions and experiences of neonatal and pediatric critical care nurses.</w:t>
            </w:r>
          </w:p>
        </w:tc>
        <w:tc>
          <w:tcPr>
            <w:tcW w:w="888" w:type="pct"/>
            <w:tcBorders>
              <w:tl2br w:val="nil"/>
              <w:tr2bl w:val="nil"/>
            </w:tcBorders>
            <w:shd w:val="clear" w:color="auto" w:fill="auto"/>
          </w:tcPr>
          <w:p w14:paraId="2AA8E18B">
            <w:pPr>
              <w:pStyle w:val="4"/>
              <w:rPr>
                <w:rFonts w:asciiTheme="majorBidi" w:hAnsiTheme="majorBidi" w:cstheme="majorBidi"/>
                <w:color w:val="auto"/>
                <w:sz w:val="21"/>
              </w:rPr>
            </w:pPr>
            <w:r>
              <w:rPr>
                <w:rFonts w:asciiTheme="majorBidi" w:hAnsiTheme="majorBidi" w:cstheme="majorBidi"/>
                <w:color w:val="auto"/>
                <w:sz w:val="21"/>
              </w:rPr>
              <w:t>Qualitative</w:t>
            </w:r>
          </w:p>
          <w:p w14:paraId="2AA8E18C">
            <w:pPr>
              <w:pStyle w:val="4"/>
              <w:rPr>
                <w:rFonts w:asciiTheme="majorBidi" w:hAnsiTheme="majorBidi" w:cstheme="majorBidi"/>
                <w:color w:val="auto"/>
                <w:sz w:val="21"/>
              </w:rPr>
            </w:pPr>
            <w:r>
              <w:rPr>
                <w:rFonts w:asciiTheme="majorBidi" w:hAnsiTheme="majorBidi" w:cstheme="majorBidi"/>
                <w:color w:val="auto"/>
                <w:sz w:val="21"/>
              </w:rPr>
              <w:t>descriptive study using focus group methodology</w:t>
            </w:r>
          </w:p>
          <w:p w14:paraId="2AA8E18E">
            <w:pPr>
              <w:pStyle w:val="4"/>
              <w:rPr>
                <w:rFonts w:asciiTheme="majorBidi" w:hAnsiTheme="majorBidi" w:cstheme="majorBidi"/>
                <w:color w:val="auto"/>
                <w:sz w:val="21"/>
              </w:rPr>
            </w:pPr>
            <w:r>
              <w:rPr>
                <w:rFonts w:asciiTheme="majorBidi" w:hAnsiTheme="majorBidi" w:cstheme="majorBidi"/>
                <w:color w:val="auto"/>
                <w:kern w:val="0"/>
                <w:sz w:val="21"/>
              </w:rPr>
              <w:t>15 focus groups</w:t>
            </w:r>
          </w:p>
          <w:p w14:paraId="2AA8E18F">
            <w:pPr>
              <w:pStyle w:val="4"/>
              <w:rPr>
                <w:rFonts w:asciiTheme="majorBidi" w:hAnsiTheme="majorBidi" w:cstheme="majorBidi"/>
                <w:color w:val="auto"/>
                <w:sz w:val="21"/>
              </w:rPr>
            </w:pPr>
            <w:r>
              <w:rPr>
                <w:rFonts w:asciiTheme="majorBidi" w:hAnsiTheme="majorBidi" w:cstheme="majorBidi"/>
                <w:color w:val="auto"/>
                <w:sz w:val="21"/>
              </w:rPr>
              <w:t>Nurses working in neonatal and</w:t>
            </w:r>
          </w:p>
          <w:p w14:paraId="2AA8E190">
            <w:pPr>
              <w:pStyle w:val="4"/>
              <w:rPr>
                <w:rFonts w:asciiTheme="majorBidi" w:hAnsiTheme="majorBidi" w:cstheme="majorBidi"/>
                <w:color w:val="auto"/>
                <w:sz w:val="21"/>
              </w:rPr>
            </w:pPr>
            <w:r>
              <w:rPr>
                <w:rFonts w:asciiTheme="majorBidi" w:hAnsiTheme="majorBidi" w:cstheme="majorBidi"/>
                <w:color w:val="auto"/>
                <w:sz w:val="21"/>
              </w:rPr>
              <w:t>pediatric intensive care units</w:t>
            </w:r>
          </w:p>
        </w:tc>
        <w:tc>
          <w:tcPr>
            <w:tcW w:w="2165" w:type="pct"/>
            <w:tcBorders>
              <w:tl2br w:val="nil"/>
              <w:tr2bl w:val="nil"/>
            </w:tcBorders>
            <w:shd w:val="clear" w:color="auto" w:fill="auto"/>
          </w:tcPr>
          <w:p w14:paraId="2AA8E191">
            <w:pPr>
              <w:pStyle w:val="4"/>
              <w:jc w:val="both"/>
              <w:rPr>
                <w:rFonts w:asciiTheme="majorBidi" w:hAnsiTheme="majorBidi" w:cstheme="majorBidi"/>
                <w:color w:val="auto"/>
                <w:sz w:val="21"/>
              </w:rPr>
            </w:pPr>
            <w:r>
              <w:rPr>
                <w:rFonts w:asciiTheme="majorBidi" w:hAnsiTheme="majorBidi" w:cstheme="majorBidi"/>
                <w:color w:val="auto"/>
                <w:sz w:val="21"/>
              </w:rPr>
              <w:t>Two principles emerged:</w:t>
            </w:r>
          </w:p>
          <w:p w14:paraId="2AA8E192">
            <w:pPr>
              <w:pStyle w:val="4"/>
              <w:numPr>
                <w:ilvl w:val="0"/>
                <w:numId w:val="6"/>
              </w:numPr>
              <w:jc w:val="both"/>
              <w:rPr>
                <w:rFonts w:asciiTheme="majorBidi" w:hAnsiTheme="majorBidi" w:cstheme="majorBidi"/>
                <w:color w:val="auto"/>
                <w:sz w:val="21"/>
              </w:rPr>
            </w:pPr>
            <w:r>
              <w:rPr>
                <w:rFonts w:asciiTheme="majorBidi" w:hAnsiTheme="majorBidi" w:cstheme="majorBidi"/>
                <w:color w:val="auto"/>
                <w:sz w:val="21"/>
              </w:rPr>
              <w:t xml:space="preserve">Patient-focused factors in terms of: </w:t>
            </w:r>
          </w:p>
          <w:p w14:paraId="2AA8E193">
            <w:pPr>
              <w:pStyle w:val="4"/>
              <w:numPr>
                <w:ilvl w:val="0"/>
                <w:numId w:val="7"/>
              </w:numPr>
              <w:jc w:val="both"/>
              <w:rPr>
                <w:rFonts w:asciiTheme="majorBidi" w:hAnsiTheme="majorBidi" w:cstheme="majorBidi"/>
                <w:color w:val="auto"/>
                <w:sz w:val="21"/>
              </w:rPr>
            </w:pPr>
            <w:r>
              <w:rPr>
                <w:rFonts w:asciiTheme="majorBidi" w:hAnsiTheme="majorBidi" w:cstheme="majorBidi"/>
                <w:color w:val="auto"/>
                <w:sz w:val="21"/>
              </w:rPr>
              <w:t>Quality of Life</w:t>
            </w:r>
          </w:p>
          <w:p w14:paraId="2AA8E194">
            <w:pPr>
              <w:pStyle w:val="4"/>
              <w:numPr>
                <w:ilvl w:val="0"/>
                <w:numId w:val="7"/>
              </w:numPr>
              <w:jc w:val="both"/>
              <w:rPr>
                <w:rFonts w:asciiTheme="majorBidi" w:hAnsiTheme="majorBidi" w:cstheme="majorBidi"/>
                <w:color w:val="auto"/>
                <w:sz w:val="21"/>
              </w:rPr>
            </w:pPr>
            <w:r>
              <w:rPr>
                <w:rFonts w:asciiTheme="majorBidi" w:hAnsiTheme="majorBidi" w:cstheme="majorBidi"/>
                <w:color w:val="auto"/>
                <w:sz w:val="21"/>
              </w:rPr>
              <w:t>Advocacy</w:t>
            </w:r>
          </w:p>
          <w:p w14:paraId="2AA8E195">
            <w:pPr>
              <w:pStyle w:val="4"/>
              <w:numPr>
                <w:ilvl w:val="0"/>
                <w:numId w:val="7"/>
              </w:numPr>
              <w:jc w:val="both"/>
              <w:rPr>
                <w:rFonts w:asciiTheme="majorBidi" w:hAnsiTheme="majorBidi" w:cstheme="majorBidi"/>
                <w:color w:val="auto"/>
                <w:sz w:val="21"/>
              </w:rPr>
            </w:pPr>
            <w:r>
              <w:rPr>
                <w:rFonts w:asciiTheme="majorBidi" w:hAnsiTheme="majorBidi" w:cstheme="majorBidi"/>
                <w:color w:val="auto"/>
                <w:sz w:val="21"/>
              </w:rPr>
              <w:t>Communication Challenges</w:t>
            </w:r>
          </w:p>
          <w:p w14:paraId="2AA8E196">
            <w:pPr>
              <w:pStyle w:val="4"/>
              <w:numPr>
                <w:ilvl w:val="0"/>
                <w:numId w:val="6"/>
              </w:numPr>
              <w:jc w:val="both"/>
              <w:rPr>
                <w:rFonts w:asciiTheme="majorBidi" w:hAnsiTheme="majorBidi" w:cstheme="majorBidi"/>
                <w:color w:val="auto"/>
                <w:sz w:val="21"/>
              </w:rPr>
            </w:pPr>
            <w:r>
              <w:rPr>
                <w:rFonts w:asciiTheme="majorBidi" w:hAnsiTheme="majorBidi" w:cstheme="majorBidi"/>
                <w:color w:val="auto"/>
                <w:sz w:val="21"/>
              </w:rPr>
              <w:t xml:space="preserve">Nurse-focused factors in terms of: </w:t>
            </w:r>
          </w:p>
          <w:p w14:paraId="2AA8E197">
            <w:pPr>
              <w:pStyle w:val="4"/>
              <w:numPr>
                <w:ilvl w:val="0"/>
                <w:numId w:val="8"/>
              </w:numPr>
              <w:jc w:val="both"/>
              <w:rPr>
                <w:rFonts w:asciiTheme="majorBidi" w:hAnsiTheme="majorBidi" w:cstheme="majorBidi"/>
                <w:color w:val="auto"/>
                <w:sz w:val="21"/>
              </w:rPr>
            </w:pPr>
            <w:r>
              <w:rPr>
                <w:rFonts w:asciiTheme="majorBidi" w:hAnsiTheme="majorBidi" w:cstheme="majorBidi"/>
                <w:color w:val="auto"/>
                <w:sz w:val="21"/>
              </w:rPr>
              <w:t>Voice/No Voice.</w:t>
            </w:r>
          </w:p>
          <w:p w14:paraId="2AA8E198">
            <w:pPr>
              <w:pStyle w:val="4"/>
              <w:numPr>
                <w:ilvl w:val="0"/>
                <w:numId w:val="8"/>
              </w:numPr>
              <w:jc w:val="both"/>
              <w:rPr>
                <w:rFonts w:asciiTheme="majorBidi" w:hAnsiTheme="majorBidi" w:cstheme="majorBidi"/>
                <w:color w:val="auto"/>
                <w:sz w:val="21"/>
              </w:rPr>
            </w:pPr>
            <w:r>
              <w:rPr>
                <w:rFonts w:asciiTheme="majorBidi" w:hAnsiTheme="majorBidi" w:cstheme="majorBidi"/>
                <w:color w:val="auto"/>
                <w:sz w:val="21"/>
              </w:rPr>
              <w:t>Role Ambiguity.</w:t>
            </w:r>
          </w:p>
          <w:p w14:paraId="2AA8E199">
            <w:pPr>
              <w:pStyle w:val="4"/>
              <w:numPr>
                <w:ilvl w:val="0"/>
                <w:numId w:val="8"/>
              </w:numPr>
              <w:jc w:val="both"/>
              <w:rPr>
                <w:rFonts w:asciiTheme="majorBidi" w:hAnsiTheme="majorBidi" w:cstheme="majorBidi"/>
                <w:color w:val="auto"/>
                <w:sz w:val="21"/>
              </w:rPr>
            </w:pPr>
            <w:r>
              <w:rPr>
                <w:rFonts w:asciiTheme="majorBidi" w:hAnsiTheme="majorBidi" w:cstheme="majorBidi"/>
                <w:color w:val="auto"/>
                <w:sz w:val="21"/>
              </w:rPr>
              <w:t>Role Conflict.</w:t>
            </w:r>
          </w:p>
          <w:p w14:paraId="2AA8E19A">
            <w:pPr>
              <w:pStyle w:val="4"/>
              <w:numPr>
                <w:ilvl w:val="0"/>
                <w:numId w:val="8"/>
              </w:numPr>
              <w:jc w:val="both"/>
              <w:rPr>
                <w:rFonts w:asciiTheme="majorBidi" w:hAnsiTheme="majorBidi" w:cstheme="majorBidi"/>
                <w:color w:val="auto"/>
                <w:sz w:val="21"/>
              </w:rPr>
            </w:pPr>
            <w:r>
              <w:rPr>
                <w:rFonts w:asciiTheme="majorBidi" w:hAnsiTheme="majorBidi" w:cstheme="majorBidi"/>
                <w:color w:val="auto"/>
                <w:sz w:val="21"/>
              </w:rPr>
              <w:t>Compromised Integrity.</w:t>
            </w:r>
          </w:p>
        </w:tc>
        <w:tc>
          <w:tcPr>
            <w:tcW w:w="285" w:type="pct"/>
            <w:tcBorders>
              <w:tl2br w:val="nil"/>
              <w:tr2bl w:val="nil"/>
            </w:tcBorders>
            <w:shd w:val="clear" w:color="auto" w:fill="auto"/>
          </w:tcPr>
          <w:p w14:paraId="2AA8E19B">
            <w:pPr>
              <w:pStyle w:val="4"/>
              <w:rPr>
                <w:rFonts w:asciiTheme="majorBidi" w:hAnsiTheme="majorBidi" w:cstheme="majorBidi"/>
                <w:color w:val="auto"/>
                <w:sz w:val="21"/>
              </w:rPr>
            </w:pPr>
            <w:r>
              <w:rPr>
                <w:rFonts w:asciiTheme="majorBidi" w:hAnsiTheme="majorBidi" w:cstheme="majorBidi"/>
                <w:color w:val="auto"/>
                <w:sz w:val="21"/>
              </w:rPr>
              <w:t>LVL I</w:t>
            </w:r>
          </w:p>
        </w:tc>
        <w:tc>
          <w:tcPr>
            <w:tcW w:w="263" w:type="pct"/>
            <w:tcBorders>
              <w:tl2br w:val="nil"/>
              <w:tr2bl w:val="nil"/>
            </w:tcBorders>
            <w:shd w:val="clear" w:color="auto" w:fill="auto"/>
          </w:tcPr>
          <w:p w14:paraId="2AA8E19C">
            <w:pPr>
              <w:pStyle w:val="4"/>
              <w:rPr>
                <w:rFonts w:asciiTheme="majorBidi" w:hAnsiTheme="majorBidi" w:cstheme="majorBidi"/>
                <w:color w:val="auto"/>
                <w:sz w:val="21"/>
              </w:rPr>
            </w:pPr>
            <w:r>
              <w:rPr>
                <w:rFonts w:asciiTheme="majorBidi" w:hAnsiTheme="majorBidi" w:cstheme="majorBidi"/>
                <w:color w:val="auto"/>
                <w:sz w:val="21"/>
              </w:rPr>
              <w:t>a,b,c,d,e</w:t>
            </w:r>
          </w:p>
        </w:tc>
      </w:tr>
      <w:tr w14:paraId="2AA8E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9E">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&lt;EndNote&gt;&lt;Cite&gt;&lt;Author&gt;Morley&lt;/Author&gt;&lt;Year&gt;2020&lt;/Year&gt;&lt;RecNum&gt;354&lt;/RecNum&gt;&lt;DisplayText&gt;(Morley, Bradbury-Jones &amp;amp; Ives, 2020)&lt;/DisplayText&gt;&lt;record&gt;&lt;rec-number&gt;354&lt;/rec-number&gt;&lt;foreign-keys&gt;&lt;key app="EN" db-id="daxr9sxtlpdx2peae9dx2f5o0vr2zzews552" timestamp="1703240458"&gt;354&lt;/key&gt;&lt;/foreign-keys&gt;&lt;ref-type name="Journal Article"&gt;17&lt;/ref-type&gt;&lt;contributors&gt;&lt;authors&gt;&lt;author&gt;Morley, Georgina&lt;/author&gt;&lt;author&gt;Bradbury-Jones, Caroline&lt;/author&gt;&lt;author&gt;Ives, Jonathan&lt;/author&gt;&lt;/authors&gt;&lt;/contributors&gt;&lt;titles&gt;&lt;title&gt;What is ‘moral distress’ in nursing? A feminist empirical bioethics study&lt;/title&gt;&lt;secondary-title&gt;Nursing Ethics&lt;/secondary-title&gt;&lt;/titles&gt;&lt;periodical&gt;&lt;full-title&gt;Nursing ethics&lt;/full-title&gt;&lt;/periodical&gt;&lt;pages&gt;1297-1314&lt;/pages&gt;&lt;volume&gt;27&lt;/volume&gt;&lt;number&gt;5&lt;/number&gt;&lt;keywords&gt;&lt;keyword&gt;Empirical approaches,empirical bioethics,feminist ethics,moral distress,nursing practice,phenomenology,qualitative research,theory/philosophical perspectives&lt;/keyword&gt;&lt;/keywords&gt;&lt;dates&gt;&lt;year&gt;2020&lt;/year&gt;&lt;/dates&gt;&lt;accession-num&gt;31566094&lt;/accession-num&gt;&lt;urls&gt;&lt;related-urls&gt;&lt;url&gt;https://journals.sagepub.com/doi/abs/10.1177/0969733019874492&lt;/url&gt;&lt;/related-urls&gt;&lt;/urls&gt;&lt;electronic-resource-num&gt;10.1177/0969733019874492&lt;/electronic-resource-num&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Morley</w:t>
            </w:r>
            <w:r>
              <w:rPr>
                <w:rFonts w:hint="eastAsia" w:asciiTheme="majorBidi" w:hAnsiTheme="majorBidi" w:eastAsiaTheme="majorEastAsia" w:cstheme="majorBidi"/>
                <w:i w:val="0"/>
                <w:iCs w:val="0"/>
                <w:color w:val="auto"/>
                <w:sz w:val="21"/>
                <w:lang w:val="en-US" w:eastAsia="zh-CN"/>
              </w:rPr>
              <w:t xml:space="preserve"> et al.,(</w:t>
            </w:r>
            <w:r>
              <w:rPr>
                <w:rFonts w:asciiTheme="majorBidi" w:hAnsiTheme="majorBidi" w:eastAsiaTheme="majorEastAsia" w:cstheme="majorBidi"/>
                <w:i w:val="0"/>
                <w:iCs w:val="0"/>
                <w:color w:val="auto"/>
                <w:sz w:val="21"/>
              </w:rPr>
              <w:t>2020)</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bookmarkStart w:id="1" w:name="OLE_LINK3"/>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lang w:val="en-US" w:eastAsia="zh-CN"/>
              </w:rPr>
              <w:t>13</w:t>
            </w:r>
            <w:r>
              <w:rPr>
                <w:rFonts w:hint="eastAsia" w:asciiTheme="majorBidi" w:hAnsiTheme="majorBidi" w:eastAsiaTheme="majorEastAsia" w:cstheme="majorBidi"/>
                <w:i w:val="0"/>
                <w:iCs w:val="0"/>
                <w:color w:val="auto"/>
                <w:sz w:val="21"/>
                <w:lang w:val="en-US" w:eastAsia="zh-CN"/>
              </w:rPr>
              <w:t>]</w:t>
            </w:r>
            <w:bookmarkEnd w:id="1"/>
          </w:p>
          <w:p w14:paraId="2AA8E19F">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UK</w:t>
            </w:r>
            <w:r>
              <w:rPr>
                <w:rStyle w:val="12"/>
                <w:rFonts w:asciiTheme="majorBidi" w:hAnsiTheme="majorBidi" w:eastAsiaTheme="majorEastAsia" w:cstheme="majorBidi"/>
                <w:i w:val="0"/>
                <w:iCs w:val="0"/>
                <w:color w:val="auto"/>
                <w:sz w:val="21"/>
              </w:rPr>
              <w:endnoteReference w:id="1"/>
            </w:r>
          </w:p>
        </w:tc>
        <w:tc>
          <w:tcPr>
            <w:tcW w:w="852" w:type="pct"/>
            <w:tcBorders>
              <w:tl2br w:val="nil"/>
              <w:tr2bl w:val="nil"/>
            </w:tcBorders>
            <w:shd w:val="clear" w:color="auto" w:fill="auto"/>
          </w:tcPr>
          <w:p w14:paraId="2AA8E1A0">
            <w:pPr>
              <w:pStyle w:val="4"/>
              <w:rPr>
                <w:rFonts w:asciiTheme="majorBidi" w:hAnsiTheme="majorBidi" w:cstheme="majorBidi"/>
                <w:color w:val="auto"/>
                <w:sz w:val="21"/>
              </w:rPr>
            </w:pPr>
            <w:r>
              <w:rPr>
                <w:rFonts w:asciiTheme="majorBidi" w:hAnsiTheme="majorBidi" w:cstheme="majorBidi"/>
                <w:color w:val="auto"/>
                <w:sz w:val="21"/>
              </w:rPr>
              <w:t>Explore the concept of moral distress in nursing both empirically and conceptually</w:t>
            </w:r>
          </w:p>
        </w:tc>
        <w:tc>
          <w:tcPr>
            <w:tcW w:w="888" w:type="pct"/>
            <w:tcBorders>
              <w:tl2br w:val="nil"/>
              <w:tr2bl w:val="nil"/>
            </w:tcBorders>
            <w:shd w:val="clear" w:color="auto" w:fill="auto"/>
          </w:tcPr>
          <w:p w14:paraId="2AA8E1A1">
            <w:pPr>
              <w:pStyle w:val="4"/>
              <w:rPr>
                <w:rFonts w:asciiTheme="majorBidi" w:hAnsiTheme="majorBidi" w:cstheme="majorBidi"/>
                <w:color w:val="auto"/>
                <w:sz w:val="21"/>
              </w:rPr>
            </w:pPr>
            <w:r>
              <w:rPr>
                <w:rFonts w:asciiTheme="majorBidi" w:hAnsiTheme="majorBidi" w:cstheme="majorBidi"/>
                <w:color w:val="auto"/>
                <w:sz w:val="21"/>
              </w:rPr>
              <w:t>Qualitative</w:t>
            </w:r>
          </w:p>
          <w:p w14:paraId="2AA8E1A3">
            <w:pPr>
              <w:pStyle w:val="4"/>
              <w:rPr>
                <w:rFonts w:asciiTheme="majorBidi" w:hAnsiTheme="majorBidi" w:cstheme="majorBidi"/>
                <w:color w:val="auto"/>
                <w:sz w:val="21"/>
              </w:rPr>
            </w:pPr>
            <w:r>
              <w:rPr>
                <w:rFonts w:asciiTheme="majorBidi" w:hAnsiTheme="majorBidi" w:cstheme="majorBidi"/>
                <w:color w:val="auto"/>
                <w:sz w:val="21"/>
              </w:rPr>
              <w:t>Feminist interpretive phenomenology</w:t>
            </w:r>
          </w:p>
          <w:p w14:paraId="2AA8E1A5">
            <w:pPr>
              <w:pStyle w:val="4"/>
              <w:rPr>
                <w:rFonts w:asciiTheme="majorBidi" w:hAnsiTheme="majorBidi" w:cstheme="majorBidi"/>
                <w:color w:val="auto"/>
                <w:sz w:val="21"/>
              </w:rPr>
            </w:pPr>
            <w:r>
              <w:rPr>
                <w:rFonts w:asciiTheme="majorBidi" w:hAnsiTheme="majorBidi" w:cstheme="majorBidi"/>
                <w:color w:val="auto"/>
                <w:sz w:val="21"/>
              </w:rPr>
              <w:t>21 Critical care nurses</w:t>
            </w:r>
          </w:p>
        </w:tc>
        <w:tc>
          <w:tcPr>
            <w:tcW w:w="2165" w:type="pct"/>
            <w:tcBorders>
              <w:tl2br w:val="nil"/>
              <w:tr2bl w:val="nil"/>
            </w:tcBorders>
            <w:shd w:val="clear" w:color="auto" w:fill="auto"/>
          </w:tcPr>
          <w:p w14:paraId="2AA8E1A6">
            <w:pPr>
              <w:pStyle w:val="4"/>
              <w:jc w:val="both"/>
              <w:rPr>
                <w:rFonts w:asciiTheme="majorBidi" w:hAnsiTheme="majorBidi" w:cstheme="majorBidi"/>
                <w:color w:val="auto"/>
                <w:sz w:val="21"/>
              </w:rPr>
            </w:pPr>
            <w:r>
              <w:rPr>
                <w:rFonts w:asciiTheme="majorBidi" w:hAnsiTheme="majorBidi" w:cstheme="majorBidi"/>
                <w:color w:val="auto"/>
                <w:sz w:val="21"/>
              </w:rPr>
              <w:t xml:space="preserve">Broadning the definition of moral distress to include a range of moral situations. </w:t>
            </w:r>
          </w:p>
          <w:p w14:paraId="2AA8E1A7">
            <w:pPr>
              <w:pStyle w:val="4"/>
              <w:numPr>
                <w:ilvl w:val="0"/>
                <w:numId w:val="9"/>
              </w:numPr>
              <w:jc w:val="both"/>
              <w:rPr>
                <w:rFonts w:asciiTheme="majorBidi" w:hAnsiTheme="majorBidi" w:cstheme="majorBidi"/>
                <w:color w:val="auto"/>
                <w:sz w:val="21"/>
              </w:rPr>
            </w:pPr>
            <w:r>
              <w:rPr>
                <w:rFonts w:asciiTheme="majorBidi" w:hAnsiTheme="majorBidi" w:cstheme="majorBidi"/>
                <w:color w:val="auto"/>
                <w:sz w:val="21"/>
              </w:rPr>
              <w:t xml:space="preserve">Moral Event </w:t>
            </w:r>
          </w:p>
          <w:p w14:paraId="2AA8E1A8">
            <w:pPr>
              <w:pStyle w:val="4"/>
              <w:numPr>
                <w:ilvl w:val="0"/>
                <w:numId w:val="9"/>
              </w:numPr>
              <w:jc w:val="both"/>
              <w:rPr>
                <w:rFonts w:asciiTheme="majorBidi" w:hAnsiTheme="majorBidi" w:cstheme="majorBidi"/>
                <w:color w:val="auto"/>
                <w:sz w:val="21"/>
              </w:rPr>
            </w:pPr>
            <w:r>
              <w:rPr>
                <w:rFonts w:asciiTheme="majorBidi" w:hAnsiTheme="majorBidi" w:cstheme="majorBidi"/>
                <w:color w:val="auto"/>
                <w:sz w:val="21"/>
              </w:rPr>
              <w:t>Moral constraints.</w:t>
            </w:r>
          </w:p>
          <w:p w14:paraId="2AA8E1A9">
            <w:pPr>
              <w:pStyle w:val="4"/>
              <w:numPr>
                <w:ilvl w:val="0"/>
                <w:numId w:val="9"/>
              </w:numPr>
              <w:jc w:val="both"/>
              <w:rPr>
                <w:rFonts w:asciiTheme="majorBidi" w:hAnsiTheme="majorBidi" w:cstheme="majorBidi"/>
                <w:color w:val="auto"/>
                <w:sz w:val="21"/>
              </w:rPr>
            </w:pPr>
            <w:r>
              <w:rPr>
                <w:rFonts w:asciiTheme="majorBidi" w:hAnsiTheme="majorBidi" w:cstheme="majorBidi"/>
                <w:color w:val="auto"/>
                <w:sz w:val="21"/>
              </w:rPr>
              <w:t>Moral tension.</w:t>
            </w:r>
          </w:p>
          <w:p w14:paraId="2AA8E1AA">
            <w:pPr>
              <w:pStyle w:val="4"/>
              <w:numPr>
                <w:ilvl w:val="0"/>
                <w:numId w:val="9"/>
              </w:numPr>
              <w:jc w:val="both"/>
              <w:rPr>
                <w:rFonts w:asciiTheme="majorBidi" w:hAnsiTheme="majorBidi" w:cstheme="majorBidi"/>
                <w:color w:val="auto"/>
                <w:sz w:val="21"/>
              </w:rPr>
            </w:pPr>
            <w:r>
              <w:rPr>
                <w:rFonts w:asciiTheme="majorBidi" w:hAnsiTheme="majorBidi" w:cstheme="majorBidi"/>
                <w:color w:val="auto"/>
                <w:sz w:val="21"/>
              </w:rPr>
              <w:t xml:space="preserve">Moral conflict. </w:t>
            </w:r>
          </w:p>
          <w:p w14:paraId="2AA8E1AB">
            <w:pPr>
              <w:pStyle w:val="4"/>
              <w:numPr>
                <w:ilvl w:val="0"/>
                <w:numId w:val="9"/>
              </w:numPr>
              <w:jc w:val="both"/>
              <w:rPr>
                <w:rFonts w:asciiTheme="majorBidi" w:hAnsiTheme="majorBidi" w:cstheme="majorBidi"/>
                <w:color w:val="auto"/>
                <w:sz w:val="21"/>
              </w:rPr>
            </w:pPr>
            <w:r>
              <w:rPr>
                <w:rFonts w:asciiTheme="majorBidi" w:hAnsiTheme="majorBidi" w:cstheme="majorBidi"/>
                <w:color w:val="auto"/>
                <w:sz w:val="21"/>
              </w:rPr>
              <w:t>Moral dilemma.</w:t>
            </w:r>
          </w:p>
          <w:p w14:paraId="2AA8E1AC">
            <w:pPr>
              <w:pStyle w:val="4"/>
              <w:numPr>
                <w:ilvl w:val="0"/>
                <w:numId w:val="9"/>
              </w:numPr>
              <w:jc w:val="both"/>
              <w:rPr>
                <w:rFonts w:asciiTheme="majorBidi" w:hAnsiTheme="majorBidi" w:cstheme="majorBidi"/>
                <w:color w:val="auto"/>
                <w:sz w:val="21"/>
              </w:rPr>
            </w:pPr>
            <w:r>
              <w:rPr>
                <w:rFonts w:asciiTheme="majorBidi" w:hAnsiTheme="majorBidi" w:cstheme="majorBidi"/>
                <w:color w:val="auto"/>
                <w:sz w:val="21"/>
              </w:rPr>
              <w:t>Moral uncertainty.</w:t>
            </w:r>
          </w:p>
        </w:tc>
        <w:tc>
          <w:tcPr>
            <w:tcW w:w="285" w:type="pct"/>
            <w:tcBorders>
              <w:tl2br w:val="nil"/>
              <w:tr2bl w:val="nil"/>
            </w:tcBorders>
            <w:shd w:val="clear" w:color="auto" w:fill="auto"/>
          </w:tcPr>
          <w:p w14:paraId="2AA8E1AD">
            <w:pPr>
              <w:pStyle w:val="4"/>
              <w:rPr>
                <w:rFonts w:asciiTheme="majorBidi" w:hAnsiTheme="majorBidi" w:cstheme="majorBidi"/>
                <w:color w:val="auto"/>
                <w:sz w:val="21"/>
              </w:rPr>
            </w:pPr>
            <w:r>
              <w:rPr>
                <w:rFonts w:asciiTheme="majorBidi" w:hAnsiTheme="majorBidi" w:cstheme="majorBidi"/>
                <w:color w:val="auto"/>
                <w:sz w:val="21"/>
              </w:rPr>
              <w:t>LVL II</w:t>
            </w:r>
          </w:p>
        </w:tc>
        <w:tc>
          <w:tcPr>
            <w:tcW w:w="263" w:type="pct"/>
            <w:tcBorders>
              <w:tl2br w:val="nil"/>
              <w:tr2bl w:val="nil"/>
            </w:tcBorders>
            <w:shd w:val="clear" w:color="auto" w:fill="auto"/>
          </w:tcPr>
          <w:p w14:paraId="2AA8E1AE">
            <w:pPr>
              <w:pStyle w:val="4"/>
              <w:rPr>
                <w:rFonts w:asciiTheme="majorBidi" w:hAnsiTheme="majorBidi" w:cstheme="majorBidi"/>
                <w:color w:val="auto"/>
                <w:sz w:val="21"/>
              </w:rPr>
            </w:pPr>
          </w:p>
        </w:tc>
      </w:tr>
      <w:tr w14:paraId="2AA8E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B0">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&lt;EndNote&gt;&lt;Cite&gt;&lt;Author&gt;Abdolmaleki&lt;/Author&gt;&lt;Year&gt;2018&lt;/Year&gt;&lt;RecNum&gt;295&lt;/RecNum&gt;&lt;DisplayText&gt;(Abdolmaleki et al., 2018)&lt;/DisplayText&gt;&lt;record&gt;&lt;rec-number&gt;295&lt;/rec-number&gt;&lt;foreign-keys&gt;&lt;key app="EN" db-id="daxr9sxtlpdx2peae9dx2f5o0vr2zzews552" timestamp="1672428482"&gt;295&lt;/key&gt;&lt;/foreign-keys&gt;&lt;ref-type name="Journal Article"&gt;17&lt;/ref-type&gt;&lt;contributors&gt;&lt;authors&gt;&lt;author&gt;Abdolmaleki, MOHSEN&lt;/author&gt;&lt;author&gt;Lakdizaji, SIMA&lt;/author&gt;&lt;author&gt;Ghahramanian, AKRAM&lt;/author&gt;&lt;author&gt;Allahbakhshian, ATEFE&lt;/author&gt;&lt;author&gt;Behshid, Mozhgan&lt;/author&gt;&lt;/authors&gt;&lt;/contributors&gt;&lt;titles&gt;&lt;title&gt;Relationship between autonomy and moral distress in emergency nurses&lt;/title&gt;&lt;secondary-title&gt;Indian J Med Ethics&lt;/secondary-title&gt;&lt;/titles&gt;&lt;periodical&gt;&lt;full-title&gt;Indian J Med Ethics&lt;/full-title&gt;&lt;/periodical&gt;&lt;pages&gt;1-5&lt;/pages&gt;&lt;volume&gt;6&lt;/volume&gt;&lt;dates&gt;&lt;year&gt;2018&lt;/year&gt;&lt;/dates&gt;&lt;urls&gt;&lt;/urls&gt;&lt;/record&gt;&lt;/Cite&gt;&lt;/EndNote&gt;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Abdolmaleki et al.,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2018)</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lang w:val="en-US" w:eastAsia="zh-CN"/>
              </w:rPr>
              <w:t>27</w:t>
            </w:r>
            <w:r>
              <w:rPr>
                <w:rFonts w:hint="eastAsia" w:asciiTheme="majorBidi" w:hAnsiTheme="majorBidi" w:eastAsiaTheme="majorEastAsia" w:cstheme="majorBidi"/>
                <w:i w:val="0"/>
                <w:iCs w:val="0"/>
                <w:color w:val="auto"/>
                <w:sz w:val="21"/>
                <w:lang w:val="en-US" w:eastAsia="zh-CN"/>
              </w:rPr>
              <w:t>]</w:t>
            </w:r>
          </w:p>
          <w:p w14:paraId="2AA8E1B1">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Iran</w:t>
            </w:r>
          </w:p>
        </w:tc>
        <w:tc>
          <w:tcPr>
            <w:tcW w:w="852" w:type="pct"/>
            <w:tcBorders>
              <w:tl2br w:val="nil"/>
              <w:tr2bl w:val="nil"/>
            </w:tcBorders>
            <w:shd w:val="clear" w:color="auto" w:fill="auto"/>
          </w:tcPr>
          <w:p w14:paraId="2AA8E1B2">
            <w:pPr>
              <w:pStyle w:val="4"/>
              <w:rPr>
                <w:rFonts w:asciiTheme="majorBidi" w:hAnsiTheme="majorBidi" w:cstheme="majorBidi"/>
                <w:color w:val="auto"/>
                <w:sz w:val="21"/>
              </w:rPr>
            </w:pPr>
            <w:r>
              <w:rPr>
                <w:rFonts w:asciiTheme="majorBidi" w:hAnsiTheme="majorBidi" w:cstheme="majorBidi"/>
                <w:color w:val="auto"/>
                <w:sz w:val="21"/>
              </w:rPr>
              <w:t>Investigates the relationship</w:t>
            </w:r>
          </w:p>
          <w:p w14:paraId="2AA8E1B3">
            <w:pPr>
              <w:pStyle w:val="4"/>
              <w:rPr>
                <w:rFonts w:asciiTheme="majorBidi" w:hAnsiTheme="majorBidi" w:cstheme="majorBidi"/>
                <w:color w:val="auto"/>
                <w:sz w:val="21"/>
              </w:rPr>
            </w:pPr>
            <w:r>
              <w:rPr>
                <w:rFonts w:asciiTheme="majorBidi" w:hAnsiTheme="majorBidi" w:cstheme="majorBidi"/>
                <w:color w:val="auto"/>
                <w:sz w:val="21"/>
              </w:rPr>
              <w:t>Between professional autonomy and moral distress</w:t>
            </w:r>
          </w:p>
        </w:tc>
        <w:tc>
          <w:tcPr>
            <w:tcW w:w="888" w:type="pct"/>
            <w:tcBorders>
              <w:tl2br w:val="nil"/>
              <w:tr2bl w:val="nil"/>
            </w:tcBorders>
            <w:shd w:val="clear" w:color="auto" w:fill="auto"/>
          </w:tcPr>
          <w:p w14:paraId="2AA8E1B4">
            <w:pPr>
              <w:pStyle w:val="4"/>
              <w:rPr>
                <w:rFonts w:asciiTheme="majorBidi" w:hAnsiTheme="majorBidi" w:cstheme="majorBidi"/>
                <w:color w:val="auto"/>
                <w:sz w:val="21"/>
              </w:rPr>
            </w:pPr>
            <w:r>
              <w:rPr>
                <w:rFonts w:asciiTheme="majorBidi" w:hAnsiTheme="majorBidi" w:cstheme="majorBidi"/>
                <w:color w:val="auto"/>
                <w:sz w:val="21"/>
              </w:rPr>
              <w:t>Quantitative</w:t>
            </w:r>
          </w:p>
          <w:p w14:paraId="2AA8E1B5">
            <w:pPr>
              <w:pStyle w:val="4"/>
              <w:rPr>
                <w:rFonts w:asciiTheme="majorBidi" w:hAnsiTheme="majorBidi" w:cstheme="majorBidi"/>
                <w:color w:val="auto"/>
                <w:sz w:val="21"/>
              </w:rPr>
            </w:pPr>
            <w:r>
              <w:rPr>
                <w:rFonts w:asciiTheme="majorBidi" w:hAnsiTheme="majorBidi" w:cstheme="majorBidi"/>
                <w:color w:val="auto"/>
                <w:sz w:val="21"/>
              </w:rPr>
              <w:t>descriptive correlation study</w:t>
            </w:r>
          </w:p>
          <w:p w14:paraId="2AA8E1B6">
            <w:pPr>
              <w:pStyle w:val="4"/>
              <w:rPr>
                <w:rFonts w:asciiTheme="majorBidi" w:hAnsiTheme="majorBidi" w:cstheme="majorBidi"/>
                <w:color w:val="auto"/>
                <w:sz w:val="21"/>
              </w:rPr>
            </w:pPr>
            <w:r>
              <w:rPr>
                <w:rFonts w:asciiTheme="majorBidi" w:hAnsiTheme="majorBidi" w:cstheme="majorBidi"/>
                <w:color w:val="auto"/>
                <w:sz w:val="21"/>
              </w:rPr>
              <w:t>173 Emergency Nurses</w:t>
            </w:r>
          </w:p>
        </w:tc>
        <w:tc>
          <w:tcPr>
            <w:tcW w:w="2165" w:type="pct"/>
            <w:tcBorders>
              <w:tl2br w:val="nil"/>
              <w:tr2bl w:val="nil"/>
            </w:tcBorders>
            <w:shd w:val="clear" w:color="auto" w:fill="auto"/>
          </w:tcPr>
          <w:p w14:paraId="2AA8E1B7">
            <w:pPr>
              <w:pStyle w:val="4"/>
              <w:jc w:val="both"/>
              <w:rPr>
                <w:rFonts w:asciiTheme="majorBidi" w:hAnsiTheme="majorBidi" w:cstheme="majorBidi"/>
                <w:color w:val="auto"/>
                <w:sz w:val="21"/>
              </w:rPr>
            </w:pPr>
            <w:r>
              <w:rPr>
                <w:rFonts w:asciiTheme="majorBidi" w:hAnsiTheme="majorBidi" w:cstheme="majorBidi"/>
                <w:color w:val="auto"/>
                <w:sz w:val="21"/>
              </w:rPr>
              <w:t xml:space="preserve">A statistically significant negative relationship was reported between professional independence and the frequency of moral distress. </w:t>
            </w:r>
          </w:p>
          <w:p w14:paraId="2AA8E1B8">
            <w:pPr>
              <w:pStyle w:val="4"/>
              <w:jc w:val="both"/>
              <w:rPr>
                <w:rFonts w:asciiTheme="majorBidi" w:hAnsiTheme="majorBidi" w:cstheme="majorBidi"/>
                <w:color w:val="auto"/>
                <w:sz w:val="21"/>
              </w:rPr>
            </w:pPr>
            <w:r>
              <w:rPr>
                <w:rFonts w:asciiTheme="majorBidi" w:hAnsiTheme="majorBidi" w:cstheme="majorBidi"/>
                <w:color w:val="auto"/>
                <w:sz w:val="21"/>
              </w:rPr>
              <w:t>Lack of autonomy hinders nurses from functioning effectively and efficiently in practice and even can lead to moral distress.</w:t>
            </w:r>
          </w:p>
        </w:tc>
        <w:tc>
          <w:tcPr>
            <w:tcW w:w="285" w:type="pct"/>
            <w:tcBorders>
              <w:tl2br w:val="nil"/>
              <w:tr2bl w:val="nil"/>
            </w:tcBorders>
            <w:shd w:val="clear" w:color="auto" w:fill="auto"/>
          </w:tcPr>
          <w:p w14:paraId="2AA8E1B9">
            <w:pPr>
              <w:pStyle w:val="4"/>
              <w:rPr>
                <w:rFonts w:asciiTheme="majorBidi" w:hAnsiTheme="majorBidi" w:cstheme="majorBidi"/>
                <w:color w:val="auto"/>
                <w:sz w:val="21"/>
              </w:rPr>
            </w:pPr>
            <w:r>
              <w:rPr>
                <w:rFonts w:asciiTheme="majorBidi" w:hAnsiTheme="majorBidi" w:cstheme="majorBidi"/>
                <w:color w:val="auto"/>
                <w:sz w:val="21"/>
              </w:rPr>
              <w:t>LVL II</w:t>
            </w:r>
          </w:p>
        </w:tc>
        <w:tc>
          <w:tcPr>
            <w:tcW w:w="263" w:type="pct"/>
            <w:tcBorders>
              <w:tl2br w:val="nil"/>
              <w:tr2bl w:val="nil"/>
            </w:tcBorders>
            <w:shd w:val="clear" w:color="auto" w:fill="auto"/>
          </w:tcPr>
          <w:p w14:paraId="2AA8E1BA">
            <w:pPr>
              <w:pStyle w:val="4"/>
              <w:rPr>
                <w:rFonts w:asciiTheme="majorBidi" w:hAnsiTheme="majorBidi" w:cstheme="majorBidi"/>
                <w:color w:val="auto"/>
                <w:sz w:val="21"/>
              </w:rPr>
            </w:pPr>
            <w:r>
              <w:rPr>
                <w:rFonts w:asciiTheme="majorBidi" w:hAnsiTheme="majorBidi" w:cstheme="majorBidi"/>
                <w:color w:val="auto"/>
                <w:sz w:val="21"/>
              </w:rPr>
              <w:t>a,b,c,d</w:t>
            </w:r>
          </w:p>
        </w:tc>
      </w:tr>
      <w:tr w14:paraId="2AA8E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BC">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&lt;EndNote&gt;&lt;Cite&gt;&lt;Author&gt;Afoko&lt;/Author&gt;&lt;Year&gt;2022&lt;/Year&gt;&lt;RecNum&gt;370&lt;/RecNum&gt;&lt;DisplayText&gt;(Afoko et al., 2022)&lt;/DisplayText&gt;&lt;record&gt;&lt;rec-number&gt;370&lt;/rec-number&gt;&lt;foreign-keys&gt;&lt;key app="EN" db-id="daxr9sxtlpdx2peae9dx2f5o0vr2zzews552" timestamp="1704539686"&gt;370&lt;/key&gt;&lt;/foreign-keys&gt;&lt;ref-type name="Journal Article"&gt;17&lt;/ref-type&gt;&lt;contributors&gt;&lt;authors&gt;&lt;author&gt;Afoko, Vivian&lt;/author&gt;&lt;author&gt;Hewison, Alistair&lt;/author&gt;&lt;author&gt;Neilson, Susan&lt;/author&gt;&lt;author&gt;Newham, Roger&lt;/author&gt;&lt;/authors&gt;&lt;/contributors&gt;&lt;titles&gt;&lt;title&gt;Moral distress experienced by neonatal intensive and paediatric care nurses in Northern Ghana: a qualitative study&lt;/title&gt;&lt;secondary-title&gt;Journal of Research in Nursing&lt;/secondary-title&gt;&lt;/titles&gt;&lt;periodical&gt;&lt;full-title&gt;Journal of Research in Nursing&lt;/full-title&gt;&lt;/periodical&gt;&lt;pages&gt;519-529&lt;/pages&gt;&lt;volume&gt;27&lt;/volume&gt;&lt;number&gt;6&lt;/number&gt;&lt;keywords&gt;&lt;keyword&gt;Africa,Ghana,moral difficulties,moral distress,nurse managers,nurses&lt;/keyword&gt;&lt;/keywords&gt;&lt;dates&gt;&lt;year&gt;2022&lt;/year&gt;&lt;/dates&gt;&lt;urls&gt;&lt;related-urls&gt;&lt;url&gt;https://journals.sagepub.com/doi/abs/10.1177/17449871221122022&lt;/url&gt;&lt;/related-urls&gt;&lt;/urls&gt;&lt;electronic-resource-num&gt;10.1177/17449871221122022&lt;/electronic-resource-num&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Afoko et al.,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2022)</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30</w:t>
            </w:r>
            <w:r>
              <w:rPr>
                <w:rFonts w:hint="eastAsia" w:asciiTheme="majorBidi" w:hAnsiTheme="majorBidi" w:eastAsiaTheme="majorEastAsia" w:cstheme="majorBidi"/>
                <w:i w:val="0"/>
                <w:iCs w:val="0"/>
                <w:color w:val="auto"/>
                <w:sz w:val="21"/>
                <w:lang w:val="en-US" w:eastAsia="zh-CN"/>
              </w:rPr>
              <w:t>]</w:t>
            </w:r>
          </w:p>
          <w:p w14:paraId="2AA8E1BD">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Ghana</w:t>
            </w:r>
          </w:p>
        </w:tc>
        <w:tc>
          <w:tcPr>
            <w:tcW w:w="852" w:type="pct"/>
            <w:tcBorders>
              <w:tl2br w:val="nil"/>
              <w:tr2bl w:val="nil"/>
            </w:tcBorders>
            <w:shd w:val="clear" w:color="auto" w:fill="auto"/>
          </w:tcPr>
          <w:p w14:paraId="2AA8E1BE">
            <w:pPr>
              <w:pStyle w:val="4"/>
              <w:rPr>
                <w:rFonts w:asciiTheme="majorBidi" w:hAnsiTheme="majorBidi" w:cstheme="majorBidi"/>
                <w:color w:val="auto"/>
                <w:sz w:val="21"/>
              </w:rPr>
            </w:pPr>
            <w:r>
              <w:rPr>
                <w:rFonts w:asciiTheme="majorBidi" w:hAnsiTheme="majorBidi" w:cstheme="majorBidi"/>
                <w:color w:val="auto"/>
                <w:sz w:val="21"/>
              </w:rPr>
              <w:t>Investigate how moral distress is experienced by nurses working in neonatal intensive</w:t>
            </w:r>
          </w:p>
          <w:p w14:paraId="2AA8E1BF">
            <w:pPr>
              <w:pStyle w:val="4"/>
              <w:rPr>
                <w:rFonts w:asciiTheme="majorBidi" w:hAnsiTheme="majorBidi" w:cstheme="majorBidi"/>
                <w:color w:val="auto"/>
                <w:sz w:val="21"/>
              </w:rPr>
            </w:pPr>
            <w:r>
              <w:rPr>
                <w:rFonts w:asciiTheme="majorBidi" w:hAnsiTheme="majorBidi" w:cstheme="majorBidi"/>
                <w:color w:val="auto"/>
                <w:sz w:val="21"/>
              </w:rPr>
              <w:t>Care and paediatric wards</w:t>
            </w:r>
          </w:p>
        </w:tc>
        <w:tc>
          <w:tcPr>
            <w:tcW w:w="888" w:type="pct"/>
            <w:tcBorders>
              <w:tl2br w:val="nil"/>
              <w:tr2bl w:val="nil"/>
            </w:tcBorders>
            <w:shd w:val="clear" w:color="auto" w:fill="auto"/>
          </w:tcPr>
          <w:p w14:paraId="2AA8E1C0">
            <w:pPr>
              <w:pStyle w:val="4"/>
              <w:rPr>
                <w:rFonts w:asciiTheme="majorBidi" w:hAnsiTheme="majorBidi" w:cstheme="majorBidi"/>
                <w:color w:val="auto"/>
                <w:kern w:val="0"/>
                <w:sz w:val="21"/>
              </w:rPr>
            </w:pPr>
            <w:r>
              <w:rPr>
                <w:rFonts w:asciiTheme="majorBidi" w:hAnsiTheme="majorBidi" w:cstheme="majorBidi"/>
                <w:color w:val="auto"/>
                <w:sz w:val="21"/>
              </w:rPr>
              <w:t>Qualitative</w:t>
            </w:r>
          </w:p>
          <w:p w14:paraId="2AA8E1C1">
            <w:pPr>
              <w:pStyle w:val="4"/>
              <w:rPr>
                <w:rFonts w:asciiTheme="majorBidi" w:hAnsiTheme="majorBidi" w:cstheme="majorBidi"/>
                <w:color w:val="auto"/>
                <w:kern w:val="0"/>
                <w:sz w:val="21"/>
              </w:rPr>
            </w:pPr>
            <w:r>
              <w:rPr>
                <w:rFonts w:asciiTheme="majorBidi" w:hAnsiTheme="majorBidi" w:cstheme="majorBidi"/>
                <w:color w:val="auto"/>
                <w:kern w:val="0"/>
                <w:sz w:val="21"/>
              </w:rPr>
              <w:t>Phenomenology</w:t>
            </w:r>
          </w:p>
          <w:p w14:paraId="2AA8E1C2">
            <w:pPr>
              <w:pStyle w:val="4"/>
              <w:rPr>
                <w:rFonts w:asciiTheme="majorBidi" w:hAnsiTheme="majorBidi" w:cstheme="majorBidi"/>
                <w:color w:val="auto"/>
                <w:kern w:val="0"/>
                <w:sz w:val="21"/>
              </w:rPr>
            </w:pPr>
            <w:r>
              <w:rPr>
                <w:rFonts w:asciiTheme="majorBidi" w:hAnsiTheme="majorBidi" w:cstheme="majorBidi"/>
                <w:color w:val="auto"/>
                <w:kern w:val="0"/>
                <w:sz w:val="21"/>
              </w:rPr>
              <w:t>descriptive method</w:t>
            </w:r>
          </w:p>
          <w:p w14:paraId="2AA8E1C3">
            <w:pPr>
              <w:pStyle w:val="4"/>
              <w:rPr>
                <w:rFonts w:asciiTheme="majorBidi" w:hAnsiTheme="majorBidi" w:cstheme="majorBidi"/>
                <w:color w:val="auto"/>
                <w:sz w:val="21"/>
              </w:rPr>
            </w:pPr>
            <w:r>
              <w:rPr>
                <w:rFonts w:asciiTheme="majorBidi" w:hAnsiTheme="majorBidi" w:cstheme="majorBidi"/>
                <w:color w:val="auto"/>
                <w:sz w:val="21"/>
              </w:rPr>
              <w:t xml:space="preserve">40 nurses </w:t>
            </w:r>
          </w:p>
          <w:p w14:paraId="2AA8E1C4">
            <w:pPr>
              <w:pStyle w:val="4"/>
              <w:rPr>
                <w:rFonts w:asciiTheme="majorBidi" w:hAnsiTheme="majorBidi" w:cstheme="majorBidi"/>
                <w:color w:val="auto"/>
                <w:kern w:val="0"/>
                <w:sz w:val="21"/>
              </w:rPr>
            </w:pPr>
            <w:r>
              <w:rPr>
                <w:rFonts w:asciiTheme="majorBidi" w:hAnsiTheme="majorBidi" w:cstheme="majorBidi"/>
                <w:color w:val="auto"/>
                <w:sz w:val="21"/>
              </w:rPr>
              <w:t>14 nurse manager</w:t>
            </w:r>
          </w:p>
          <w:p w14:paraId="2AA8E1C5">
            <w:pPr>
              <w:pStyle w:val="4"/>
              <w:rPr>
                <w:rFonts w:asciiTheme="majorBidi" w:hAnsiTheme="majorBidi" w:cstheme="majorBidi"/>
                <w:color w:val="auto"/>
                <w:sz w:val="21"/>
              </w:rPr>
            </w:pPr>
            <w:r>
              <w:rPr>
                <w:rFonts w:asciiTheme="majorBidi" w:hAnsiTheme="majorBidi" w:cstheme="majorBidi"/>
                <w:color w:val="auto"/>
                <w:sz w:val="21"/>
              </w:rPr>
              <w:t>Neonatal intensive</w:t>
            </w:r>
          </w:p>
          <w:p w14:paraId="2AA8E1C6">
            <w:pPr>
              <w:pStyle w:val="4"/>
              <w:rPr>
                <w:rFonts w:asciiTheme="majorBidi" w:hAnsiTheme="majorBidi" w:cstheme="majorBidi"/>
                <w:color w:val="auto"/>
                <w:sz w:val="21"/>
              </w:rPr>
            </w:pPr>
            <w:r>
              <w:rPr>
                <w:rFonts w:asciiTheme="majorBidi" w:hAnsiTheme="majorBidi" w:cstheme="majorBidi"/>
                <w:color w:val="auto"/>
                <w:sz w:val="21"/>
              </w:rPr>
              <w:t>Care Nurses.</w:t>
            </w:r>
          </w:p>
          <w:p w14:paraId="2AA8E1C7">
            <w:pPr>
              <w:pStyle w:val="4"/>
              <w:rPr>
                <w:rFonts w:asciiTheme="majorBidi" w:hAnsiTheme="majorBidi" w:cstheme="majorBidi"/>
                <w:color w:val="auto"/>
                <w:sz w:val="21"/>
              </w:rPr>
            </w:pPr>
            <w:r>
              <w:rPr>
                <w:rFonts w:asciiTheme="majorBidi" w:hAnsiTheme="majorBidi" w:cstheme="majorBidi"/>
                <w:color w:val="auto"/>
                <w:sz w:val="21"/>
              </w:rPr>
              <w:t>Nurse Managers</w:t>
            </w:r>
          </w:p>
        </w:tc>
        <w:tc>
          <w:tcPr>
            <w:tcW w:w="2165" w:type="pct"/>
            <w:tcBorders>
              <w:tl2br w:val="nil"/>
              <w:tr2bl w:val="nil"/>
            </w:tcBorders>
            <w:shd w:val="clear" w:color="auto" w:fill="auto"/>
          </w:tcPr>
          <w:p w14:paraId="2AA8E1C8">
            <w:pPr>
              <w:pStyle w:val="4"/>
              <w:jc w:val="both"/>
              <w:rPr>
                <w:rFonts w:asciiTheme="majorBidi" w:hAnsiTheme="majorBidi" w:cstheme="majorBidi"/>
                <w:color w:val="auto"/>
                <w:sz w:val="21"/>
              </w:rPr>
            </w:pPr>
            <w:r>
              <w:rPr>
                <w:rFonts w:asciiTheme="majorBidi" w:hAnsiTheme="majorBidi" w:cstheme="majorBidi"/>
                <w:color w:val="auto"/>
                <w:sz w:val="21"/>
              </w:rPr>
              <w:t>Six themes were identified: nurses experience morally distressing situations due to a</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variety of causes; the impact of morally distressing situations on nurses; coping mechanisms of</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nurses who experienced morally distressing situations; recommendations made by the nurses to reduce the incidence of moral distress; inadequate support measures available to nurse managers and nurse managers experience moral distress too.</w:t>
            </w:r>
          </w:p>
        </w:tc>
        <w:tc>
          <w:tcPr>
            <w:tcW w:w="285" w:type="pct"/>
            <w:tcBorders>
              <w:tl2br w:val="nil"/>
              <w:tr2bl w:val="nil"/>
            </w:tcBorders>
            <w:shd w:val="clear" w:color="auto" w:fill="auto"/>
          </w:tcPr>
          <w:p w14:paraId="2AA8E1C9">
            <w:pPr>
              <w:pStyle w:val="4"/>
              <w:rPr>
                <w:rFonts w:asciiTheme="majorBidi" w:hAnsiTheme="majorBidi" w:cstheme="majorBidi"/>
                <w:color w:val="auto"/>
                <w:sz w:val="21"/>
              </w:rPr>
            </w:pPr>
            <w:r>
              <w:rPr>
                <w:rFonts w:asciiTheme="majorBidi" w:hAnsiTheme="majorBidi" w:cstheme="majorBidi"/>
                <w:color w:val="auto"/>
                <w:sz w:val="21"/>
              </w:rPr>
              <w:t>LVL II</w:t>
            </w:r>
          </w:p>
        </w:tc>
        <w:tc>
          <w:tcPr>
            <w:tcW w:w="263" w:type="pct"/>
            <w:tcBorders>
              <w:tl2br w:val="nil"/>
              <w:tr2bl w:val="nil"/>
            </w:tcBorders>
            <w:shd w:val="clear" w:color="auto" w:fill="auto"/>
          </w:tcPr>
          <w:p w14:paraId="2AA8E1CA">
            <w:pPr>
              <w:pStyle w:val="4"/>
              <w:rPr>
                <w:rFonts w:asciiTheme="majorBidi" w:hAnsiTheme="majorBidi" w:cstheme="majorBidi"/>
                <w:color w:val="auto"/>
                <w:sz w:val="21"/>
              </w:rPr>
            </w:pPr>
            <w:r>
              <w:rPr>
                <w:rFonts w:asciiTheme="majorBidi" w:hAnsiTheme="majorBidi" w:cstheme="majorBidi"/>
                <w:color w:val="auto"/>
                <w:sz w:val="21"/>
              </w:rPr>
              <w:t>a,b,c,d,e</w:t>
            </w:r>
          </w:p>
        </w:tc>
      </w:tr>
      <w:tr w14:paraId="2AA8E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CC">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&lt;EndNote&gt;&lt;Cite&gt;&lt;Author&gt;Özbaş&lt;/Author&gt;&lt;Year&gt;2021&lt;/Year&gt;&lt;RecNum&gt;373&lt;/RecNum&gt;&lt;DisplayText&gt;(Özbaş, Kovanci &amp;amp; Köken, 2021)&lt;/DisplayText&gt;&lt;record&gt;&lt;rec-number&gt;373&lt;/rec-number&gt;&lt;foreign-keys&gt;&lt;key app="EN" db-id="daxr9sxtlpdx2peae9dx2f5o0vr2zzews552" timestamp="1704548147"&gt;373&lt;/key&gt;&lt;/foreign-keys&gt;&lt;ref-type name="Journal Article"&gt;17&lt;/ref-type&gt;&lt;contributors&gt;&lt;authors&gt;&lt;author&gt;Özbaş, Azize Atli&lt;/author&gt;&lt;author&gt;Kovanci, Mustafa Sabri&lt;/author&gt;&lt;author&gt;Köken, Arif Hüdai&lt;/author&gt;&lt;/authors&gt;&lt;/contributors&gt;&lt;titles&gt;&lt;title&gt;Moral distress in oncology nurses: A qualitative study&lt;/title&gt;&lt;secondary-title&gt;European Journal of Oncology Nursing&lt;/secondary-title&gt;&lt;/titles&gt;&lt;periodical&gt;&lt;full-title&gt;European Journal of Oncology Nursing&lt;/full-title&gt;&lt;/periodical&gt;&lt;pages&gt;102038&lt;/pages&gt;&lt;volume&gt;54&lt;/volume&gt;&lt;dates&gt;&lt;year&gt;2021&lt;/year&gt;&lt;/dates&gt;&lt;isbn&gt;1462-3889&lt;/isbn&gt;&lt;urls&gt;&lt;/urls&gt;&lt;/record&gt;&lt;/Cite&gt;&lt;/EndNote&gt;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Özbaş</w:t>
            </w:r>
            <w:r>
              <w:rPr>
                <w:rFonts w:hint="eastAsia" w:asciiTheme="majorBidi" w:hAnsiTheme="majorBidi" w:eastAsiaTheme="majorEastAsia" w:cstheme="majorBidi"/>
                <w:i w:val="0"/>
                <w:iCs w:val="0"/>
                <w:color w:val="auto"/>
                <w:sz w:val="21"/>
                <w:lang w:val="en-US" w:eastAsia="zh-CN"/>
              </w:rPr>
              <w:t xml:space="preserve"> et al.</w:t>
            </w:r>
            <w:r>
              <w:rPr>
                <w:rFonts w:asciiTheme="majorBidi" w:hAnsiTheme="majorBidi" w:eastAsiaTheme="majorEastAsia" w:cstheme="majorBidi"/>
                <w:i w:val="0"/>
                <w:iCs w:val="0"/>
                <w:color w:val="auto"/>
                <w:sz w:val="21"/>
              </w:rPr>
              <w:t xml:space="preserve">,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2021)</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29</w:t>
            </w:r>
            <w:r>
              <w:rPr>
                <w:rFonts w:hint="eastAsia" w:asciiTheme="majorBidi" w:hAnsiTheme="majorBidi" w:eastAsiaTheme="majorEastAsia" w:cstheme="majorBidi"/>
                <w:i w:val="0"/>
                <w:iCs w:val="0"/>
                <w:color w:val="auto"/>
                <w:sz w:val="21"/>
                <w:lang w:val="en-US" w:eastAsia="zh-CN"/>
              </w:rPr>
              <w:t>]</w:t>
            </w:r>
          </w:p>
          <w:p w14:paraId="2AA8E1CD">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Turkish</w:t>
            </w:r>
          </w:p>
        </w:tc>
        <w:tc>
          <w:tcPr>
            <w:tcW w:w="852" w:type="pct"/>
            <w:tcBorders>
              <w:tl2br w:val="nil"/>
              <w:tr2bl w:val="nil"/>
            </w:tcBorders>
            <w:shd w:val="clear" w:color="auto" w:fill="auto"/>
          </w:tcPr>
          <w:p w14:paraId="2AA8E1CE">
            <w:pPr>
              <w:pStyle w:val="4"/>
              <w:rPr>
                <w:rFonts w:asciiTheme="majorBidi" w:hAnsiTheme="majorBidi" w:cstheme="majorBidi"/>
                <w:color w:val="auto"/>
                <w:sz w:val="21"/>
              </w:rPr>
            </w:pPr>
            <w:r>
              <w:rPr>
                <w:rFonts w:asciiTheme="majorBidi" w:hAnsiTheme="majorBidi" w:cstheme="majorBidi"/>
                <w:color w:val="auto"/>
                <w:sz w:val="21"/>
              </w:rPr>
              <w:t>Explore the sources of moral distress in oncology nurses</w:t>
            </w:r>
          </w:p>
        </w:tc>
        <w:tc>
          <w:tcPr>
            <w:tcW w:w="888" w:type="pct"/>
            <w:tcBorders>
              <w:tl2br w:val="nil"/>
              <w:tr2bl w:val="nil"/>
            </w:tcBorders>
            <w:shd w:val="clear" w:color="auto" w:fill="auto"/>
          </w:tcPr>
          <w:p w14:paraId="2AA8E1CF">
            <w:pPr>
              <w:pStyle w:val="4"/>
              <w:rPr>
                <w:rFonts w:asciiTheme="majorBidi" w:hAnsiTheme="majorBidi" w:cstheme="majorBidi"/>
                <w:color w:val="auto"/>
                <w:sz w:val="21"/>
              </w:rPr>
            </w:pPr>
            <w:r>
              <w:rPr>
                <w:rFonts w:asciiTheme="majorBidi" w:hAnsiTheme="majorBidi" w:cstheme="majorBidi"/>
                <w:color w:val="auto"/>
                <w:sz w:val="21"/>
              </w:rPr>
              <w:t>qualitative</w:t>
            </w:r>
          </w:p>
          <w:p w14:paraId="2AA8E1D0">
            <w:pPr>
              <w:pStyle w:val="4"/>
              <w:rPr>
                <w:rFonts w:asciiTheme="majorBidi" w:hAnsiTheme="majorBidi" w:cstheme="majorBidi"/>
                <w:color w:val="auto"/>
                <w:sz w:val="21"/>
              </w:rPr>
            </w:pPr>
            <w:r>
              <w:rPr>
                <w:rFonts w:asciiTheme="majorBidi" w:hAnsiTheme="majorBidi" w:cstheme="majorBidi"/>
                <w:color w:val="auto"/>
                <w:sz w:val="21"/>
              </w:rPr>
              <w:t>phenomenological study</w:t>
            </w:r>
          </w:p>
          <w:p w14:paraId="2AA8E1D2">
            <w:pPr>
              <w:pStyle w:val="4"/>
              <w:rPr>
                <w:rFonts w:asciiTheme="majorBidi" w:hAnsiTheme="majorBidi" w:cstheme="majorBidi"/>
                <w:color w:val="auto"/>
                <w:kern w:val="0"/>
                <w:sz w:val="21"/>
              </w:rPr>
            </w:pPr>
            <w:r>
              <w:rPr>
                <w:rFonts w:asciiTheme="majorBidi" w:hAnsiTheme="majorBidi" w:cstheme="majorBidi"/>
                <w:color w:val="auto"/>
                <w:sz w:val="21"/>
              </w:rPr>
              <w:t>14 oncology nurses</w:t>
            </w:r>
          </w:p>
        </w:tc>
        <w:tc>
          <w:tcPr>
            <w:tcW w:w="2165" w:type="pct"/>
            <w:tcBorders>
              <w:tl2br w:val="nil"/>
              <w:tr2bl w:val="nil"/>
            </w:tcBorders>
            <w:shd w:val="clear" w:color="auto" w:fill="auto"/>
          </w:tcPr>
          <w:p w14:paraId="2AA8E1D3">
            <w:pPr>
              <w:pStyle w:val="4"/>
              <w:jc w:val="both"/>
              <w:rPr>
                <w:rFonts w:asciiTheme="majorBidi" w:hAnsiTheme="majorBidi" w:cstheme="majorBidi"/>
                <w:color w:val="auto"/>
                <w:sz w:val="21"/>
              </w:rPr>
            </w:pPr>
            <w:r>
              <w:rPr>
                <w:rFonts w:asciiTheme="majorBidi" w:hAnsiTheme="majorBidi" w:cstheme="majorBidi"/>
                <w:color w:val="auto"/>
                <w:sz w:val="21"/>
              </w:rPr>
              <w:t>Four main themes were identified in the study. The first theme, related to the failure of quality of care,</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includes the failure to provide holistic care and competence problems (not feeling competent in oncology</w:t>
            </w:r>
          </w:p>
          <w:p w14:paraId="2AA8E1D4">
            <w:pPr>
              <w:pStyle w:val="4"/>
              <w:jc w:val="both"/>
              <w:rPr>
                <w:rFonts w:asciiTheme="majorBidi" w:hAnsiTheme="majorBidi" w:cstheme="majorBidi"/>
                <w:color w:val="auto"/>
                <w:sz w:val="21"/>
              </w:rPr>
            </w:pPr>
            <w:r>
              <w:rPr>
                <w:rFonts w:asciiTheme="majorBidi" w:hAnsiTheme="majorBidi" w:cstheme="majorBidi"/>
                <w:color w:val="auto"/>
                <w:sz w:val="21"/>
              </w:rPr>
              <w:t>practice). The second theme includes biomedical ethical issues commonly observed in the field of oncology. The</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third theme includes treatment and care practices, consisting of futile treatments, lack of regulation for ’do not</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resuscitate’ orders and decisions to limit life-prolonging treatment, limited informational authority of nurses, and</w:t>
            </w:r>
          </w:p>
          <w:p w14:paraId="2AA8E1D5">
            <w:pPr>
              <w:pStyle w:val="4"/>
              <w:jc w:val="both"/>
              <w:rPr>
                <w:rFonts w:asciiTheme="majorBidi" w:hAnsiTheme="majorBidi" w:cstheme="majorBidi"/>
                <w:color w:val="auto"/>
                <w:sz w:val="21"/>
              </w:rPr>
            </w:pPr>
            <w:r>
              <w:rPr>
                <w:rFonts w:asciiTheme="majorBidi" w:hAnsiTheme="majorBidi" w:cstheme="majorBidi"/>
                <w:color w:val="auto"/>
                <w:sz w:val="21"/>
              </w:rPr>
              <w:t>problems related to educational practices on the patient. The final theme includes problems arising from the</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health care system and institution’s management and the need for regulation to support ethical decisions.</w:t>
            </w:r>
          </w:p>
        </w:tc>
        <w:tc>
          <w:tcPr>
            <w:tcW w:w="285" w:type="pct"/>
            <w:tcBorders>
              <w:tl2br w:val="nil"/>
              <w:tr2bl w:val="nil"/>
            </w:tcBorders>
            <w:shd w:val="clear" w:color="auto" w:fill="auto"/>
          </w:tcPr>
          <w:p w14:paraId="2AA8E1D6">
            <w:pPr>
              <w:pStyle w:val="4"/>
              <w:rPr>
                <w:rFonts w:asciiTheme="majorBidi" w:hAnsiTheme="majorBidi" w:cstheme="majorBidi"/>
                <w:color w:val="auto"/>
                <w:sz w:val="21"/>
              </w:rPr>
            </w:pPr>
            <w:r>
              <w:rPr>
                <w:rFonts w:asciiTheme="majorBidi" w:hAnsiTheme="majorBidi" w:cstheme="majorBidi"/>
                <w:color w:val="auto"/>
                <w:sz w:val="21"/>
              </w:rPr>
              <w:t>LVL II</w:t>
            </w:r>
          </w:p>
        </w:tc>
        <w:tc>
          <w:tcPr>
            <w:tcW w:w="263" w:type="pct"/>
            <w:tcBorders>
              <w:tl2br w:val="nil"/>
              <w:tr2bl w:val="nil"/>
            </w:tcBorders>
            <w:shd w:val="clear" w:color="auto" w:fill="auto"/>
          </w:tcPr>
          <w:p w14:paraId="2AA8E1D7">
            <w:pPr>
              <w:pStyle w:val="4"/>
              <w:rPr>
                <w:rFonts w:asciiTheme="majorBidi" w:hAnsiTheme="majorBidi" w:cstheme="majorBidi"/>
                <w:color w:val="auto"/>
                <w:sz w:val="21"/>
              </w:rPr>
            </w:pPr>
            <w:r>
              <w:rPr>
                <w:rFonts w:asciiTheme="majorBidi" w:hAnsiTheme="majorBidi" w:cstheme="majorBidi"/>
                <w:color w:val="auto"/>
                <w:sz w:val="21"/>
              </w:rPr>
              <w:t>a,b,c,d,e</w:t>
            </w:r>
          </w:p>
        </w:tc>
      </w:tr>
      <w:tr w14:paraId="2AA8E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D9">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&lt;EndNote&gt;&lt;Cite&gt;&lt;Author&gt;De Brasi&lt;/Author&gt;&lt;Year&gt;2021&lt;/Year&gt;&lt;RecNum&gt;379&lt;/RecNum&gt;&lt;DisplayText&gt;(De Brasi et al., 2021)&lt;/DisplayText&gt;&lt;record&gt;&lt;rec-number&gt;379&lt;/rec-number&gt;&lt;foreign-keys&gt;&lt;key app="EN" db-id="daxr9sxtlpdx2peae9dx2f5o0vr2zzews552" timestamp="1705241780"&gt;379&lt;/key&gt;&lt;/foreign-keys&gt;&lt;ref-type name="Journal Article"&gt;17&lt;/ref-type&gt;&lt;contributors&gt;&lt;authors&gt;&lt;author&gt;De Brasi, E. L.&lt;/author&gt;&lt;author&gt;Villa, G.&lt;/author&gt;&lt;author&gt;Giannetta, N.&lt;/author&gt;&lt;author&gt;Ercolani, S.&lt;/author&gt;&lt;author&gt;Gandini, E. L. M.&lt;/author&gt;&lt;author&gt;Moranda, D.&lt;/author&gt;&lt;author&gt;Manara, D. F.&lt;/author&gt;&lt;/authors&gt;&lt;/contributors&gt;&lt;titles&gt;&lt;title&gt;Nurses&amp;apos; moral distress in end-of-life care: A qualitative study&lt;/title&gt;&lt;secondary-title&gt;Nursing Ethics&lt;/secondary-title&gt;&lt;/titles&gt;&lt;periodical&gt;&lt;full-title&gt;Nursing ethics&lt;/full-title&gt;&lt;/periodical&gt;&lt;dates&gt;&lt;year&gt;2021&lt;/year&gt;&lt;/dates&gt;&lt;isbn&gt;0969-7330&lt;/isbn&gt;&lt;urls&gt;&lt;/urls&gt;&lt;electronic-resource-num&gt;10.1177/0969733020964859&lt;/electronic-resource-num&gt;&lt;remote-database-name&gt;Elsevier&lt;/remote-database-name&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De Brasi et al.,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2021)</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22</w:t>
            </w:r>
            <w:r>
              <w:rPr>
                <w:rFonts w:hint="eastAsia" w:asciiTheme="majorBidi" w:hAnsiTheme="majorBidi" w:eastAsiaTheme="majorEastAsia" w:cstheme="majorBidi"/>
                <w:i w:val="0"/>
                <w:iCs w:val="0"/>
                <w:color w:val="auto"/>
                <w:sz w:val="21"/>
                <w:lang w:val="en-US" w:eastAsia="zh-CN"/>
              </w:rPr>
              <w:t>]</w:t>
            </w:r>
          </w:p>
          <w:p w14:paraId="2AA8E1DA">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Italy</w:t>
            </w:r>
          </w:p>
        </w:tc>
        <w:tc>
          <w:tcPr>
            <w:tcW w:w="852" w:type="pct"/>
            <w:tcBorders>
              <w:tl2br w:val="nil"/>
              <w:tr2bl w:val="nil"/>
            </w:tcBorders>
            <w:shd w:val="clear" w:color="auto" w:fill="auto"/>
          </w:tcPr>
          <w:p w14:paraId="2AA8E1DB">
            <w:pPr>
              <w:pStyle w:val="4"/>
              <w:rPr>
                <w:rFonts w:asciiTheme="majorBidi" w:hAnsiTheme="majorBidi" w:cstheme="majorBidi"/>
                <w:color w:val="auto"/>
                <w:sz w:val="21"/>
              </w:rPr>
            </w:pPr>
            <w:r>
              <w:rPr>
                <w:rFonts w:asciiTheme="majorBidi" w:hAnsiTheme="majorBidi" w:cstheme="majorBidi"/>
                <w:color w:val="auto"/>
                <w:sz w:val="21"/>
              </w:rPr>
              <w:t>Explore the causes of morally distressing</w:t>
            </w:r>
          </w:p>
          <w:p w14:paraId="2AA8E1DC">
            <w:pPr>
              <w:pStyle w:val="4"/>
              <w:rPr>
                <w:rFonts w:asciiTheme="majorBidi" w:hAnsiTheme="majorBidi" w:cstheme="majorBidi"/>
                <w:color w:val="auto"/>
                <w:sz w:val="21"/>
              </w:rPr>
            </w:pPr>
            <w:r>
              <w:rPr>
                <w:rFonts w:asciiTheme="majorBidi" w:hAnsiTheme="majorBidi" w:cstheme="majorBidi"/>
                <w:color w:val="auto"/>
                <w:sz w:val="21"/>
              </w:rPr>
              <w:t>Events, feelings experienced by nurses and coping strategies utili</w:t>
            </w:r>
            <w:r>
              <w:rPr>
                <w:rFonts w:hint="eastAsia" w:asciiTheme="majorBidi" w:hAnsiTheme="majorBidi" w:cstheme="majorBidi"/>
                <w:color w:val="auto"/>
                <w:sz w:val="21"/>
                <w:lang w:val="en-US" w:eastAsia="zh-CN"/>
              </w:rPr>
              <w:t>z</w:t>
            </w:r>
            <w:r>
              <w:rPr>
                <w:rFonts w:asciiTheme="majorBidi" w:hAnsiTheme="majorBidi" w:cstheme="majorBidi"/>
                <w:color w:val="auto"/>
                <w:sz w:val="21"/>
              </w:rPr>
              <w:t xml:space="preserve">ed by a nursing population at an </w:t>
            </w:r>
            <w:r>
              <w:rPr>
                <w:rFonts w:hint="eastAsia" w:asciiTheme="majorBidi" w:hAnsiTheme="majorBidi" w:cstheme="majorBidi"/>
                <w:color w:val="auto"/>
                <w:sz w:val="21"/>
                <w:lang w:val="en-US" w:eastAsia="zh-CN"/>
              </w:rPr>
              <w:t>I</w:t>
            </w:r>
            <w:r>
              <w:rPr>
                <w:rFonts w:asciiTheme="majorBidi" w:hAnsiTheme="majorBidi" w:cstheme="majorBidi"/>
                <w:color w:val="auto"/>
                <w:sz w:val="21"/>
              </w:rPr>
              <w:t>talian</w:t>
            </w:r>
            <w:r>
              <w:rPr>
                <w:rFonts w:hint="eastAsia" w:asciiTheme="majorBidi" w:hAnsiTheme="majorBidi" w:cstheme="majorBidi"/>
                <w:color w:val="auto"/>
                <w:sz w:val="21"/>
                <w:lang w:val="en-US" w:eastAsia="zh-CN"/>
              </w:rPr>
              <w:t xml:space="preserve"> t</w:t>
            </w:r>
            <w:r>
              <w:rPr>
                <w:rFonts w:asciiTheme="majorBidi" w:hAnsiTheme="majorBidi" w:cstheme="majorBidi"/>
                <w:color w:val="auto"/>
                <w:sz w:val="21"/>
              </w:rPr>
              <w:t>eaching hospital. A secondary outcome of this qualitative study was to analyse whether palliative care or</w:t>
            </w:r>
            <w:r>
              <w:rPr>
                <w:rFonts w:hint="eastAsia" w:asciiTheme="majorBidi" w:hAnsiTheme="majorBidi" w:cstheme="majorBidi"/>
                <w:color w:val="auto"/>
                <w:sz w:val="21"/>
                <w:lang w:val="en-US" w:eastAsia="zh-CN"/>
              </w:rPr>
              <w:t xml:space="preserve"> e</w:t>
            </w:r>
            <w:r>
              <w:rPr>
                <w:rFonts w:asciiTheme="majorBidi" w:hAnsiTheme="majorBidi" w:cstheme="majorBidi"/>
                <w:color w:val="auto"/>
                <w:sz w:val="21"/>
              </w:rPr>
              <w:t>nd-of-life care education may reduce morally distressing events.</w:t>
            </w:r>
          </w:p>
        </w:tc>
        <w:tc>
          <w:tcPr>
            <w:tcW w:w="888" w:type="pct"/>
            <w:tcBorders>
              <w:tl2br w:val="nil"/>
              <w:tr2bl w:val="nil"/>
            </w:tcBorders>
            <w:shd w:val="clear" w:color="auto" w:fill="auto"/>
          </w:tcPr>
          <w:p w14:paraId="2AA8E1DD">
            <w:pPr>
              <w:pStyle w:val="4"/>
              <w:rPr>
                <w:rFonts w:asciiTheme="majorBidi" w:hAnsiTheme="majorBidi" w:cstheme="majorBidi"/>
                <w:color w:val="auto"/>
                <w:sz w:val="21"/>
              </w:rPr>
            </w:pPr>
            <w:r>
              <w:rPr>
                <w:rFonts w:hint="eastAsia" w:asciiTheme="majorBidi" w:hAnsiTheme="majorBidi" w:cstheme="majorBidi"/>
                <w:color w:val="auto"/>
                <w:sz w:val="21"/>
                <w:lang w:val="en-US" w:eastAsia="zh-CN"/>
              </w:rPr>
              <w:t>Q</w:t>
            </w:r>
            <w:r>
              <w:rPr>
                <w:rFonts w:asciiTheme="majorBidi" w:hAnsiTheme="majorBidi" w:cstheme="majorBidi"/>
                <w:color w:val="auto"/>
                <w:sz w:val="21"/>
              </w:rPr>
              <w:t>ualitative</w:t>
            </w:r>
          </w:p>
          <w:p w14:paraId="2AA8E1DE">
            <w:pPr>
              <w:pStyle w:val="4"/>
              <w:rPr>
                <w:rFonts w:asciiTheme="majorBidi" w:hAnsiTheme="majorBidi" w:cstheme="majorBidi"/>
                <w:color w:val="auto"/>
                <w:sz w:val="21"/>
              </w:rPr>
            </w:pPr>
            <w:r>
              <w:rPr>
                <w:rFonts w:asciiTheme="majorBidi" w:hAnsiTheme="majorBidi" w:cstheme="majorBidi"/>
                <w:color w:val="auto"/>
                <w:sz w:val="21"/>
              </w:rPr>
              <w:t>hermeneutic-phenomenological qualitative</w:t>
            </w:r>
          </w:p>
          <w:p w14:paraId="2AA8E1DF">
            <w:pPr>
              <w:pStyle w:val="4"/>
              <w:rPr>
                <w:rFonts w:asciiTheme="majorBidi" w:hAnsiTheme="majorBidi" w:cstheme="majorBidi"/>
                <w:color w:val="auto"/>
                <w:sz w:val="21"/>
              </w:rPr>
            </w:pPr>
            <w:r>
              <w:rPr>
                <w:rFonts w:asciiTheme="majorBidi" w:hAnsiTheme="majorBidi" w:cstheme="majorBidi"/>
                <w:color w:val="auto"/>
                <w:sz w:val="21"/>
              </w:rPr>
              <w:t>28 Onco-haematological</w:t>
            </w:r>
          </w:p>
          <w:p w14:paraId="2AA8E1E0">
            <w:pPr>
              <w:pStyle w:val="4"/>
              <w:rPr>
                <w:rFonts w:asciiTheme="majorBidi" w:hAnsiTheme="majorBidi" w:cstheme="majorBidi"/>
                <w:color w:val="auto"/>
                <w:sz w:val="21"/>
              </w:rPr>
            </w:pPr>
            <w:r>
              <w:rPr>
                <w:rFonts w:asciiTheme="majorBidi" w:hAnsiTheme="majorBidi" w:cstheme="majorBidi"/>
                <w:color w:val="auto"/>
                <w:sz w:val="21"/>
              </w:rPr>
              <w:t>Nurses</w:t>
            </w:r>
          </w:p>
        </w:tc>
        <w:tc>
          <w:tcPr>
            <w:tcW w:w="2165" w:type="pct"/>
            <w:tcBorders>
              <w:tl2br w:val="nil"/>
              <w:tr2bl w:val="nil"/>
            </w:tcBorders>
            <w:shd w:val="clear" w:color="auto" w:fill="auto"/>
          </w:tcPr>
          <w:p w14:paraId="2AA8E1E1">
            <w:pPr>
              <w:pStyle w:val="4"/>
              <w:jc w:val="both"/>
              <w:rPr>
                <w:rFonts w:asciiTheme="majorBidi" w:hAnsiTheme="majorBidi" w:cstheme="majorBidi"/>
                <w:color w:val="auto"/>
                <w:sz w:val="21"/>
              </w:rPr>
            </w:pPr>
            <w:r>
              <w:rPr>
                <w:rFonts w:asciiTheme="majorBidi" w:hAnsiTheme="majorBidi" w:cstheme="majorBidi"/>
                <w:color w:val="auto"/>
                <w:sz w:val="21"/>
              </w:rPr>
              <w:t>Six main themes emerged from the interview analyses: 1) the causes of moral distress; 2)</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feelings and emotions experienced during morally distressing events; 3) factors that affect the experience</w:t>
            </w:r>
          </w:p>
          <w:p w14:paraId="2AA8E1E2">
            <w:pPr>
              <w:pStyle w:val="4"/>
              <w:jc w:val="both"/>
              <w:rPr>
                <w:rFonts w:asciiTheme="majorBidi" w:hAnsiTheme="majorBidi" w:cstheme="majorBidi"/>
                <w:color w:val="auto"/>
                <w:sz w:val="21"/>
                <w:lang w:val="en-US" w:eastAsia="zh-CN"/>
              </w:rPr>
            </w:pPr>
            <w:r>
              <w:rPr>
                <w:rFonts w:asciiTheme="majorBidi" w:hAnsiTheme="majorBidi" w:cstheme="majorBidi"/>
                <w:color w:val="auto"/>
                <w:sz w:val="21"/>
              </w:rPr>
              <w:t>of moral distress; 4) strategies for coping with moral distress; 5) recovering from morally distressing</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 xml:space="preserve">events; and 6) end-of-life accompaniment. </w:t>
            </w:r>
            <w:r>
              <w:rPr>
                <w:rFonts w:hint="eastAsia" w:asciiTheme="majorBidi" w:hAnsiTheme="majorBidi" w:cstheme="majorBidi"/>
                <w:color w:val="auto"/>
                <w:sz w:val="21"/>
                <w:lang w:val="en-US" w:eastAsia="zh-CN"/>
              </w:rPr>
              <w:t xml:space="preserve"> </w:t>
            </w:r>
          </w:p>
          <w:p w14:paraId="2AA8E1E3">
            <w:pPr>
              <w:pStyle w:val="4"/>
              <w:jc w:val="both"/>
              <w:rPr>
                <w:rFonts w:asciiTheme="majorBidi" w:hAnsiTheme="majorBidi" w:cstheme="majorBidi"/>
                <w:color w:val="auto"/>
                <w:sz w:val="21"/>
              </w:rPr>
            </w:pPr>
            <w:r>
              <w:rPr>
                <w:rFonts w:asciiTheme="majorBidi" w:hAnsiTheme="majorBidi" w:cstheme="majorBidi"/>
                <w:color w:val="auto"/>
                <w:sz w:val="21"/>
              </w:rPr>
              <w:t>Varying opinions regarding the usefulness of palliative care</w:t>
            </w:r>
          </w:p>
          <w:p w14:paraId="2AA8E1E4">
            <w:pPr>
              <w:pStyle w:val="4"/>
              <w:jc w:val="both"/>
              <w:rPr>
                <w:rFonts w:asciiTheme="majorBidi" w:hAnsiTheme="majorBidi" w:cstheme="majorBidi"/>
                <w:color w:val="auto"/>
                <w:sz w:val="21"/>
              </w:rPr>
            </w:pPr>
            <w:r>
              <w:rPr>
                <w:rFonts w:asciiTheme="majorBidi" w:hAnsiTheme="majorBidi" w:cstheme="majorBidi"/>
                <w:color w:val="auto"/>
                <w:sz w:val="21"/>
              </w:rPr>
              <w:t>education existed. Some nurses stated that participation in end-of-life courses did not help them cope with morally distressing events in the ward, and they believe that existing courses should be strengthened and better structured.</w:t>
            </w:r>
          </w:p>
        </w:tc>
        <w:tc>
          <w:tcPr>
            <w:tcW w:w="285" w:type="pct"/>
            <w:tcBorders>
              <w:tl2br w:val="nil"/>
              <w:tr2bl w:val="nil"/>
            </w:tcBorders>
            <w:shd w:val="clear" w:color="auto" w:fill="auto"/>
          </w:tcPr>
          <w:p w14:paraId="2AA8E1E5">
            <w:pPr>
              <w:pStyle w:val="4"/>
              <w:rPr>
                <w:rFonts w:asciiTheme="majorBidi" w:hAnsiTheme="majorBidi" w:cstheme="majorBidi"/>
                <w:color w:val="auto"/>
                <w:sz w:val="21"/>
              </w:rPr>
            </w:pPr>
            <w:r>
              <w:rPr>
                <w:rFonts w:asciiTheme="majorBidi" w:hAnsiTheme="majorBidi" w:cstheme="majorBidi"/>
                <w:color w:val="auto"/>
                <w:sz w:val="21"/>
              </w:rPr>
              <w:t>LVL II</w:t>
            </w:r>
          </w:p>
        </w:tc>
        <w:tc>
          <w:tcPr>
            <w:tcW w:w="263" w:type="pct"/>
            <w:tcBorders>
              <w:tl2br w:val="nil"/>
              <w:tr2bl w:val="nil"/>
            </w:tcBorders>
            <w:shd w:val="clear" w:color="auto" w:fill="auto"/>
          </w:tcPr>
          <w:p w14:paraId="2AA8E1E6">
            <w:pPr>
              <w:pStyle w:val="4"/>
              <w:rPr>
                <w:rFonts w:asciiTheme="majorBidi" w:hAnsiTheme="majorBidi" w:cstheme="majorBidi"/>
                <w:color w:val="auto"/>
                <w:sz w:val="21"/>
              </w:rPr>
            </w:pPr>
            <w:r>
              <w:rPr>
                <w:rFonts w:asciiTheme="majorBidi" w:hAnsiTheme="majorBidi" w:cstheme="majorBidi"/>
                <w:color w:val="auto"/>
                <w:sz w:val="21"/>
              </w:rPr>
              <w:t>a,b,c,d,e</w:t>
            </w:r>
          </w:p>
        </w:tc>
      </w:tr>
      <w:tr w14:paraId="2AA8E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E8">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&lt;EndNote&gt;&lt;Cite&gt;&lt;Author&gt;Nikbakht Nasrabadi&lt;/Author&gt;&lt;Year&gt;2021&lt;/Year&gt;&lt;RecNum&gt;381&lt;/RecNum&gt;&lt;DisplayText&gt;(Nikbakht Nasrabadi et al., 2021)&lt;/DisplayText&gt;&lt;record&gt;&lt;rec-number&gt;381&lt;/rec-number&gt;&lt;foreign-keys&gt;&lt;key app="EN" db-id="daxr9sxtlpdx2peae9dx2f5o0vr2zzews552" timestamp="1705243765"&gt;381&lt;/key&gt;&lt;/foreign-keys&gt;&lt;ref-type name="Journal Article"&gt;17&lt;/ref-type&gt;&lt;contributors&gt;&lt;authors&gt;&lt;author&gt;Nikbakht Nasrabadi, Alireza&lt;/author&gt;&lt;author&gt;Wibisono, Ahmad Hasyim&lt;/author&gt;&lt;author&gt;Allen, Kelly-Ann&lt;/author&gt;&lt;author&gt;Yaghoobzadeh, Ameneh&lt;/author&gt;&lt;author&gt;Bit-Lian, Yee&lt;/author&gt;&lt;/authors&gt;&lt;/contributors&gt;&lt;titles&gt;&lt;title&gt;Exploring the experiences of nurses’ moral distress in long-term care of older adults: a phenomenological study&lt;/title&gt;&lt;secondary-title&gt;BMC Nursing&lt;/secondary-title&gt;&lt;/titles&gt;&lt;periodical&gt;&lt;full-title&gt;BMC nursing&lt;/full-title&gt;&lt;abbr-1&gt;BMC Nurs&lt;/abbr-1&gt;&lt;/periodical&gt;&lt;pages&gt;156&lt;/pages&gt;&lt;volume&gt;20&lt;/volume&gt;&lt;number&gt;1&lt;/number&gt;&lt;dates&gt;&lt;year&gt;2021&lt;/year&gt;&lt;pub-dates&gt;&lt;date&gt;2021/08/31&lt;/date&gt;&lt;/pub-dates&gt;&lt;/dates&gt;&lt;isbn&gt;1472-6955&lt;/isbn&gt;&lt;urls&gt;&lt;related-urls&gt;&lt;url&gt;https://doi.org/10.1186/s12912-021-00675-3&lt;/url&gt;&lt;/related-urls&gt;&lt;/urls&gt;&lt;electronic-resource-num&gt;10.1186/s12912-021-00675-3&lt;/electronic-resource-num&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Nasrabadi et al.,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2021)</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32</w:t>
            </w:r>
            <w:r>
              <w:rPr>
                <w:rFonts w:hint="eastAsia" w:asciiTheme="majorBidi" w:hAnsiTheme="majorBidi" w:eastAsiaTheme="majorEastAsia" w:cstheme="majorBidi"/>
                <w:i w:val="0"/>
                <w:iCs w:val="0"/>
                <w:color w:val="auto"/>
                <w:sz w:val="21"/>
                <w:lang w:val="en-US" w:eastAsia="zh-CN"/>
              </w:rPr>
              <w:t>]</w:t>
            </w:r>
          </w:p>
          <w:p w14:paraId="2AA8E1E9">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Iran</w:t>
            </w:r>
          </w:p>
        </w:tc>
        <w:tc>
          <w:tcPr>
            <w:tcW w:w="852" w:type="pct"/>
            <w:tcBorders>
              <w:tl2br w:val="nil"/>
              <w:tr2bl w:val="nil"/>
            </w:tcBorders>
            <w:shd w:val="clear" w:color="auto" w:fill="auto"/>
          </w:tcPr>
          <w:p w14:paraId="2AA8E1EA">
            <w:pPr>
              <w:pStyle w:val="4"/>
              <w:rPr>
                <w:rFonts w:asciiTheme="majorBidi" w:hAnsiTheme="majorBidi" w:cstheme="majorBidi"/>
                <w:color w:val="auto"/>
                <w:sz w:val="21"/>
              </w:rPr>
            </w:pPr>
            <w:r>
              <w:rPr>
                <w:rFonts w:asciiTheme="majorBidi" w:hAnsiTheme="majorBidi" w:cstheme="majorBidi"/>
                <w:color w:val="auto"/>
                <w:sz w:val="21"/>
              </w:rPr>
              <w:t>Explore the</w:t>
            </w:r>
            <w:r>
              <w:rPr>
                <w:rFonts w:hint="eastAsia" w:asciiTheme="majorBidi" w:hAnsiTheme="majorBidi" w:cstheme="majorBidi"/>
                <w:color w:val="auto"/>
                <w:sz w:val="21"/>
                <w:lang w:val="en-US" w:eastAsia="zh-CN"/>
              </w:rPr>
              <w:t xml:space="preserve"> e</w:t>
            </w:r>
            <w:r>
              <w:rPr>
                <w:rFonts w:asciiTheme="majorBidi" w:hAnsiTheme="majorBidi" w:cstheme="majorBidi"/>
                <w:color w:val="auto"/>
                <w:sz w:val="21"/>
              </w:rPr>
              <w:t>xperiences of nurses’ moral distress in the long-term care of older adults via a</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phenomenological study.</w:t>
            </w:r>
          </w:p>
        </w:tc>
        <w:tc>
          <w:tcPr>
            <w:tcW w:w="888" w:type="pct"/>
            <w:tcBorders>
              <w:tl2br w:val="nil"/>
              <w:tr2bl w:val="nil"/>
            </w:tcBorders>
            <w:shd w:val="clear" w:color="auto" w:fill="auto"/>
          </w:tcPr>
          <w:p w14:paraId="2AA8E1EB">
            <w:pPr>
              <w:pStyle w:val="4"/>
              <w:rPr>
                <w:rFonts w:asciiTheme="majorBidi" w:hAnsiTheme="majorBidi" w:cstheme="majorBidi"/>
                <w:color w:val="auto"/>
                <w:kern w:val="0"/>
                <w:sz w:val="21"/>
              </w:rPr>
            </w:pPr>
            <w:r>
              <w:rPr>
                <w:rFonts w:asciiTheme="majorBidi" w:hAnsiTheme="majorBidi" w:cstheme="majorBidi"/>
                <w:color w:val="auto"/>
                <w:kern w:val="0"/>
                <w:sz w:val="21"/>
              </w:rPr>
              <w:t>Qualitative</w:t>
            </w:r>
          </w:p>
          <w:p w14:paraId="2AA8E1EC">
            <w:pPr>
              <w:pStyle w:val="4"/>
              <w:rPr>
                <w:rFonts w:asciiTheme="majorBidi" w:hAnsiTheme="majorBidi" w:cstheme="majorBidi"/>
                <w:color w:val="auto"/>
                <w:kern w:val="0"/>
                <w:sz w:val="21"/>
              </w:rPr>
            </w:pPr>
            <w:r>
              <w:rPr>
                <w:rFonts w:asciiTheme="majorBidi" w:hAnsiTheme="majorBidi" w:cstheme="majorBidi"/>
                <w:color w:val="auto"/>
                <w:kern w:val="0"/>
                <w:sz w:val="21"/>
              </w:rPr>
              <w:t>phenomenological study</w:t>
            </w:r>
          </w:p>
          <w:p w14:paraId="2AA8E1ED">
            <w:pPr>
              <w:pStyle w:val="4"/>
              <w:rPr>
                <w:rFonts w:asciiTheme="majorBidi" w:hAnsiTheme="majorBidi" w:cstheme="majorBidi"/>
                <w:color w:val="auto"/>
                <w:kern w:val="0"/>
                <w:sz w:val="21"/>
                <w:lang w:val="en-US" w:eastAsia="zh-CN"/>
              </w:rPr>
            </w:pPr>
            <w:r>
              <w:rPr>
                <w:rFonts w:asciiTheme="majorBidi" w:hAnsiTheme="majorBidi" w:cstheme="majorBidi"/>
                <w:color w:val="auto"/>
                <w:sz w:val="21"/>
              </w:rPr>
              <w:t xml:space="preserve">9 ICU </w:t>
            </w:r>
            <w:r>
              <w:rPr>
                <w:rFonts w:hint="eastAsia" w:asciiTheme="majorBidi" w:hAnsiTheme="majorBidi" w:cstheme="majorBidi"/>
                <w:color w:val="auto"/>
                <w:sz w:val="21"/>
                <w:lang w:val="en-US" w:eastAsia="zh-CN"/>
              </w:rPr>
              <w:t>n</w:t>
            </w:r>
            <w:r>
              <w:rPr>
                <w:rFonts w:asciiTheme="majorBidi" w:hAnsiTheme="majorBidi" w:cstheme="majorBidi"/>
                <w:color w:val="auto"/>
                <w:sz w:val="21"/>
              </w:rPr>
              <w:t>urses</w:t>
            </w:r>
            <w:r>
              <w:rPr>
                <w:rFonts w:hint="eastAsia" w:asciiTheme="majorBidi" w:hAnsiTheme="majorBidi" w:cstheme="majorBidi"/>
                <w:color w:val="auto"/>
                <w:sz w:val="21"/>
                <w:lang w:val="en-US" w:eastAsia="zh-CN"/>
              </w:rPr>
              <w:t xml:space="preserve">  </w:t>
            </w:r>
          </w:p>
        </w:tc>
        <w:tc>
          <w:tcPr>
            <w:tcW w:w="2165" w:type="pct"/>
            <w:tcBorders>
              <w:tl2br w:val="nil"/>
              <w:tr2bl w:val="nil"/>
            </w:tcBorders>
            <w:shd w:val="clear" w:color="auto" w:fill="auto"/>
          </w:tcPr>
          <w:p w14:paraId="2AA8E1EE">
            <w:pPr>
              <w:autoSpaceDE w:val="0"/>
              <w:autoSpaceDN w:val="0"/>
              <w:adjustRightInd w:val="0"/>
              <w:spacing w:after="0" w:line="240" w:lineRule="auto"/>
              <w:jc w:val="both"/>
              <w:rPr>
                <w:rFonts w:asciiTheme="majorBidi" w:hAnsiTheme="majorBidi" w:cstheme="majorBidi"/>
                <w:color w:val="auto"/>
                <w:kern w:val="0"/>
                <w:sz w:val="21"/>
                <w:szCs w:val="21"/>
              </w:rPr>
            </w:pPr>
            <w:r>
              <w:rPr>
                <w:rFonts w:asciiTheme="majorBidi" w:hAnsiTheme="majorBidi" w:cstheme="majorBidi"/>
                <w:color w:val="auto"/>
                <w:kern w:val="0"/>
                <w:sz w:val="21"/>
                <w:szCs w:val="21"/>
              </w:rPr>
              <w:t xml:space="preserve">Five major themes are identified from the interviews: </w:t>
            </w:r>
            <w:r>
              <w:rPr>
                <w:rFonts w:hint="eastAsia" w:asciiTheme="majorBidi" w:hAnsiTheme="majorBidi" w:cstheme="majorBidi"/>
                <w:color w:val="auto"/>
                <w:kern w:val="0"/>
                <w:sz w:val="21"/>
                <w:szCs w:val="21"/>
                <w:lang w:val="en-US" w:eastAsia="zh-CN"/>
              </w:rPr>
              <w:t>a</w:t>
            </w:r>
            <w:r>
              <w:rPr>
                <w:rFonts w:asciiTheme="majorBidi" w:hAnsiTheme="majorBidi" w:cstheme="majorBidi"/>
                <w:color w:val="auto"/>
                <w:kern w:val="0"/>
                <w:sz w:val="21"/>
                <w:szCs w:val="21"/>
              </w:rPr>
              <w:t xml:space="preserve">dvocating, defense mechanisms, burden of care, relationships, and organizational issues. </w:t>
            </w:r>
          </w:p>
          <w:p w14:paraId="2AA8E1EF">
            <w:pPr>
              <w:autoSpaceDE w:val="0"/>
              <w:autoSpaceDN w:val="0"/>
              <w:adjustRightInd w:val="0"/>
              <w:spacing w:after="0" w:line="240" w:lineRule="auto"/>
              <w:jc w:val="both"/>
              <w:rPr>
                <w:rFonts w:asciiTheme="majorBidi" w:hAnsiTheme="majorBidi" w:cstheme="majorBidi"/>
                <w:color w:val="auto"/>
                <w:kern w:val="0"/>
                <w:sz w:val="21"/>
                <w:szCs w:val="21"/>
              </w:rPr>
            </w:pPr>
            <w:r>
              <w:rPr>
                <w:rFonts w:asciiTheme="majorBidi" w:hAnsiTheme="majorBidi" w:cstheme="majorBidi"/>
                <w:color w:val="auto"/>
                <w:kern w:val="0"/>
                <w:sz w:val="21"/>
                <w:szCs w:val="21"/>
              </w:rPr>
              <w:t>In addition, several sub</w:t>
            </w:r>
            <w:r>
              <w:rPr>
                <w:rFonts w:hint="eastAsia" w:asciiTheme="majorBidi" w:hAnsiTheme="majorBidi" w:cstheme="majorBidi"/>
                <w:color w:val="auto"/>
                <w:kern w:val="0"/>
                <w:sz w:val="21"/>
                <w:szCs w:val="21"/>
                <w:lang w:val="en-US" w:eastAsia="zh-CN"/>
              </w:rPr>
              <w:t>-</w:t>
            </w:r>
            <w:r>
              <w:rPr>
                <w:rFonts w:asciiTheme="majorBidi" w:hAnsiTheme="majorBidi" w:cstheme="majorBidi"/>
                <w:color w:val="auto"/>
                <w:kern w:val="0"/>
                <w:sz w:val="21"/>
                <w:szCs w:val="21"/>
              </w:rPr>
              <w:t>themes emerged including respectful end of life care, symptom management, coping, spirituality, futile care, emotional work, powerlessness, relationships between patients and families, relationships with healthcare teams, relationships with institutions, inadequate staffing,</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inadequate training, preparedness,</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education/mentoring, workload, and support.</w:t>
            </w:r>
          </w:p>
        </w:tc>
        <w:tc>
          <w:tcPr>
            <w:tcW w:w="285" w:type="pct"/>
            <w:tcBorders>
              <w:tl2br w:val="nil"/>
              <w:tr2bl w:val="nil"/>
            </w:tcBorders>
            <w:shd w:val="clear" w:color="auto" w:fill="auto"/>
          </w:tcPr>
          <w:p w14:paraId="2AA8E1F0">
            <w:pPr>
              <w:autoSpaceDE w:val="0"/>
              <w:autoSpaceDN w:val="0"/>
              <w:adjustRightInd w:val="0"/>
              <w:spacing w:after="0" w:line="240" w:lineRule="auto"/>
              <w:rPr>
                <w:rFonts w:asciiTheme="majorBidi" w:hAnsiTheme="majorBidi" w:cstheme="majorBidi"/>
                <w:color w:val="auto"/>
                <w:kern w:val="0"/>
                <w:sz w:val="21"/>
                <w:szCs w:val="21"/>
              </w:rPr>
            </w:pPr>
            <w:r>
              <w:rPr>
                <w:rFonts w:asciiTheme="majorBidi" w:hAnsiTheme="majorBidi" w:cstheme="majorBidi"/>
                <w:color w:val="auto"/>
                <w:sz w:val="21"/>
                <w:szCs w:val="21"/>
              </w:rPr>
              <w:t>LVL III</w:t>
            </w:r>
          </w:p>
        </w:tc>
        <w:tc>
          <w:tcPr>
            <w:tcW w:w="263" w:type="pct"/>
            <w:tcBorders>
              <w:tl2br w:val="nil"/>
              <w:tr2bl w:val="nil"/>
            </w:tcBorders>
            <w:shd w:val="clear" w:color="auto" w:fill="auto"/>
          </w:tcPr>
          <w:p w14:paraId="2AA8E1F1">
            <w:pPr>
              <w:autoSpaceDE w:val="0"/>
              <w:autoSpaceDN w:val="0"/>
              <w:adjustRightInd w:val="0"/>
              <w:spacing w:after="0" w:line="240" w:lineRule="auto"/>
              <w:rPr>
                <w:rFonts w:asciiTheme="majorBidi" w:hAnsiTheme="majorBidi" w:cstheme="majorBidi"/>
                <w:color w:val="auto"/>
                <w:sz w:val="21"/>
                <w:szCs w:val="21"/>
              </w:rPr>
            </w:pPr>
            <w:r>
              <w:rPr>
                <w:rFonts w:asciiTheme="majorBidi" w:hAnsiTheme="majorBidi" w:cstheme="majorBidi"/>
                <w:color w:val="auto"/>
                <w:sz w:val="21"/>
                <w:szCs w:val="21"/>
              </w:rPr>
              <w:t>a,b,c,d,e</w:t>
            </w:r>
          </w:p>
        </w:tc>
      </w:tr>
      <w:tr w14:paraId="2AA8E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F3">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&lt;EndNote&gt;&lt;Cite&gt;&lt;Author&gt;Petersen&lt;/Author&gt;&lt;Year&gt;2023&lt;/Year&gt;&lt;RecNum&gt;382&lt;/RecNum&gt;&lt;DisplayText&gt;(Petersen &amp;amp; Melzer, 2023)&lt;/DisplayText&gt;&lt;record&gt;&lt;rec-number&gt;382&lt;/rec-number&gt;&lt;foreign-keys&gt;&lt;key app="EN" db-id="daxr9sxtlpdx2peae9dx2f5o0vr2zzews552" timestamp="1705243948"&gt;382&lt;/key&gt;&lt;/foreign-keys&gt;&lt;ref-type name="Journal Article"&gt;17&lt;/ref-type&gt;&lt;contributors&gt;&lt;authors&gt;&lt;author&gt;Petersen, Julia&lt;/author&gt;&lt;author&gt;Melzer, Marlen&lt;/author&gt;&lt;/authors&gt;&lt;/contributors&gt;&lt;titles&gt;&lt;title&gt;Predictors and consequences of moral distress in home-care nursing: A cross-sectional survey&lt;/title&gt;&lt;secondary-title&gt;Nursing ethics&lt;/secondary-title&gt;&lt;/titles&gt;&lt;periodical&gt;&lt;full-title&gt;Nursing ethics&lt;/full-title&gt;&lt;/periodical&gt;&lt;pages&gt;1199-1216&lt;/pages&gt;&lt;volume&gt;30&lt;/volume&gt;&lt;number&gt;7-8&lt;/number&gt;&lt;dates&gt;&lt;year&gt;2023&lt;/year&gt;&lt;/dates&gt;&lt;isbn&gt;1477-0989&lt;/isbn&gt;&lt;urls&gt;&lt;/urls&gt;&lt;remote-database-name&gt;/z-wcorg/&lt;/remote-database-name&gt;&lt;remote-database-provider&gt;http://worldcat.org&lt;/remote-database-provider&gt;&lt;language&gt;eng&lt;/language&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Petersen &amp; Melzer,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2023)</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21</w:t>
            </w:r>
            <w:r>
              <w:rPr>
                <w:rFonts w:hint="eastAsia" w:asciiTheme="majorBidi" w:hAnsiTheme="majorBidi" w:eastAsiaTheme="majorEastAsia" w:cstheme="majorBidi"/>
                <w:i w:val="0"/>
                <w:iCs w:val="0"/>
                <w:color w:val="auto"/>
                <w:sz w:val="21"/>
                <w:lang w:val="en-US" w:eastAsia="zh-CN"/>
              </w:rPr>
              <w:t>]</w:t>
            </w:r>
          </w:p>
          <w:p w14:paraId="2AA8E1F4">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Germany</w:t>
            </w:r>
          </w:p>
          <w:p w14:paraId="2AA8E1F5">
            <w:pPr>
              <w:pStyle w:val="4"/>
              <w:jc w:val="left"/>
              <w:rPr>
                <w:rFonts w:asciiTheme="majorBidi" w:hAnsiTheme="majorBidi" w:eastAsiaTheme="majorEastAsia" w:cstheme="majorBidi"/>
                <w:i/>
                <w:iCs/>
                <w:color w:val="auto"/>
                <w:sz w:val="21"/>
              </w:rPr>
            </w:pPr>
          </w:p>
        </w:tc>
        <w:tc>
          <w:tcPr>
            <w:tcW w:w="852" w:type="pct"/>
            <w:tcBorders>
              <w:tl2br w:val="nil"/>
              <w:tr2bl w:val="nil"/>
            </w:tcBorders>
            <w:shd w:val="clear" w:color="auto" w:fill="auto"/>
          </w:tcPr>
          <w:p w14:paraId="2AA8E1F6">
            <w:pPr>
              <w:pStyle w:val="4"/>
              <w:rPr>
                <w:rFonts w:asciiTheme="majorBidi" w:hAnsiTheme="majorBidi" w:cstheme="majorBidi"/>
                <w:color w:val="auto"/>
                <w:sz w:val="21"/>
              </w:rPr>
            </w:pPr>
            <w:r>
              <w:rPr>
                <w:rFonts w:asciiTheme="majorBidi" w:hAnsiTheme="majorBidi" w:cstheme="majorBidi"/>
                <w:color w:val="auto"/>
                <w:sz w:val="21"/>
              </w:rPr>
              <w:t>Explore the phenomenon of moral distress and describe its work-related</w:t>
            </w:r>
            <w:r>
              <w:rPr>
                <w:rFonts w:hint="eastAsia" w:asciiTheme="majorBidi" w:hAnsiTheme="majorBidi" w:cstheme="majorBidi"/>
                <w:color w:val="auto"/>
                <w:sz w:val="21"/>
                <w:lang w:val="en-US" w:eastAsia="zh-CN"/>
              </w:rPr>
              <w:t xml:space="preserve"> p</w:t>
            </w:r>
            <w:r>
              <w:rPr>
                <w:rFonts w:asciiTheme="majorBidi" w:hAnsiTheme="majorBidi" w:cstheme="majorBidi"/>
                <w:color w:val="auto"/>
                <w:sz w:val="21"/>
              </w:rPr>
              <w:t>redictors and individual consequences.</w:t>
            </w:r>
          </w:p>
        </w:tc>
        <w:tc>
          <w:tcPr>
            <w:tcW w:w="888" w:type="pct"/>
            <w:tcBorders>
              <w:tl2br w:val="nil"/>
              <w:tr2bl w:val="nil"/>
            </w:tcBorders>
            <w:shd w:val="clear" w:color="auto" w:fill="auto"/>
          </w:tcPr>
          <w:p w14:paraId="2AA8E1F7">
            <w:pPr>
              <w:pStyle w:val="4"/>
              <w:rPr>
                <w:rFonts w:asciiTheme="majorBidi" w:hAnsiTheme="majorBidi" w:cstheme="majorBidi"/>
                <w:color w:val="auto"/>
                <w:sz w:val="21"/>
              </w:rPr>
            </w:pPr>
            <w:r>
              <w:rPr>
                <w:rFonts w:asciiTheme="majorBidi" w:hAnsiTheme="majorBidi" w:cstheme="majorBidi"/>
                <w:color w:val="auto"/>
                <w:sz w:val="21"/>
              </w:rPr>
              <w:t>Quantitative</w:t>
            </w:r>
          </w:p>
          <w:p w14:paraId="2AA8E1F8">
            <w:pPr>
              <w:pStyle w:val="4"/>
              <w:rPr>
                <w:rFonts w:asciiTheme="majorBidi" w:hAnsiTheme="majorBidi" w:cstheme="majorBidi"/>
                <w:color w:val="auto"/>
                <w:kern w:val="0"/>
                <w:sz w:val="21"/>
              </w:rPr>
            </w:pPr>
            <w:r>
              <w:rPr>
                <w:rFonts w:asciiTheme="majorBidi" w:hAnsiTheme="majorBidi" w:cstheme="majorBidi"/>
                <w:color w:val="auto"/>
                <w:kern w:val="0"/>
                <w:sz w:val="21"/>
              </w:rPr>
              <w:t>Cross-sectional design</w:t>
            </w:r>
          </w:p>
          <w:p w14:paraId="2AA8E1F9">
            <w:pPr>
              <w:pStyle w:val="4"/>
              <w:rPr>
                <w:rFonts w:asciiTheme="majorBidi" w:hAnsiTheme="majorBidi" w:cstheme="majorBidi"/>
                <w:color w:val="auto"/>
                <w:kern w:val="0"/>
                <w:sz w:val="21"/>
              </w:rPr>
            </w:pPr>
            <w:r>
              <w:rPr>
                <w:rFonts w:asciiTheme="majorBidi" w:hAnsiTheme="majorBidi" w:cstheme="majorBidi"/>
                <w:color w:val="auto"/>
                <w:sz w:val="21"/>
              </w:rPr>
              <w:t xml:space="preserve">976 </w:t>
            </w:r>
            <w:r>
              <w:rPr>
                <w:rFonts w:hint="eastAsia" w:asciiTheme="majorBidi" w:hAnsiTheme="majorBidi" w:cstheme="majorBidi"/>
                <w:color w:val="auto"/>
                <w:sz w:val="21"/>
                <w:lang w:val="en-US" w:eastAsia="zh-CN"/>
              </w:rPr>
              <w:t>h</w:t>
            </w:r>
            <w:r>
              <w:rPr>
                <w:rFonts w:asciiTheme="majorBidi" w:hAnsiTheme="majorBidi" w:cstheme="majorBidi"/>
                <w:color w:val="auto"/>
                <w:sz w:val="21"/>
              </w:rPr>
              <w:t>ome-care nurses</w:t>
            </w:r>
          </w:p>
        </w:tc>
        <w:tc>
          <w:tcPr>
            <w:tcW w:w="2165" w:type="pct"/>
            <w:tcBorders>
              <w:tl2br w:val="nil"/>
              <w:tr2bl w:val="nil"/>
            </w:tcBorders>
            <w:shd w:val="clear" w:color="auto" w:fill="auto"/>
          </w:tcPr>
          <w:p w14:paraId="2AA8E1FA">
            <w:pPr>
              <w:autoSpaceDE w:val="0"/>
              <w:autoSpaceDN w:val="0"/>
              <w:adjustRightInd w:val="0"/>
              <w:spacing w:after="0" w:line="240" w:lineRule="auto"/>
              <w:jc w:val="both"/>
              <w:rPr>
                <w:rFonts w:asciiTheme="majorBidi" w:hAnsiTheme="majorBidi" w:cstheme="majorBidi"/>
                <w:color w:val="auto"/>
                <w:kern w:val="0"/>
                <w:sz w:val="21"/>
                <w:szCs w:val="21"/>
              </w:rPr>
            </w:pPr>
            <w:r>
              <w:rPr>
                <w:rFonts w:asciiTheme="majorBidi" w:hAnsiTheme="majorBidi" w:cstheme="majorBidi"/>
                <w:color w:val="auto"/>
                <w:kern w:val="0"/>
                <w:sz w:val="21"/>
                <w:szCs w:val="21"/>
              </w:rPr>
              <w:t>Job characteristics, such as high emotional demands, frequent work-life-conflicts, low influence at work, and low social support, were associated with higher disturbance caused by moral distress in home-care nurses. Organizational characteristics of home-care services, such as time margin with patients, predicted moral distress. High disturbance levels due to moral distress predicted higher burnout, worse state of health, and the intention to leave the job and the profession, but did not predict sickness absence.</w:t>
            </w:r>
          </w:p>
        </w:tc>
        <w:tc>
          <w:tcPr>
            <w:tcW w:w="285" w:type="pct"/>
            <w:tcBorders>
              <w:tl2br w:val="nil"/>
              <w:tr2bl w:val="nil"/>
            </w:tcBorders>
            <w:shd w:val="clear" w:color="auto" w:fill="auto"/>
          </w:tcPr>
          <w:p w14:paraId="2AA8E1FB">
            <w:pPr>
              <w:autoSpaceDE w:val="0"/>
              <w:autoSpaceDN w:val="0"/>
              <w:adjustRightInd w:val="0"/>
              <w:spacing w:after="0" w:line="240" w:lineRule="auto"/>
              <w:rPr>
                <w:rFonts w:asciiTheme="majorBidi" w:hAnsiTheme="majorBidi" w:cstheme="majorBidi"/>
                <w:color w:val="auto"/>
                <w:kern w:val="0"/>
                <w:sz w:val="21"/>
                <w:szCs w:val="21"/>
              </w:rPr>
            </w:pPr>
            <w:r>
              <w:rPr>
                <w:rFonts w:asciiTheme="majorBidi" w:hAnsiTheme="majorBidi" w:cstheme="majorBidi"/>
                <w:color w:val="auto"/>
                <w:sz w:val="21"/>
                <w:szCs w:val="21"/>
              </w:rPr>
              <w:t>LVL II</w:t>
            </w:r>
          </w:p>
        </w:tc>
        <w:tc>
          <w:tcPr>
            <w:tcW w:w="263" w:type="pct"/>
            <w:tcBorders>
              <w:tl2br w:val="nil"/>
              <w:tr2bl w:val="nil"/>
            </w:tcBorders>
            <w:shd w:val="clear" w:color="auto" w:fill="auto"/>
          </w:tcPr>
          <w:p w14:paraId="2AA8E1FC">
            <w:pPr>
              <w:autoSpaceDE w:val="0"/>
              <w:autoSpaceDN w:val="0"/>
              <w:adjustRightInd w:val="0"/>
              <w:spacing w:after="0" w:line="240" w:lineRule="auto"/>
              <w:rPr>
                <w:rFonts w:asciiTheme="majorBidi" w:hAnsiTheme="majorBidi" w:cstheme="majorBidi"/>
                <w:color w:val="auto"/>
                <w:sz w:val="21"/>
                <w:szCs w:val="21"/>
              </w:rPr>
            </w:pPr>
            <w:r>
              <w:rPr>
                <w:rFonts w:asciiTheme="majorBidi" w:hAnsiTheme="majorBidi" w:cstheme="majorBidi"/>
                <w:color w:val="auto"/>
                <w:sz w:val="21"/>
                <w:szCs w:val="21"/>
              </w:rPr>
              <w:t>a,b,c,d,e</w:t>
            </w:r>
          </w:p>
        </w:tc>
      </w:tr>
      <w:tr w14:paraId="2AA8E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1FE">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&lt;EndNote&gt;&lt;Cite&gt;&lt;Author&gt;Prompahakul&lt;/Author&gt;&lt;Year&gt;2021&lt;/Year&gt;&lt;RecNum&gt;383&lt;/RecNum&gt;&lt;DisplayText&gt;(Prompahakul et al., 2021)&lt;/DisplayText&gt;&lt;record&gt;&lt;rec-number&gt;383&lt;/rec-number&gt;&lt;foreign-keys&gt;&lt;key app="EN" db-id="daxr9sxtlpdx2peae9dx2f5o0vr2zzews552" timestamp="1705244271"&gt;383&lt;/key&gt;&lt;/foreign-keys&gt;&lt;ref-type name="Journal Article"&gt;17&lt;/ref-type&gt;&lt;contributors&gt;&lt;authors&gt;&lt;author&gt;Prompahakul, Chuleeporn&lt;/author&gt;&lt;author&gt;Keim-Malpass, Jessica&lt;/author&gt;&lt;author&gt;LeBaron, Virginia&lt;/author&gt;&lt;author&gt;Yan, Guofen&lt;/author&gt;&lt;author&gt;Epstein, Elizabeth G.&lt;/author&gt;&lt;/authors&gt;&lt;/contributors&gt;&lt;titles&gt;&lt;title&gt;Moral distress among nurses: A mixed-methods study&lt;/title&gt;&lt;secondary-title&gt;Nursing Ethics&lt;/secondary-title&gt;&lt;/titles&gt;&lt;periodical&gt;&lt;full-title&gt;Nursing ethics&lt;/full-title&gt;&lt;/periodical&gt;&lt;pages&gt;1165-1182&lt;/pages&gt;&lt;volume&gt;28&lt;/volume&gt;&lt;number&gt;7/8&lt;/number&gt;&lt;dates&gt;&lt;year&gt;2021&lt;/year&gt;&lt;/dates&gt;&lt;isbn&gt;0969-7330&lt;/isbn&gt;&lt;urls&gt;&lt;/urls&gt;&lt;remote-database-name&gt;/z-wcorg/&lt;/remote-database-name&gt;&lt;remote-database-provider&gt;http://worldcat.org&lt;/remote-database-provider&gt;&lt;language&gt;eng&lt;/language&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Prompahakul et al.,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2021)</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20</w:t>
            </w:r>
            <w:r>
              <w:rPr>
                <w:rFonts w:hint="eastAsia" w:asciiTheme="majorBidi" w:hAnsiTheme="majorBidi" w:eastAsiaTheme="majorEastAsia" w:cstheme="majorBidi"/>
                <w:i w:val="0"/>
                <w:iCs w:val="0"/>
                <w:color w:val="auto"/>
                <w:sz w:val="21"/>
                <w:lang w:val="en-US" w:eastAsia="zh-CN"/>
              </w:rPr>
              <w:t>]</w:t>
            </w:r>
          </w:p>
          <w:p w14:paraId="2AA8E1FF">
            <w:pPr>
              <w:pStyle w:val="4"/>
              <w:jc w:val="lef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Thailand</w:t>
            </w:r>
          </w:p>
          <w:p w14:paraId="2AA8E200">
            <w:pPr>
              <w:pStyle w:val="4"/>
              <w:jc w:val="left"/>
              <w:rPr>
                <w:rFonts w:asciiTheme="majorBidi" w:hAnsiTheme="majorBidi" w:eastAsiaTheme="majorEastAsia" w:cstheme="majorBidi"/>
                <w:i/>
                <w:iCs/>
                <w:color w:val="auto"/>
                <w:sz w:val="21"/>
              </w:rPr>
            </w:pPr>
          </w:p>
        </w:tc>
        <w:tc>
          <w:tcPr>
            <w:tcW w:w="852" w:type="pct"/>
            <w:tcBorders>
              <w:tl2br w:val="nil"/>
              <w:tr2bl w:val="nil"/>
            </w:tcBorders>
            <w:shd w:val="clear" w:color="auto" w:fill="auto"/>
          </w:tcPr>
          <w:p w14:paraId="2AA8E201">
            <w:pPr>
              <w:pStyle w:val="4"/>
              <w:rPr>
                <w:rFonts w:asciiTheme="majorBidi" w:hAnsiTheme="majorBidi" w:cstheme="majorBidi"/>
                <w:color w:val="auto"/>
                <w:sz w:val="21"/>
              </w:rPr>
            </w:pPr>
            <w:r>
              <w:rPr>
                <w:rFonts w:asciiTheme="majorBidi" w:hAnsiTheme="majorBidi" w:cstheme="majorBidi"/>
                <w:color w:val="auto"/>
                <w:sz w:val="21"/>
              </w:rPr>
              <w:t>Describe the experience of moral distress and related factors among Thai</w:t>
            </w:r>
          </w:p>
          <w:p w14:paraId="2AA8E202">
            <w:pPr>
              <w:pStyle w:val="4"/>
              <w:rPr>
                <w:rFonts w:asciiTheme="majorBidi" w:hAnsiTheme="majorBidi" w:cstheme="majorBidi"/>
                <w:color w:val="auto"/>
                <w:sz w:val="21"/>
              </w:rPr>
            </w:pPr>
            <w:r>
              <w:rPr>
                <w:rFonts w:hint="eastAsia" w:asciiTheme="majorBidi" w:hAnsiTheme="majorBidi" w:cstheme="majorBidi"/>
                <w:color w:val="auto"/>
                <w:sz w:val="21"/>
                <w:lang w:val="en-US" w:eastAsia="zh-CN"/>
              </w:rPr>
              <w:t>n</w:t>
            </w:r>
            <w:r>
              <w:rPr>
                <w:rFonts w:asciiTheme="majorBidi" w:hAnsiTheme="majorBidi" w:cstheme="majorBidi"/>
                <w:color w:val="auto"/>
                <w:sz w:val="21"/>
              </w:rPr>
              <w:t>urses.</w:t>
            </w:r>
          </w:p>
        </w:tc>
        <w:tc>
          <w:tcPr>
            <w:tcW w:w="888" w:type="pct"/>
            <w:tcBorders>
              <w:tl2br w:val="nil"/>
              <w:tr2bl w:val="nil"/>
            </w:tcBorders>
            <w:shd w:val="clear" w:color="auto" w:fill="auto"/>
          </w:tcPr>
          <w:p w14:paraId="2AA8E203">
            <w:pPr>
              <w:pStyle w:val="4"/>
              <w:rPr>
                <w:rFonts w:asciiTheme="majorBidi" w:hAnsiTheme="majorBidi" w:cstheme="majorBidi"/>
                <w:color w:val="auto"/>
                <w:sz w:val="21"/>
              </w:rPr>
            </w:pPr>
            <w:r>
              <w:rPr>
                <w:rFonts w:asciiTheme="majorBidi" w:hAnsiTheme="majorBidi" w:cstheme="majorBidi"/>
                <w:color w:val="auto"/>
                <w:sz w:val="21"/>
              </w:rPr>
              <w:t xml:space="preserve">Mixed </w:t>
            </w:r>
            <w:r>
              <w:rPr>
                <w:rFonts w:hint="eastAsia" w:asciiTheme="majorBidi" w:hAnsiTheme="majorBidi" w:cstheme="majorBidi"/>
                <w:color w:val="auto"/>
                <w:sz w:val="21"/>
                <w:lang w:val="en-US" w:eastAsia="zh-CN"/>
              </w:rPr>
              <w:t>m</w:t>
            </w:r>
            <w:r>
              <w:rPr>
                <w:rFonts w:asciiTheme="majorBidi" w:hAnsiTheme="majorBidi" w:cstheme="majorBidi"/>
                <w:color w:val="auto"/>
                <w:sz w:val="21"/>
              </w:rPr>
              <w:t xml:space="preserve">ethods, </w:t>
            </w:r>
          </w:p>
          <w:p w14:paraId="2AA8E204">
            <w:pPr>
              <w:pStyle w:val="4"/>
              <w:rPr>
                <w:rFonts w:asciiTheme="majorBidi" w:hAnsiTheme="majorBidi" w:cstheme="majorBidi"/>
                <w:color w:val="auto"/>
                <w:kern w:val="0"/>
                <w:sz w:val="21"/>
              </w:rPr>
            </w:pPr>
            <w:r>
              <w:rPr>
                <w:rFonts w:hint="eastAsia" w:asciiTheme="majorBidi" w:hAnsiTheme="majorBidi" w:cstheme="majorBidi"/>
                <w:color w:val="auto"/>
                <w:kern w:val="0"/>
                <w:sz w:val="21"/>
                <w:lang w:val="en-US" w:eastAsia="zh-CN"/>
              </w:rPr>
              <w:t xml:space="preserve">a </w:t>
            </w:r>
            <w:r>
              <w:rPr>
                <w:rFonts w:asciiTheme="majorBidi" w:hAnsiTheme="majorBidi" w:cstheme="majorBidi"/>
                <w:color w:val="auto"/>
                <w:kern w:val="0"/>
                <w:sz w:val="21"/>
              </w:rPr>
              <w:t xml:space="preserve">convergent parallel mixed-methods design. </w:t>
            </w:r>
          </w:p>
          <w:p w14:paraId="2AA8E205">
            <w:pPr>
              <w:pStyle w:val="4"/>
              <w:rPr>
                <w:rFonts w:asciiTheme="majorBidi" w:hAnsiTheme="majorBidi" w:cstheme="majorBidi"/>
                <w:color w:val="auto"/>
                <w:kern w:val="0"/>
                <w:sz w:val="21"/>
              </w:rPr>
            </w:pPr>
            <w:r>
              <w:rPr>
                <w:rFonts w:asciiTheme="majorBidi" w:hAnsiTheme="majorBidi" w:cstheme="majorBidi"/>
                <w:color w:val="auto"/>
                <w:sz w:val="21"/>
              </w:rPr>
              <w:t xml:space="preserve">462 </w:t>
            </w:r>
            <w:r>
              <w:rPr>
                <w:rFonts w:hint="eastAsia" w:asciiTheme="majorBidi" w:hAnsiTheme="majorBidi" w:cstheme="majorBidi"/>
                <w:color w:val="auto"/>
                <w:sz w:val="21"/>
                <w:lang w:val="en-US" w:eastAsia="zh-CN"/>
              </w:rPr>
              <w:t>r</w:t>
            </w:r>
            <w:r>
              <w:rPr>
                <w:rFonts w:asciiTheme="majorBidi" w:hAnsiTheme="majorBidi" w:cstheme="majorBidi"/>
                <w:color w:val="auto"/>
                <w:sz w:val="21"/>
              </w:rPr>
              <w:t xml:space="preserve">egistered </w:t>
            </w:r>
            <w:r>
              <w:rPr>
                <w:rFonts w:hint="eastAsia" w:asciiTheme="majorBidi" w:hAnsiTheme="majorBidi" w:cstheme="majorBidi"/>
                <w:color w:val="auto"/>
                <w:sz w:val="21"/>
                <w:lang w:val="en-US" w:eastAsia="zh-CN"/>
              </w:rPr>
              <w:t>n</w:t>
            </w:r>
            <w:r>
              <w:rPr>
                <w:rFonts w:asciiTheme="majorBidi" w:hAnsiTheme="majorBidi" w:cstheme="majorBidi"/>
                <w:color w:val="auto"/>
                <w:sz w:val="21"/>
              </w:rPr>
              <w:t xml:space="preserve">urses </w:t>
            </w:r>
            <w:r>
              <w:rPr>
                <w:rFonts w:hint="eastAsia" w:asciiTheme="majorBidi" w:hAnsiTheme="majorBidi" w:cstheme="majorBidi"/>
                <w:color w:val="auto"/>
                <w:sz w:val="21"/>
                <w:lang w:val="en-US" w:eastAsia="zh-CN"/>
              </w:rPr>
              <w:t>a</w:t>
            </w:r>
            <w:r>
              <w:rPr>
                <w:rFonts w:asciiTheme="majorBidi" w:hAnsiTheme="majorBidi" w:cstheme="majorBidi"/>
                <w:color w:val="auto"/>
                <w:sz w:val="21"/>
              </w:rPr>
              <w:t xml:space="preserve">cute care and </w:t>
            </w:r>
            <w:r>
              <w:rPr>
                <w:rFonts w:hint="eastAsia" w:asciiTheme="majorBidi" w:hAnsiTheme="majorBidi" w:cstheme="majorBidi"/>
                <w:color w:val="auto"/>
                <w:sz w:val="21"/>
                <w:lang w:val="en-US" w:eastAsia="zh-CN"/>
              </w:rPr>
              <w:t>c</w:t>
            </w:r>
            <w:r>
              <w:rPr>
                <w:rFonts w:asciiTheme="majorBidi" w:hAnsiTheme="majorBidi" w:cstheme="majorBidi"/>
                <w:color w:val="auto"/>
                <w:sz w:val="21"/>
              </w:rPr>
              <w:t xml:space="preserve">ritical </w:t>
            </w:r>
            <w:r>
              <w:rPr>
                <w:rFonts w:hint="eastAsia" w:asciiTheme="majorBidi" w:hAnsiTheme="majorBidi" w:cstheme="majorBidi"/>
                <w:color w:val="auto"/>
                <w:sz w:val="21"/>
                <w:lang w:val="en-US" w:eastAsia="zh-CN"/>
              </w:rPr>
              <w:t>c</w:t>
            </w:r>
            <w:r>
              <w:rPr>
                <w:rFonts w:asciiTheme="majorBidi" w:hAnsiTheme="majorBidi" w:cstheme="majorBidi"/>
                <w:color w:val="auto"/>
                <w:sz w:val="21"/>
              </w:rPr>
              <w:t>are</w:t>
            </w:r>
          </w:p>
        </w:tc>
        <w:tc>
          <w:tcPr>
            <w:tcW w:w="2165" w:type="pct"/>
            <w:tcBorders>
              <w:tl2br w:val="nil"/>
              <w:tr2bl w:val="nil"/>
            </w:tcBorders>
            <w:shd w:val="clear" w:color="auto" w:fill="auto"/>
          </w:tcPr>
          <w:p w14:paraId="2AA8E206">
            <w:pPr>
              <w:autoSpaceDE w:val="0"/>
              <w:autoSpaceDN w:val="0"/>
              <w:adjustRightInd w:val="0"/>
              <w:spacing w:after="0" w:line="240" w:lineRule="auto"/>
              <w:jc w:val="both"/>
              <w:rPr>
                <w:rFonts w:asciiTheme="majorBidi" w:hAnsiTheme="majorBidi" w:cstheme="majorBidi"/>
                <w:color w:val="auto"/>
                <w:kern w:val="0"/>
                <w:sz w:val="21"/>
                <w:szCs w:val="21"/>
              </w:rPr>
            </w:pPr>
            <w:r>
              <w:rPr>
                <w:rFonts w:asciiTheme="majorBidi" w:hAnsiTheme="majorBidi" w:cstheme="majorBidi"/>
                <w:color w:val="auto"/>
                <w:kern w:val="0"/>
                <w:sz w:val="21"/>
                <w:szCs w:val="21"/>
              </w:rPr>
              <w:t>The top 7 causes of moral distress were</w:t>
            </w:r>
          </w:p>
          <w:p w14:paraId="2AA8E207">
            <w:pPr>
              <w:autoSpaceDE w:val="0"/>
              <w:autoSpaceDN w:val="0"/>
              <w:adjustRightInd w:val="0"/>
              <w:spacing w:after="0" w:line="240" w:lineRule="auto"/>
              <w:jc w:val="both"/>
              <w:rPr>
                <w:rFonts w:asciiTheme="majorBidi" w:hAnsiTheme="majorBidi" w:cstheme="majorBidi"/>
                <w:color w:val="auto"/>
                <w:kern w:val="0"/>
                <w:sz w:val="21"/>
                <w:szCs w:val="21"/>
              </w:rPr>
            </w:pPr>
            <w:r>
              <w:rPr>
                <w:rFonts w:asciiTheme="majorBidi" w:hAnsiTheme="majorBidi" w:cstheme="majorBidi"/>
                <w:color w:val="auto"/>
                <w:kern w:val="0"/>
                <w:sz w:val="21"/>
                <w:szCs w:val="21"/>
              </w:rPr>
              <w:t>related to system-level root causes and end-of-life care situations. Hierarchical multiple regression showed that work units, considering leaving position, and number of</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moral distress episodes in the past year</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were significant</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predictors of moral distress. Twenty interviews demonstrated three main themes of distressing causes: 1)powerlessness (at patients/family-, team-, and organizational-levels), 2) end-of-life issues, and 3) poor team</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function (poor communication and</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collaboration, incompetent healthcare providers, and inappropriate</w:t>
            </w:r>
          </w:p>
          <w:p w14:paraId="2AA8E208">
            <w:pPr>
              <w:autoSpaceDE w:val="0"/>
              <w:autoSpaceDN w:val="0"/>
              <w:adjustRightInd w:val="0"/>
              <w:spacing w:after="0" w:line="240" w:lineRule="auto"/>
              <w:jc w:val="both"/>
              <w:rPr>
                <w:rFonts w:asciiTheme="majorBidi" w:hAnsiTheme="majorBidi" w:cstheme="majorBidi"/>
                <w:color w:val="auto"/>
                <w:kern w:val="0"/>
                <w:sz w:val="21"/>
                <w:szCs w:val="21"/>
              </w:rPr>
            </w:pPr>
            <w:r>
              <w:rPr>
                <w:rFonts w:asciiTheme="majorBidi" w:hAnsiTheme="majorBidi" w:cstheme="majorBidi"/>
                <w:color w:val="auto"/>
                <w:kern w:val="0"/>
                <w:sz w:val="21"/>
                <w:szCs w:val="21"/>
              </w:rPr>
              <w:t>behavior of colleagues). The integration of data from both components indicated that the qualitative</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interviews enrich the quantitative findings, especially as related to the top 7 causes of moral distress.</w:t>
            </w:r>
          </w:p>
        </w:tc>
        <w:tc>
          <w:tcPr>
            <w:tcW w:w="285" w:type="pct"/>
            <w:tcBorders>
              <w:tl2br w:val="nil"/>
              <w:tr2bl w:val="nil"/>
            </w:tcBorders>
            <w:shd w:val="clear" w:color="auto" w:fill="auto"/>
          </w:tcPr>
          <w:p w14:paraId="2AA8E209">
            <w:pPr>
              <w:autoSpaceDE w:val="0"/>
              <w:autoSpaceDN w:val="0"/>
              <w:adjustRightInd w:val="0"/>
              <w:spacing w:after="0" w:line="240" w:lineRule="auto"/>
              <w:rPr>
                <w:rFonts w:asciiTheme="majorBidi" w:hAnsiTheme="majorBidi" w:cstheme="majorBidi"/>
                <w:color w:val="auto"/>
                <w:kern w:val="0"/>
                <w:sz w:val="21"/>
                <w:szCs w:val="21"/>
              </w:rPr>
            </w:pPr>
            <w:r>
              <w:rPr>
                <w:rFonts w:asciiTheme="majorBidi" w:hAnsiTheme="majorBidi" w:cstheme="majorBidi"/>
                <w:color w:val="auto"/>
                <w:sz w:val="21"/>
                <w:szCs w:val="21"/>
              </w:rPr>
              <w:t>LVL II</w:t>
            </w:r>
          </w:p>
        </w:tc>
        <w:tc>
          <w:tcPr>
            <w:tcW w:w="263" w:type="pct"/>
            <w:tcBorders>
              <w:tl2br w:val="nil"/>
              <w:tr2bl w:val="nil"/>
            </w:tcBorders>
            <w:shd w:val="clear" w:color="auto" w:fill="auto"/>
          </w:tcPr>
          <w:p w14:paraId="2AA8E20A">
            <w:pPr>
              <w:autoSpaceDE w:val="0"/>
              <w:autoSpaceDN w:val="0"/>
              <w:adjustRightInd w:val="0"/>
              <w:spacing w:after="0" w:line="240" w:lineRule="auto"/>
              <w:rPr>
                <w:rFonts w:asciiTheme="majorBidi" w:hAnsiTheme="majorBidi" w:cstheme="majorBidi"/>
                <w:color w:val="auto"/>
                <w:sz w:val="21"/>
                <w:szCs w:val="21"/>
              </w:rPr>
            </w:pPr>
            <w:r>
              <w:rPr>
                <w:rFonts w:asciiTheme="majorBidi" w:hAnsiTheme="majorBidi" w:cstheme="majorBidi"/>
                <w:color w:val="auto"/>
                <w:sz w:val="21"/>
                <w:szCs w:val="21"/>
              </w:rPr>
              <w:t>a,b,c,d,e</w:t>
            </w:r>
          </w:p>
        </w:tc>
      </w:tr>
      <w:tr w14:paraId="2AA8E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20C">
            <w:pPr>
              <w:pStyle w:val="4"/>
              <w:jc w:val="lef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&lt;EndNote&gt;&lt;Cite&gt;&lt;Author&gt;Dorman&lt;/Author&gt;&lt;Year&gt;2020&lt;/Year&gt;&lt;RecNum&gt;366&lt;/RecNum&gt;&lt;DisplayText&gt;(Dorman &amp;amp; Raffin Bouchal, 2020)&lt;/DisplayText&gt;&lt;record&gt;&lt;rec-number&gt;366&lt;/rec-number&gt;&lt;foreign-keys&gt;&lt;key app="EN" db-id="daxr9sxtlpdx2peae9dx2f5o0vr2zzews552" timestamp="1703679657"&gt;366&lt;/key&gt;&lt;/foreign-keys&gt;&lt;ref-type name="Conference Proceedings"&gt;10&lt;/ref-type&gt;&lt;contributors&gt;&lt;authors&gt;&lt;author&gt;Dorman, Jennifer D&lt;/author&gt;&lt;author&gt;Raffin Bouchal, Shelley&lt;/author&gt;&lt;/authors&gt;&lt;/contributors&gt;&lt;titles&gt;&lt;title&gt;Moral distress and moral uncertainty in medical assistance in dying: A simultaneous evolutionary concept analysis&lt;/title&gt;&lt;secondary-title&gt;Nursing forum&lt;/secondary-title&gt;&lt;/titles&gt;&lt;periodical&gt;&lt;full-title&gt;Nursing Forum&lt;/full-title&gt;&lt;/periodical&gt;&lt;pages&gt;320-330&lt;/pages&gt;&lt;volume&gt;55&lt;/volume&gt;&lt;number&gt;3&lt;/number&gt;&lt;dates&gt;&lt;year&gt;2020&lt;/year&gt;&lt;/dates&gt;&lt;publisher&gt;Wiley Online Library&lt;/publisher&gt;&lt;isbn&gt;0029-6473&lt;/isbn&gt;&lt;urls&gt;&lt;/urls&gt;&lt;/record&gt;&lt;/Cite&gt;&lt;/EndNote&gt;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Dorman &amp; Raffin Bouchal,</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2020)</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33</w:t>
            </w:r>
            <w:r>
              <w:rPr>
                <w:rFonts w:hint="eastAsia" w:asciiTheme="majorBidi" w:hAnsiTheme="majorBidi" w:eastAsiaTheme="majorEastAsia" w:cstheme="majorBidi"/>
                <w:i w:val="0"/>
                <w:iCs w:val="0"/>
                <w:color w:val="auto"/>
                <w:sz w:val="21"/>
                <w:lang w:val="en-US" w:eastAsia="zh-CN"/>
              </w:rPr>
              <w:t>]</w:t>
            </w:r>
          </w:p>
          <w:p w14:paraId="2AA8E20D">
            <w:pPr>
              <w:pStyle w:val="4"/>
              <w:jc w:val="left"/>
              <w:rPr>
                <w:rFonts w:asciiTheme="majorBidi" w:hAnsiTheme="majorBidi" w:eastAsiaTheme="majorEastAsia" w:cstheme="majorBidi"/>
                <w:i/>
                <w:iCs/>
                <w:color w:val="auto"/>
                <w:sz w:val="21"/>
              </w:rPr>
            </w:pPr>
            <w:r>
              <w:rPr>
                <w:rFonts w:hint="eastAsia" w:asciiTheme="majorBidi" w:hAnsiTheme="majorBidi" w:eastAsiaTheme="majorEastAsia" w:cstheme="majorBidi"/>
                <w:i w:val="0"/>
                <w:iCs w:val="0"/>
                <w:color w:val="auto"/>
                <w:sz w:val="21"/>
                <w:lang w:val="en-US" w:eastAsia="zh-CN"/>
              </w:rPr>
              <w:t>C</w:t>
            </w:r>
            <w:r>
              <w:rPr>
                <w:rFonts w:asciiTheme="majorBidi" w:hAnsiTheme="majorBidi" w:eastAsiaTheme="majorEastAsia" w:cstheme="majorBidi"/>
                <w:i w:val="0"/>
                <w:iCs w:val="0"/>
                <w:color w:val="auto"/>
                <w:sz w:val="21"/>
                <w:lang w:val="en-US" w:eastAsia="zh-CN"/>
              </w:rPr>
              <w:t>anada</w:t>
            </w:r>
          </w:p>
        </w:tc>
        <w:tc>
          <w:tcPr>
            <w:tcW w:w="852" w:type="pct"/>
            <w:tcBorders>
              <w:tl2br w:val="nil"/>
              <w:tr2bl w:val="nil"/>
            </w:tcBorders>
            <w:shd w:val="clear" w:color="auto" w:fill="auto"/>
          </w:tcPr>
          <w:p w14:paraId="2AA8E20E">
            <w:pPr>
              <w:pStyle w:val="4"/>
              <w:rPr>
                <w:rFonts w:asciiTheme="majorBidi" w:hAnsiTheme="majorBidi" w:cstheme="majorBidi"/>
                <w:color w:val="auto"/>
                <w:sz w:val="21"/>
              </w:rPr>
            </w:pPr>
            <w:r>
              <w:rPr>
                <w:rFonts w:asciiTheme="majorBidi" w:hAnsiTheme="majorBidi" w:cstheme="majorBidi"/>
                <w:color w:val="auto"/>
                <w:sz w:val="21"/>
              </w:rPr>
              <w:t>Develop a simultaneous, evolutionary concept analysis of moral distress and moral uncertainty in the context of medical assistance in dying (maid).</w:t>
            </w:r>
          </w:p>
        </w:tc>
        <w:tc>
          <w:tcPr>
            <w:tcW w:w="888" w:type="pct"/>
            <w:tcBorders>
              <w:tl2br w:val="nil"/>
              <w:tr2bl w:val="nil"/>
            </w:tcBorders>
            <w:shd w:val="clear" w:color="auto" w:fill="auto"/>
          </w:tcPr>
          <w:p w14:paraId="2AA8E20F">
            <w:pPr>
              <w:pStyle w:val="4"/>
              <w:rPr>
                <w:rFonts w:asciiTheme="majorBidi" w:hAnsiTheme="majorBidi" w:cstheme="majorBidi"/>
                <w:color w:val="auto"/>
                <w:kern w:val="0"/>
                <w:sz w:val="21"/>
              </w:rPr>
            </w:pPr>
            <w:r>
              <w:rPr>
                <w:rFonts w:asciiTheme="majorBidi" w:hAnsiTheme="majorBidi" w:cstheme="majorBidi"/>
                <w:color w:val="auto"/>
                <w:kern w:val="0"/>
                <w:sz w:val="21"/>
              </w:rPr>
              <w:t>Simultaneous concept analysis.</w:t>
            </w:r>
          </w:p>
          <w:p w14:paraId="2AA8E210">
            <w:pPr>
              <w:pStyle w:val="4"/>
              <w:rPr>
                <w:rFonts w:asciiTheme="majorBidi" w:hAnsiTheme="majorBidi" w:cstheme="majorBidi"/>
                <w:color w:val="auto"/>
                <w:kern w:val="0"/>
                <w:sz w:val="21"/>
              </w:rPr>
            </w:pPr>
            <w:r>
              <w:rPr>
                <w:rFonts w:asciiTheme="majorBidi" w:hAnsiTheme="majorBidi" w:cstheme="majorBidi"/>
                <w:color w:val="auto"/>
                <w:sz w:val="21"/>
              </w:rPr>
              <w:t>44 documents published from 1984 to 2019.</w:t>
            </w:r>
          </w:p>
          <w:p w14:paraId="2AA8E211">
            <w:pPr>
              <w:pStyle w:val="4"/>
              <w:rPr>
                <w:rFonts w:asciiTheme="majorBidi" w:hAnsiTheme="majorBidi" w:cstheme="majorBidi"/>
                <w:color w:val="auto"/>
                <w:kern w:val="0"/>
                <w:sz w:val="21"/>
              </w:rPr>
            </w:pPr>
            <w:r>
              <w:rPr>
                <w:rFonts w:hint="eastAsia" w:asciiTheme="majorBidi" w:hAnsiTheme="majorBidi" w:cstheme="majorBidi"/>
                <w:color w:val="auto"/>
                <w:sz w:val="21"/>
                <w:lang w:val="en-US" w:eastAsia="zh-CN"/>
              </w:rPr>
              <w:t>N</w:t>
            </w:r>
            <w:r>
              <w:rPr>
                <w:rFonts w:asciiTheme="majorBidi" w:hAnsiTheme="majorBidi" w:cstheme="majorBidi"/>
                <w:color w:val="auto"/>
                <w:sz w:val="21"/>
              </w:rPr>
              <w:t>ursing research on</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moral distress and moral uncertainty</w:t>
            </w:r>
          </w:p>
        </w:tc>
        <w:tc>
          <w:tcPr>
            <w:tcW w:w="2165" w:type="pct"/>
            <w:tcBorders>
              <w:tl2br w:val="nil"/>
              <w:tr2bl w:val="nil"/>
            </w:tcBorders>
            <w:shd w:val="clear" w:color="auto" w:fill="auto"/>
          </w:tcPr>
          <w:p w14:paraId="2AA8E212">
            <w:pPr>
              <w:autoSpaceDE w:val="0"/>
              <w:autoSpaceDN w:val="0"/>
              <w:adjustRightInd w:val="0"/>
              <w:spacing w:after="0" w:line="240" w:lineRule="auto"/>
              <w:jc w:val="both"/>
              <w:rPr>
                <w:rFonts w:asciiTheme="majorBidi" w:hAnsiTheme="majorBidi" w:cstheme="majorBidi"/>
                <w:color w:val="auto"/>
                <w:kern w:val="0"/>
                <w:sz w:val="21"/>
                <w:szCs w:val="21"/>
              </w:rPr>
            </w:pPr>
            <w:r>
              <w:rPr>
                <w:rFonts w:asciiTheme="majorBidi" w:hAnsiTheme="majorBidi" w:cstheme="majorBidi"/>
                <w:color w:val="auto"/>
                <w:kern w:val="0"/>
                <w:sz w:val="21"/>
                <w:szCs w:val="21"/>
              </w:rPr>
              <w:t>Despite the significant overlap, moral distress and moral uncertainty have</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subtle distinguishing differences. Attributes of moral distress in the context of MaiD focus on knowing the right course of action but being unable to act, especially when</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conflict or suffering occurs. Attributes of moral uncertainty center on an inability to</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decide on which course of action to take or knowing what outcome is preferable.</w:t>
            </w:r>
          </w:p>
        </w:tc>
        <w:tc>
          <w:tcPr>
            <w:tcW w:w="285" w:type="pct"/>
            <w:tcBorders>
              <w:tl2br w:val="nil"/>
              <w:tr2bl w:val="nil"/>
            </w:tcBorders>
            <w:shd w:val="clear" w:color="auto" w:fill="auto"/>
          </w:tcPr>
          <w:p w14:paraId="2AA8E213">
            <w:pPr>
              <w:autoSpaceDE w:val="0"/>
              <w:autoSpaceDN w:val="0"/>
              <w:adjustRightInd w:val="0"/>
              <w:spacing w:after="0" w:line="240" w:lineRule="auto"/>
              <w:rPr>
                <w:rFonts w:asciiTheme="majorBidi" w:hAnsiTheme="majorBidi" w:cstheme="majorBidi"/>
                <w:color w:val="auto"/>
                <w:kern w:val="0"/>
                <w:sz w:val="21"/>
                <w:szCs w:val="21"/>
              </w:rPr>
            </w:pPr>
            <w:r>
              <w:rPr>
                <w:rFonts w:asciiTheme="majorBidi" w:hAnsiTheme="majorBidi" w:cstheme="majorBidi"/>
                <w:color w:val="auto"/>
                <w:sz w:val="21"/>
                <w:szCs w:val="21"/>
              </w:rPr>
              <w:t>LVL II</w:t>
            </w:r>
          </w:p>
        </w:tc>
        <w:tc>
          <w:tcPr>
            <w:tcW w:w="263" w:type="pct"/>
            <w:tcBorders>
              <w:tl2br w:val="nil"/>
              <w:tr2bl w:val="nil"/>
            </w:tcBorders>
            <w:shd w:val="clear" w:color="auto" w:fill="auto"/>
          </w:tcPr>
          <w:p w14:paraId="2AA8E214">
            <w:pPr>
              <w:autoSpaceDE w:val="0"/>
              <w:autoSpaceDN w:val="0"/>
              <w:adjustRightInd w:val="0"/>
              <w:spacing w:after="0" w:line="240" w:lineRule="auto"/>
              <w:rPr>
                <w:rFonts w:asciiTheme="majorBidi" w:hAnsiTheme="majorBidi" w:cstheme="majorBidi"/>
                <w:color w:val="auto"/>
                <w:sz w:val="21"/>
                <w:szCs w:val="21"/>
              </w:rPr>
            </w:pPr>
            <w:r>
              <w:rPr>
                <w:rFonts w:asciiTheme="majorBidi" w:hAnsiTheme="majorBidi" w:cstheme="majorBidi"/>
                <w:color w:val="auto"/>
                <w:sz w:val="21"/>
                <w:szCs w:val="21"/>
              </w:rPr>
              <w:t>a,b,c,d,e</w:t>
            </w:r>
          </w:p>
        </w:tc>
      </w:tr>
      <w:tr w14:paraId="2AA8E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c>
          <w:tcPr>
            <w:tcW w:w="544" w:type="pct"/>
            <w:tcBorders>
              <w:insideV w:val="single" w:sz="4" w:space="0"/>
              <w:tl2br w:val="nil"/>
              <w:tr2bl w:val="nil"/>
            </w:tcBorders>
            <w:shd w:val="clear" w:color="auto" w:fill="auto"/>
          </w:tcPr>
          <w:p w14:paraId="2AA8E216">
            <w:pPr>
              <w:pStyle w:val="4"/>
              <w:jc w:val="left"/>
              <w:rPr>
                <w:rFonts w:asciiTheme="majorBidi" w:hAnsiTheme="majorBidi" w:eastAsiaTheme="majorEastAsia" w:cstheme="majorBidi"/>
                <w:i/>
                <w:iCs/>
                <w:color w:val="auto"/>
                <w:sz w:val="21"/>
                <w:lang w:val="en-US"/>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&lt;EndNote&gt;&lt;Cite&gt;&lt;Author&gt;Kim&lt;/Author&gt;&lt;Year&gt;2023&lt;/Year&gt;&lt;RecNum&gt;368&lt;/RecNum&gt;&lt;DisplayText&gt;(Kim, Shelton &amp;amp; Applewhite, 2023)&lt;/DisplayText&gt;&lt;record&gt;&lt;rec-number&gt;368&lt;/rec-number&gt;&lt;foreign-keys&gt;&lt;key app="EN" db-id="daxr9sxtlpdx2peae9dx2f5o0vr2zzews552" timestamp="1703959590"&gt;368&lt;/key&gt;&lt;/foreign-keys&gt;&lt;ref-type name="Journal Article"&gt;17&lt;/ref-type&gt;&lt;contributors&gt;&lt;authors&gt;&lt;author&gt;Kim, Daniel T.&lt;/author&gt;&lt;author&gt;Shelton, Wayne&lt;/author&gt;&lt;author&gt;Applewhite, Megan K.&lt;/author&gt;&lt;/authors&gt;&lt;/contributors&gt;&lt;titles&gt;&lt;title&gt;Clinician Moral Distress: Toward an Ethics of Agent-Regret&lt;/title&gt;&lt;secondary-title&gt;Hastings Center Report&lt;/secondary-title&gt;&lt;/titles&gt;&lt;periodical&gt;&lt;full-title&gt;Hastings Center Report&lt;/full-title&gt;&lt;/periodical&gt;&lt;pages&gt;40-53&lt;/pages&gt;&lt;volume&gt;53&lt;/volume&gt;&lt;number&gt;6&lt;/number&gt;&lt;dates&gt;&lt;year&gt;2023&lt;/year&gt;&lt;/dates&gt;&lt;isbn&gt;0093-0334&lt;/isbn&gt;&lt;urls&gt;&lt;related-urls&gt;&lt;url&gt;https://onlinelibrary.wiley.com/doi/abs/10.1002/hast.1544&lt;/url&gt;&lt;/related-urls&gt;&lt;/urls&gt;&lt;electronic-resource-num&gt;https://doi.org/10.1002/hast.1544&lt;/electronic-resource-num&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Kim</w:t>
            </w:r>
            <w:r>
              <w:rPr>
                <w:rFonts w:hint="eastAsia" w:asciiTheme="majorBidi" w:hAnsiTheme="majorBidi" w:eastAsiaTheme="majorEastAsia" w:cstheme="majorBidi"/>
                <w:i w:val="0"/>
                <w:iCs w:val="0"/>
                <w:color w:val="auto"/>
                <w:sz w:val="21"/>
                <w:lang w:val="en-US" w:eastAsia="zh-CN"/>
              </w:rPr>
              <w:t xml:space="preserve"> et al., (</w:t>
            </w:r>
            <w:r>
              <w:rPr>
                <w:rFonts w:asciiTheme="majorBidi" w:hAnsiTheme="majorBidi" w:eastAsiaTheme="majorEastAsia" w:cstheme="majorBidi"/>
                <w:i w:val="0"/>
                <w:iCs w:val="0"/>
                <w:color w:val="auto"/>
                <w:sz w:val="21"/>
              </w:rPr>
              <w:t>2023)</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lang w:val="en-US" w:eastAsia="zh-CN"/>
              </w:rPr>
              <w:t>2</w:t>
            </w:r>
            <w:r>
              <w:rPr>
                <w:rFonts w:hint="eastAsia" w:asciiTheme="majorBidi" w:hAnsiTheme="majorBidi" w:eastAsiaTheme="majorEastAsia" w:cstheme="majorBidi"/>
                <w:i w:val="0"/>
                <w:iCs w:val="0"/>
                <w:color w:val="auto"/>
                <w:sz w:val="21"/>
                <w:lang w:val="en-US" w:eastAsia="zh-CN"/>
              </w:rPr>
              <w:t>] (</w:t>
            </w:r>
            <w:r>
              <w:rPr>
                <w:rFonts w:asciiTheme="majorBidi" w:hAnsiTheme="majorBidi" w:eastAsiaTheme="majorEastAsia" w:cstheme="majorBidi"/>
                <w:i w:val="0"/>
                <w:iCs w:val="0"/>
                <w:color w:val="auto"/>
                <w:sz w:val="21"/>
                <w:lang w:val="en-US" w:eastAsia="zh-CN"/>
              </w:rPr>
              <w:t>NA</w:t>
            </w:r>
            <w:r>
              <w:rPr>
                <w:rFonts w:hint="eastAsia" w:asciiTheme="majorBidi" w:hAnsiTheme="majorBidi" w:eastAsiaTheme="majorEastAsia" w:cstheme="majorBidi"/>
                <w:i w:val="0"/>
                <w:iCs w:val="0"/>
                <w:color w:val="auto"/>
                <w:sz w:val="21"/>
                <w:lang w:val="en-US" w:eastAsia="zh-CN"/>
              </w:rPr>
              <w:t>)</w:t>
            </w:r>
          </w:p>
          <w:p w14:paraId="2AA8E217">
            <w:pPr>
              <w:pStyle w:val="4"/>
              <w:jc w:val="left"/>
              <w:rPr>
                <w:rFonts w:asciiTheme="majorBidi" w:hAnsiTheme="majorBidi" w:eastAsiaTheme="majorEastAsia" w:cstheme="majorBidi"/>
                <w:i/>
                <w:iCs/>
                <w:color w:val="auto"/>
                <w:sz w:val="21"/>
              </w:rPr>
            </w:pPr>
          </w:p>
          <w:p w14:paraId="2AA8E218">
            <w:pPr>
              <w:pStyle w:val="4"/>
              <w:jc w:val="left"/>
              <w:rPr>
                <w:rFonts w:asciiTheme="majorBidi" w:hAnsiTheme="majorBidi" w:eastAsiaTheme="majorEastAsia" w:cstheme="majorBidi"/>
                <w:i/>
                <w:iCs/>
                <w:color w:val="auto"/>
                <w:sz w:val="21"/>
              </w:rPr>
            </w:pPr>
          </w:p>
        </w:tc>
        <w:tc>
          <w:tcPr>
            <w:tcW w:w="852" w:type="pct"/>
            <w:tcBorders>
              <w:tl2br w:val="nil"/>
              <w:tr2bl w:val="nil"/>
            </w:tcBorders>
            <w:shd w:val="clear" w:color="auto" w:fill="auto"/>
          </w:tcPr>
          <w:p w14:paraId="2AA8E219">
            <w:pPr>
              <w:pStyle w:val="4"/>
              <w:rPr>
                <w:rFonts w:asciiTheme="majorBidi" w:hAnsiTheme="majorBidi" w:cstheme="majorBidi"/>
                <w:color w:val="auto"/>
                <w:sz w:val="21"/>
              </w:rPr>
            </w:pPr>
            <w:r>
              <w:rPr>
                <w:rFonts w:asciiTheme="majorBidi" w:hAnsiTheme="majorBidi" w:cstheme="majorBidi"/>
                <w:color w:val="auto"/>
                <w:sz w:val="21"/>
              </w:rPr>
              <w:t>Reconstructed</w:t>
            </w:r>
            <w:r>
              <w:rPr>
                <w:rFonts w:hint="eastAsia" w:asciiTheme="majorBidi" w:hAnsiTheme="majorBidi" w:cstheme="majorBidi"/>
                <w:color w:val="auto"/>
                <w:sz w:val="21"/>
                <w:lang w:val="en-US" w:eastAsia="zh-CN"/>
              </w:rPr>
              <w:t xml:space="preserve"> d</w:t>
            </w:r>
            <w:r>
              <w:rPr>
                <w:rFonts w:asciiTheme="majorBidi" w:hAnsiTheme="majorBidi" w:cstheme="majorBidi"/>
                <w:color w:val="auto"/>
                <w:sz w:val="21"/>
              </w:rPr>
              <w:t>efinition of moral distress</w:t>
            </w:r>
            <w:r>
              <w:rPr>
                <w:rFonts w:hint="eastAsia" w:asciiTheme="majorBidi" w:hAnsiTheme="majorBidi" w:cstheme="majorBidi"/>
                <w:color w:val="auto"/>
                <w:sz w:val="21"/>
                <w:lang w:val="en-US" w:eastAsia="zh-CN"/>
              </w:rPr>
              <w:t xml:space="preserve"> a</w:t>
            </w:r>
            <w:r>
              <w:rPr>
                <w:rFonts w:asciiTheme="majorBidi" w:hAnsiTheme="majorBidi" w:cstheme="majorBidi"/>
                <w:color w:val="auto"/>
                <w:sz w:val="21"/>
              </w:rPr>
              <w:t>nd assess its implications for the institutional</w:t>
            </w:r>
          </w:p>
          <w:p w14:paraId="2AA8E21A">
            <w:pPr>
              <w:pStyle w:val="4"/>
              <w:rPr>
                <w:rFonts w:asciiTheme="majorBidi" w:hAnsiTheme="majorBidi" w:cstheme="majorBidi"/>
                <w:color w:val="auto"/>
                <w:sz w:val="21"/>
              </w:rPr>
            </w:pPr>
            <w:r>
              <w:rPr>
                <w:rFonts w:asciiTheme="majorBidi" w:hAnsiTheme="majorBidi" w:cstheme="majorBidi"/>
                <w:color w:val="auto"/>
                <w:sz w:val="21"/>
              </w:rPr>
              <w:t>Response and the clinician’s</w:t>
            </w:r>
          </w:p>
          <w:p w14:paraId="2AA8E21B">
            <w:pPr>
              <w:pStyle w:val="4"/>
              <w:rPr>
                <w:rFonts w:asciiTheme="majorBidi" w:hAnsiTheme="majorBidi" w:cstheme="majorBidi"/>
                <w:color w:val="auto"/>
                <w:sz w:val="21"/>
              </w:rPr>
            </w:pPr>
            <w:r>
              <w:rPr>
                <w:rFonts w:asciiTheme="majorBidi" w:hAnsiTheme="majorBidi" w:cstheme="majorBidi"/>
                <w:color w:val="auto"/>
                <w:sz w:val="21"/>
              </w:rPr>
              <w:t>Self-reflective response to the experience,</w:t>
            </w:r>
            <w:r>
              <w:rPr>
                <w:rFonts w:hint="eastAsia" w:asciiTheme="majorBidi" w:hAnsiTheme="majorBidi" w:cstheme="majorBidi"/>
                <w:color w:val="auto"/>
                <w:sz w:val="21"/>
                <w:lang w:val="en-US" w:eastAsia="zh-CN"/>
              </w:rPr>
              <w:t xml:space="preserve"> t</w:t>
            </w:r>
            <w:r>
              <w:rPr>
                <w:rFonts w:asciiTheme="majorBidi" w:hAnsiTheme="majorBidi" w:cstheme="majorBidi"/>
                <w:color w:val="auto"/>
                <w:sz w:val="21"/>
              </w:rPr>
              <w:t>hat is, in terms of an ethics of</w:t>
            </w:r>
            <w:r>
              <w:rPr>
                <w:rFonts w:hint="eastAsia" w:asciiTheme="majorBidi" w:hAnsiTheme="majorBidi" w:cstheme="majorBidi"/>
                <w:color w:val="auto"/>
                <w:sz w:val="21"/>
                <w:lang w:val="en-US" w:eastAsia="zh-CN"/>
              </w:rPr>
              <w:t xml:space="preserve"> a</w:t>
            </w:r>
            <w:r>
              <w:rPr>
                <w:rFonts w:asciiTheme="majorBidi" w:hAnsiTheme="majorBidi" w:cstheme="majorBidi"/>
                <w:color w:val="auto"/>
                <w:sz w:val="21"/>
              </w:rPr>
              <w:t>gent-regret.</w:t>
            </w:r>
          </w:p>
        </w:tc>
        <w:tc>
          <w:tcPr>
            <w:tcW w:w="888" w:type="pct"/>
            <w:tcBorders>
              <w:tl2br w:val="nil"/>
              <w:tr2bl w:val="nil"/>
            </w:tcBorders>
            <w:shd w:val="clear" w:color="auto" w:fill="auto"/>
          </w:tcPr>
          <w:p w14:paraId="2AA8E21C">
            <w:pPr>
              <w:pStyle w:val="4"/>
              <w:rPr>
                <w:rFonts w:asciiTheme="majorBidi" w:hAnsiTheme="majorBidi" w:cstheme="majorBidi"/>
                <w:color w:val="auto"/>
                <w:kern w:val="0"/>
                <w:sz w:val="21"/>
              </w:rPr>
            </w:pPr>
            <w:r>
              <w:rPr>
                <w:rFonts w:asciiTheme="majorBidi" w:hAnsiTheme="majorBidi" w:cstheme="majorBidi"/>
                <w:color w:val="auto"/>
                <w:kern w:val="0"/>
                <w:sz w:val="21"/>
              </w:rPr>
              <w:t>Conceptual insight</w:t>
            </w:r>
          </w:p>
          <w:p w14:paraId="2AA8E21D">
            <w:pPr>
              <w:pStyle w:val="4"/>
              <w:rPr>
                <w:rFonts w:asciiTheme="majorBidi" w:hAnsiTheme="majorBidi" w:cstheme="majorBidi"/>
                <w:color w:val="auto"/>
                <w:kern w:val="0"/>
                <w:sz w:val="21"/>
              </w:rPr>
            </w:pPr>
            <w:r>
              <w:rPr>
                <w:rFonts w:asciiTheme="majorBidi" w:hAnsiTheme="majorBidi" w:cstheme="majorBidi"/>
                <w:color w:val="auto"/>
                <w:sz w:val="21"/>
              </w:rPr>
              <w:t xml:space="preserve">Clinicians </w:t>
            </w:r>
          </w:p>
        </w:tc>
        <w:tc>
          <w:tcPr>
            <w:tcW w:w="2165" w:type="pct"/>
            <w:tcBorders>
              <w:tl2br w:val="nil"/>
              <w:tr2bl w:val="nil"/>
            </w:tcBorders>
            <w:shd w:val="clear" w:color="auto" w:fill="auto"/>
          </w:tcPr>
          <w:p w14:paraId="2AA8E21E">
            <w:pPr>
              <w:autoSpaceDE w:val="0"/>
              <w:autoSpaceDN w:val="0"/>
              <w:adjustRightInd w:val="0"/>
              <w:spacing w:after="0" w:line="240" w:lineRule="auto"/>
              <w:jc w:val="both"/>
              <w:rPr>
                <w:rFonts w:asciiTheme="majorBidi" w:hAnsiTheme="majorBidi" w:cstheme="majorBidi"/>
                <w:color w:val="auto"/>
                <w:kern w:val="0"/>
                <w:sz w:val="21"/>
                <w:szCs w:val="21"/>
              </w:rPr>
            </w:pPr>
            <w:r>
              <w:rPr>
                <w:rFonts w:asciiTheme="majorBidi" w:hAnsiTheme="majorBidi" w:cstheme="majorBidi"/>
                <w:i/>
                <w:iCs/>
                <w:color w:val="auto"/>
                <w:kern w:val="0"/>
                <w:sz w:val="21"/>
                <w:szCs w:val="21"/>
              </w:rPr>
              <w:t>“Moral distress is an experience of the moral emotion agent-regret, as it fittingly arises in response to one’s participation in a tragic or potentially unjust care-related circumstance in which one is unable to act otherwise due to factors beyond one’s immediate control”</w:t>
            </w:r>
            <w:r>
              <w:rPr>
                <w:rFonts w:asciiTheme="majorBidi" w:hAnsiTheme="majorBidi" w:cstheme="majorBidi"/>
                <w:color w:val="auto"/>
                <w:kern w:val="0"/>
                <w:sz w:val="21"/>
                <w:szCs w:val="21"/>
              </w:rPr>
              <w:t xml:space="preserve"> (P. 47)</w:t>
            </w:r>
          </w:p>
        </w:tc>
        <w:tc>
          <w:tcPr>
            <w:tcW w:w="285" w:type="pct"/>
            <w:tcBorders>
              <w:tl2br w:val="nil"/>
              <w:tr2bl w:val="nil"/>
            </w:tcBorders>
            <w:shd w:val="clear" w:color="auto" w:fill="auto"/>
          </w:tcPr>
          <w:p w14:paraId="2AA8E21F">
            <w:pPr>
              <w:autoSpaceDE w:val="0"/>
              <w:autoSpaceDN w:val="0"/>
              <w:adjustRightInd w:val="0"/>
              <w:spacing w:after="0" w:line="240" w:lineRule="auto"/>
              <w:rPr>
                <w:rFonts w:asciiTheme="majorBidi" w:hAnsiTheme="majorBidi" w:cstheme="majorBidi"/>
                <w:color w:val="auto"/>
                <w:kern w:val="0"/>
                <w:sz w:val="21"/>
                <w:szCs w:val="21"/>
              </w:rPr>
            </w:pPr>
            <w:r>
              <w:rPr>
                <w:rFonts w:asciiTheme="majorBidi" w:hAnsiTheme="majorBidi" w:cstheme="majorBidi"/>
                <w:color w:val="auto"/>
                <w:sz w:val="21"/>
                <w:szCs w:val="21"/>
              </w:rPr>
              <w:t>LVL III</w:t>
            </w:r>
          </w:p>
        </w:tc>
        <w:tc>
          <w:tcPr>
            <w:tcW w:w="263" w:type="pct"/>
            <w:tcBorders>
              <w:tl2br w:val="nil"/>
              <w:tr2bl w:val="nil"/>
            </w:tcBorders>
            <w:shd w:val="clear" w:color="auto" w:fill="auto"/>
          </w:tcPr>
          <w:p w14:paraId="2AA8E220">
            <w:pPr>
              <w:autoSpaceDE w:val="0"/>
              <w:autoSpaceDN w:val="0"/>
              <w:adjustRightInd w:val="0"/>
              <w:spacing w:after="0" w:line="240" w:lineRule="auto"/>
              <w:rPr>
                <w:rFonts w:asciiTheme="majorBidi" w:hAnsiTheme="majorBidi" w:cstheme="majorBidi"/>
                <w:color w:val="auto"/>
                <w:sz w:val="21"/>
                <w:szCs w:val="21"/>
              </w:rPr>
            </w:pPr>
            <w:r>
              <w:rPr>
                <w:rFonts w:asciiTheme="majorBidi" w:hAnsiTheme="majorBidi" w:cstheme="majorBidi"/>
                <w:color w:val="auto"/>
                <w:sz w:val="21"/>
                <w:szCs w:val="21"/>
              </w:rPr>
              <w:t>a,c,e</w:t>
            </w:r>
          </w:p>
        </w:tc>
      </w:tr>
      <w:tr w14:paraId="2AA8E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5" w:hRule="atLeast"/>
        </w:trPr>
        <w:tc>
          <w:tcPr>
            <w:tcW w:w="544" w:type="pct"/>
            <w:tcBorders>
              <w:insideV w:val="single" w:sz="4" w:space="0"/>
              <w:tl2br w:val="nil"/>
              <w:tr2bl w:val="nil"/>
            </w:tcBorders>
            <w:shd w:val="clear" w:color="auto" w:fill="auto"/>
          </w:tcPr>
          <w:p w14:paraId="2AA8E222">
            <w:pPr>
              <w:pStyle w:val="4"/>
              <w:jc w:val="righ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&lt;EndNote&gt;&lt;Cite&gt;&lt;Author&gt;Wachholz&lt;/Author&gt;&lt;Year&gt;2019&lt;/Year&gt;&lt;RecNum&gt;346&lt;/RecNum&gt;&lt;DisplayText&gt;(Wachholz et al., 2019)&lt;/DisplayText&gt;&lt;record&gt;&lt;rec-number&gt;346&lt;/rec-number&gt;&lt;foreign-keys&gt;&lt;key app="EN" db-id="daxr9sxtlpdx2peae9dx2f5o0vr2zzews552" timestamp="1703103090"&gt;346&lt;/key&gt;&lt;/foreign-keys&gt;&lt;ref-type name="Journal Article"&gt;17&lt;/ref-type&gt;&lt;contributors&gt;&lt;authors&gt;&lt;author&gt;Wachholz, Aline&lt;/author&gt;&lt;author&gt;Dalmolin, Graziele de Lima&lt;/author&gt;&lt;author&gt;Silva, Augusto Maciel da&lt;/author&gt;&lt;author&gt;Andolhe, Rafaela&lt;/author&gt;&lt;author&gt;Barlem, Edison Luiz Devos&lt;/author&gt;&lt;author&gt;Cogo, Silvana Bastos&lt;/author&gt;&lt;/authors&gt;&lt;/contributors&gt;&lt;titles&gt;&lt;title&gt;Moral distress and work satisfaction: what is their relation in nursing work?&lt;/title&gt;&lt;secondary-title&gt;Revista da Escola de Enfermagem da USP&lt;/secondary-title&gt;&lt;/titles&gt;&lt;periodical&gt;&lt;full-title&gt;Revista da Escola de Enfermagem da USP&lt;/full-title&gt;&lt;/periodical&gt;&lt;volume&gt;53&lt;/volume&gt;&lt;dates&gt;&lt;year&gt;2019&lt;/year&gt;&lt;/dates&gt;&lt;isbn&gt;0080-6234&lt;/isbn&gt;&lt;urls&gt;&lt;/urls&gt;&lt;/record&gt;&lt;/Cite&gt;&lt;/EndNote&gt;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Wachholz et al.,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2019)</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34</w:t>
            </w:r>
            <w:r>
              <w:rPr>
                <w:rFonts w:hint="eastAsia" w:asciiTheme="majorBidi" w:hAnsiTheme="majorBidi" w:eastAsiaTheme="majorEastAsia" w:cstheme="majorBidi"/>
                <w:i w:val="0"/>
                <w:iCs w:val="0"/>
                <w:color w:val="auto"/>
                <w:sz w:val="21"/>
                <w:lang w:val="en-US" w:eastAsia="zh-CN"/>
              </w:rPr>
              <w:t xml:space="preserve">] </w:t>
            </w:r>
          </w:p>
          <w:p w14:paraId="2AA8E223">
            <w:pPr>
              <w:pStyle w:val="4"/>
              <w:jc w:val="righ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Brazile</w:t>
            </w:r>
          </w:p>
        </w:tc>
        <w:tc>
          <w:tcPr>
            <w:tcW w:w="852" w:type="pct"/>
            <w:tcBorders>
              <w:tl2br w:val="nil"/>
              <w:tr2bl w:val="nil"/>
            </w:tcBorders>
            <w:shd w:val="clear" w:color="auto" w:fill="auto"/>
          </w:tcPr>
          <w:p w14:paraId="2AA8E224">
            <w:pPr>
              <w:pStyle w:val="4"/>
              <w:rPr>
                <w:rFonts w:asciiTheme="majorBidi" w:hAnsiTheme="majorBidi" w:cstheme="majorBidi"/>
                <w:color w:val="auto"/>
                <w:sz w:val="21"/>
              </w:rPr>
            </w:pPr>
            <w:r>
              <w:rPr>
                <w:rFonts w:asciiTheme="majorBidi" w:hAnsiTheme="majorBidi" w:cstheme="majorBidi"/>
                <w:color w:val="auto"/>
                <w:sz w:val="21"/>
              </w:rPr>
              <w:t>Verify relations between moral distress and work satisfaction in nursing work in the hospital context.</w:t>
            </w:r>
          </w:p>
        </w:tc>
        <w:tc>
          <w:tcPr>
            <w:tcW w:w="888" w:type="pct"/>
            <w:tcBorders>
              <w:tl2br w:val="nil"/>
              <w:tr2bl w:val="nil"/>
            </w:tcBorders>
            <w:shd w:val="clear" w:color="auto" w:fill="auto"/>
          </w:tcPr>
          <w:p w14:paraId="2AA8E225">
            <w:pPr>
              <w:pStyle w:val="4"/>
              <w:rPr>
                <w:rFonts w:asciiTheme="majorBidi" w:hAnsiTheme="majorBidi" w:cstheme="majorBidi"/>
                <w:color w:val="auto"/>
                <w:kern w:val="0"/>
                <w:sz w:val="21"/>
              </w:rPr>
            </w:pPr>
            <w:r>
              <w:rPr>
                <w:rFonts w:asciiTheme="majorBidi" w:hAnsiTheme="majorBidi" w:cstheme="majorBidi"/>
                <w:color w:val="auto"/>
                <w:sz w:val="21"/>
              </w:rPr>
              <w:t xml:space="preserve">Quantitative </w:t>
            </w:r>
            <w:r>
              <w:rPr>
                <w:rFonts w:asciiTheme="majorBidi" w:hAnsiTheme="majorBidi" w:cstheme="majorBidi"/>
                <w:color w:val="auto"/>
                <w:kern w:val="0"/>
                <w:sz w:val="21"/>
              </w:rPr>
              <w:t>cross-sectional</w:t>
            </w:r>
          </w:p>
          <w:p w14:paraId="2AA8E227">
            <w:pPr>
              <w:pStyle w:val="4"/>
              <w:rPr>
                <w:rFonts w:asciiTheme="majorBidi" w:hAnsiTheme="majorBidi" w:cstheme="majorBidi"/>
                <w:color w:val="auto"/>
                <w:kern w:val="0"/>
                <w:sz w:val="21"/>
              </w:rPr>
            </w:pPr>
            <w:r>
              <w:rPr>
                <w:rFonts w:asciiTheme="majorBidi" w:hAnsiTheme="majorBidi" w:cstheme="majorBidi"/>
                <w:color w:val="auto"/>
                <w:sz w:val="21"/>
              </w:rPr>
              <w:t>141 Nurses</w:t>
            </w:r>
          </w:p>
        </w:tc>
        <w:tc>
          <w:tcPr>
            <w:tcW w:w="2165" w:type="pct"/>
            <w:tcBorders>
              <w:tl2br w:val="nil"/>
              <w:tr2bl w:val="nil"/>
            </w:tcBorders>
            <w:shd w:val="clear" w:color="auto" w:fill="auto"/>
          </w:tcPr>
          <w:p w14:paraId="2AA8E228">
            <w:pPr>
              <w:autoSpaceDE w:val="0"/>
              <w:autoSpaceDN w:val="0"/>
              <w:adjustRightInd w:val="0"/>
              <w:spacing w:after="0" w:line="240" w:lineRule="auto"/>
              <w:jc w:val="both"/>
              <w:rPr>
                <w:rFonts w:asciiTheme="majorBidi" w:hAnsiTheme="majorBidi" w:cstheme="majorBidi"/>
                <w:color w:val="auto"/>
                <w:kern w:val="0"/>
                <w:sz w:val="21"/>
                <w:szCs w:val="21"/>
              </w:rPr>
            </w:pPr>
            <w:r>
              <w:rPr>
                <w:rFonts w:asciiTheme="majorBidi" w:hAnsiTheme="majorBidi" w:cstheme="majorBidi"/>
                <w:color w:val="auto"/>
                <w:kern w:val="0"/>
                <w:sz w:val="21"/>
                <w:szCs w:val="21"/>
              </w:rPr>
              <w:t>“Autonomy” was the component of greater work satisfaction, appearing</w:t>
            </w:r>
          </w:p>
          <w:p w14:paraId="2AA8E229">
            <w:pPr>
              <w:autoSpaceDE w:val="0"/>
              <w:autoSpaceDN w:val="0"/>
              <w:adjustRightInd w:val="0"/>
              <w:spacing w:after="0" w:line="240" w:lineRule="auto"/>
              <w:jc w:val="both"/>
              <w:rPr>
                <w:rFonts w:asciiTheme="majorBidi" w:hAnsiTheme="majorBidi" w:cstheme="majorBidi"/>
                <w:color w:val="auto"/>
                <w:kern w:val="0"/>
                <w:sz w:val="21"/>
                <w:szCs w:val="21"/>
              </w:rPr>
            </w:pPr>
            <w:r>
              <w:rPr>
                <w:rFonts w:asciiTheme="majorBidi" w:hAnsiTheme="majorBidi" w:cstheme="majorBidi"/>
                <w:color w:val="auto"/>
                <w:kern w:val="0"/>
                <w:sz w:val="21"/>
                <w:szCs w:val="21"/>
              </w:rPr>
              <w:t>as fragile in the greater intensity issues of moral distress. Autonomy was followed by “interaction” and “remuneration” as components of satisfaction, and “lack of competence</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in the team” and “insufficient working conditions” as having greater intensity and</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frequency of moral distress, respectively. Conclusion: Comparing these two constructs denoted inverse relationships between them, especially while autonomy, a component of greater satisfaction, also appears as a trigger of moral distress when insufficiently exercised. Thus, it is considered necessary to strengthen nursing work environments for</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ethical and satisfactory performance.</w:t>
            </w:r>
          </w:p>
        </w:tc>
        <w:tc>
          <w:tcPr>
            <w:tcW w:w="285" w:type="pct"/>
            <w:tcBorders>
              <w:tl2br w:val="nil"/>
              <w:tr2bl w:val="nil"/>
            </w:tcBorders>
            <w:shd w:val="clear" w:color="auto" w:fill="auto"/>
          </w:tcPr>
          <w:p w14:paraId="2AA8E22A">
            <w:pPr>
              <w:autoSpaceDE w:val="0"/>
              <w:autoSpaceDN w:val="0"/>
              <w:adjustRightInd w:val="0"/>
              <w:spacing w:after="0" w:line="240" w:lineRule="auto"/>
              <w:rPr>
                <w:rFonts w:asciiTheme="majorBidi" w:hAnsiTheme="majorBidi" w:cstheme="majorBidi"/>
                <w:color w:val="auto"/>
                <w:kern w:val="0"/>
                <w:sz w:val="21"/>
                <w:szCs w:val="21"/>
              </w:rPr>
            </w:pPr>
            <w:r>
              <w:rPr>
                <w:rFonts w:asciiTheme="majorBidi" w:hAnsiTheme="majorBidi" w:cstheme="majorBidi"/>
                <w:color w:val="auto"/>
                <w:sz w:val="21"/>
                <w:szCs w:val="21"/>
              </w:rPr>
              <w:t>LVL II</w:t>
            </w:r>
          </w:p>
        </w:tc>
        <w:tc>
          <w:tcPr>
            <w:tcW w:w="263" w:type="pct"/>
            <w:tcBorders>
              <w:tl2br w:val="nil"/>
              <w:tr2bl w:val="nil"/>
            </w:tcBorders>
            <w:shd w:val="clear" w:color="auto" w:fill="auto"/>
          </w:tcPr>
          <w:p w14:paraId="2AA8E22B">
            <w:pPr>
              <w:autoSpaceDE w:val="0"/>
              <w:autoSpaceDN w:val="0"/>
              <w:adjustRightInd w:val="0"/>
              <w:spacing w:after="0" w:line="240" w:lineRule="auto"/>
              <w:rPr>
                <w:rFonts w:asciiTheme="majorBidi" w:hAnsiTheme="majorBidi" w:cstheme="majorBidi"/>
                <w:color w:val="auto"/>
                <w:sz w:val="21"/>
                <w:szCs w:val="21"/>
              </w:rPr>
            </w:pPr>
            <w:r>
              <w:rPr>
                <w:rFonts w:asciiTheme="majorBidi" w:hAnsiTheme="majorBidi" w:cstheme="majorBidi"/>
                <w:color w:val="auto"/>
                <w:sz w:val="21"/>
                <w:szCs w:val="21"/>
              </w:rPr>
              <w:t>a,b,c,d</w:t>
            </w:r>
          </w:p>
        </w:tc>
      </w:tr>
      <w:tr w14:paraId="2AA8E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11" w:hRule="atLeast"/>
        </w:trPr>
        <w:tc>
          <w:tcPr>
            <w:tcW w:w="544" w:type="pct"/>
            <w:tcBorders>
              <w:bottom w:val="single" w:color="auto" w:sz="4" w:space="0"/>
              <w:insideV w:val="single" w:sz="4" w:space="0"/>
            </w:tcBorders>
            <w:shd w:val="clear" w:color="auto" w:fill="auto"/>
          </w:tcPr>
          <w:p w14:paraId="2AA8E22D">
            <w:pPr>
              <w:pStyle w:val="4"/>
              <w:jc w:val="right"/>
              <w:rPr>
                <w:rFonts w:asciiTheme="majorBidi" w:hAnsiTheme="majorBidi" w:eastAsiaTheme="majorEastAsia" w:cstheme="majorBidi"/>
                <w:i/>
                <w:iCs/>
                <w:color w:val="auto"/>
                <w:sz w:val="21"/>
                <w:lang w:val="en-US" w:eastAsia="zh-CN"/>
              </w:rPr>
            </w:pPr>
            <w:r>
              <w:rPr>
                <w:rFonts w:asciiTheme="majorBidi" w:hAnsiTheme="majorBidi" w:eastAsiaTheme="majorEastAsia" w:cstheme="majorBidi"/>
                <w:i/>
                <w:iCs/>
                <w:color w:val="auto"/>
                <w:sz w:val="21"/>
              </w:rPr>
              <w:fldChar w:fldCharType="begin"/>
            </w:r>
            <w:r>
              <w:rPr>
                <w:rFonts w:asciiTheme="majorBidi" w:hAnsiTheme="majorBidi" w:eastAsiaTheme="majorEastAsia" w:cstheme="majorBidi"/>
                <w:i w:val="0"/>
                <w:iCs w:val="0"/>
                <w:color w:val="auto"/>
                <w:sz w:val="21"/>
              </w:rPr>
              <w:instrText xml:space="preserve"> ADDIN EN.CITE &lt;EndNote&gt;&lt;Cite&gt;&lt;Author&gt;Arends&lt;/Author&gt;&lt;Year&gt;2022&lt;/Year&gt;&lt;RecNum&gt;371&lt;/RecNum&gt;&lt;DisplayText&gt;(Arends et al., 2022)&lt;/DisplayText&gt;&lt;record&gt;&lt;rec-number&gt;371&lt;/rec-number&gt;&lt;foreign-keys&gt;&lt;key app="EN" db-id="daxr9sxtlpdx2peae9dx2f5o0vr2zzews552" timestamp="1704542497"&gt;371&lt;/key&gt;&lt;/foreign-keys&gt;&lt;ref-type name="Journal Article"&gt;17&lt;/ref-type&gt;&lt;contributors&gt;&lt;authors&gt;&lt;author&gt;Arends, Susanne A. M.&lt;/author&gt;&lt;author&gt;Steenbergen, Milou&lt;/author&gt;&lt;author&gt;Thodé, Maureen&lt;/author&gt;&lt;author&gt;Francke, Anneke L.&lt;/author&gt;&lt;author&gt;Jongerden, Irene P.&lt;/author&gt;&lt;/authors&gt;&lt;/contributors&gt;&lt;titles&gt;&lt;title&gt;Moral distress among nurses involved in life-prolonging treatments in patients with a short life expectancy: A qualitative interview study&lt;/title&gt;&lt;secondary-title&gt;Patient Education and Counseling&lt;/secondary-title&gt;&lt;/titles&gt;&lt;periodical&gt;&lt;full-title&gt;Patient Education and Counseling&lt;/full-title&gt;&lt;/periodical&gt;&lt;pages&gt;2531-2536&lt;/pages&gt;&lt;volume&gt;105&lt;/volume&gt;&lt;number&gt;7&lt;/number&gt;&lt;keywords&gt;&lt;keyword&gt;Shared decision-making&lt;/keyword&gt;&lt;keyword&gt;Moral distress&lt;/keyword&gt;&lt;keyword&gt;Life-prolonging treatment&lt;/keyword&gt;&lt;keyword&gt;End-of-life-care&lt;/keyword&gt;&lt;keyword&gt;Palliative care&lt;/keyword&gt;&lt;keyword&gt;Hospital nurses&lt;/keyword&gt;&lt;keyword&gt;Outpatient&lt;/keyword&gt;&lt;keyword&gt;Inpatient&lt;/keyword&gt;&lt;/keywords&gt;&lt;dates&gt;&lt;year&gt;2022&lt;/year&gt;&lt;pub-dates&gt;&lt;date&gt;2022/07/01/&lt;/date&gt;&lt;/pub-dates&gt;&lt;/dates&gt;&lt;isbn&gt;0738-3991&lt;/isbn&gt;&lt;urls&gt;&lt;related-urls&gt;&lt;url&gt;https://www.sciencedirect.com/science/article/pii/S0738399122000416&lt;/url&gt;&lt;/related-urls&gt;&lt;/urls&gt;&lt;electronic-resource-num&gt;https://doi.org/10.1016/j.pec.2022.01.017&lt;/electronic-resource-num&gt;&lt;/record&gt;&lt;/Cite&gt;&lt;/EndNote&gt;</w:instrText>
            </w:r>
            <w:r>
              <w:rPr>
                <w:rFonts w:asciiTheme="majorBidi" w:hAnsiTheme="majorBidi" w:eastAsiaTheme="majorEastAsia" w:cstheme="majorBidi"/>
                <w:i/>
                <w:iCs/>
                <w:color w:val="auto"/>
                <w:sz w:val="21"/>
              </w:rPr>
              <w:fldChar w:fldCharType="separate"/>
            </w:r>
            <w:r>
              <w:rPr>
                <w:rFonts w:asciiTheme="majorBidi" w:hAnsiTheme="majorBidi" w:eastAsiaTheme="majorEastAsia" w:cstheme="majorBidi"/>
                <w:i w:val="0"/>
                <w:iCs w:val="0"/>
                <w:color w:val="auto"/>
                <w:sz w:val="21"/>
              </w:rPr>
              <w:t xml:space="preserve">Arends et al., </w:t>
            </w:r>
            <w:r>
              <w:rPr>
                <w:rFonts w:hint="eastAsia" w:asciiTheme="majorBidi" w:hAnsiTheme="majorBidi" w:eastAsiaTheme="majorEastAsia" w:cstheme="majorBidi"/>
                <w:i w:val="0"/>
                <w:iCs w:val="0"/>
                <w:color w:val="auto"/>
                <w:sz w:val="21"/>
                <w:lang w:val="en-US" w:eastAsia="zh-CN"/>
              </w:rPr>
              <w:t>(</w:t>
            </w:r>
            <w:r>
              <w:rPr>
                <w:rFonts w:asciiTheme="majorBidi" w:hAnsiTheme="majorBidi" w:eastAsiaTheme="majorEastAsia" w:cstheme="majorBidi"/>
                <w:i w:val="0"/>
                <w:iCs w:val="0"/>
                <w:color w:val="auto"/>
                <w:sz w:val="21"/>
              </w:rPr>
              <w:t>2022)</w:t>
            </w:r>
            <w:r>
              <w:rPr>
                <w:rFonts w:asciiTheme="majorBidi" w:hAnsiTheme="majorBidi" w:eastAsiaTheme="majorEastAsia" w:cstheme="majorBidi"/>
                <w:i/>
                <w:iCs/>
                <w:color w:val="auto"/>
                <w:sz w:val="21"/>
              </w:rPr>
              <w:fldChar w:fldCharType="end"/>
            </w:r>
            <w:r>
              <w:rPr>
                <w:rFonts w:hint="eastAsia" w:asciiTheme="majorBidi" w:hAnsiTheme="majorBidi" w:eastAsiaTheme="majorEastAsia" w:cstheme="majorBidi"/>
                <w:i w:val="0"/>
                <w:iCs w:val="0"/>
                <w:color w:val="auto"/>
                <w:sz w:val="21"/>
                <w:lang w:val="en-US" w:eastAsia="zh-CN"/>
              </w:rPr>
              <w:t xml:space="preserve"> [</w:t>
            </w:r>
            <w:r>
              <w:rPr>
                <w:rFonts w:asciiTheme="majorBidi" w:hAnsiTheme="majorBidi" w:eastAsiaTheme="majorEastAsia" w:cstheme="majorBidi"/>
                <w:i w:val="0"/>
                <w:iCs w:val="0"/>
                <w:color w:val="auto"/>
                <w:sz w:val="21"/>
                <w:lang w:val="en-US" w:eastAsia="zh-CN"/>
              </w:rPr>
              <w:t>26</w:t>
            </w:r>
            <w:r>
              <w:rPr>
                <w:rFonts w:hint="eastAsia" w:asciiTheme="majorBidi" w:hAnsiTheme="majorBidi" w:eastAsiaTheme="majorEastAsia" w:cstheme="majorBidi"/>
                <w:i w:val="0"/>
                <w:iCs w:val="0"/>
                <w:color w:val="auto"/>
                <w:sz w:val="21"/>
                <w:lang w:val="en-US" w:eastAsia="zh-CN"/>
              </w:rPr>
              <w:t xml:space="preserve">] </w:t>
            </w:r>
          </w:p>
          <w:p w14:paraId="2AA8E22E">
            <w:pPr>
              <w:pStyle w:val="4"/>
              <w:jc w:val="right"/>
              <w:rPr>
                <w:rFonts w:asciiTheme="majorBidi" w:hAnsiTheme="majorBidi" w:eastAsiaTheme="majorEastAsia" w:cstheme="majorBidi"/>
                <w:i/>
                <w:iCs/>
                <w:color w:val="auto"/>
                <w:sz w:val="21"/>
              </w:rPr>
            </w:pPr>
            <w:r>
              <w:rPr>
                <w:rFonts w:asciiTheme="majorBidi" w:hAnsiTheme="majorBidi" w:eastAsiaTheme="majorEastAsia" w:cstheme="majorBidi"/>
                <w:i w:val="0"/>
                <w:iCs w:val="0"/>
                <w:color w:val="auto"/>
                <w:sz w:val="21"/>
              </w:rPr>
              <w:t>Netherlands</w:t>
            </w:r>
          </w:p>
          <w:p w14:paraId="2AA8E22F">
            <w:pPr>
              <w:pStyle w:val="4"/>
              <w:jc w:val="right"/>
              <w:rPr>
                <w:rFonts w:asciiTheme="majorBidi" w:hAnsiTheme="majorBidi" w:eastAsiaTheme="majorEastAsia" w:cstheme="majorBidi"/>
                <w:i/>
                <w:iCs/>
                <w:color w:val="auto"/>
                <w:sz w:val="21"/>
              </w:rPr>
            </w:pPr>
          </w:p>
        </w:tc>
        <w:tc>
          <w:tcPr>
            <w:tcW w:w="852" w:type="pct"/>
            <w:tcBorders>
              <w:bottom w:val="single" w:color="auto" w:sz="4" w:space="0"/>
            </w:tcBorders>
            <w:shd w:val="clear" w:color="auto" w:fill="auto"/>
          </w:tcPr>
          <w:p w14:paraId="2AA8E230">
            <w:pPr>
              <w:pStyle w:val="4"/>
              <w:rPr>
                <w:rFonts w:asciiTheme="majorBidi" w:hAnsiTheme="majorBidi" w:cstheme="majorBidi"/>
                <w:color w:val="auto"/>
                <w:sz w:val="21"/>
              </w:rPr>
            </w:pPr>
            <w:r>
              <w:rPr>
                <w:rFonts w:asciiTheme="majorBidi" w:hAnsiTheme="majorBidi" w:cstheme="majorBidi"/>
                <w:color w:val="auto"/>
                <w:sz w:val="21"/>
              </w:rPr>
              <w:t>Explore whether nurses in hospital settings experience moral distress when</w:t>
            </w:r>
            <w:r>
              <w:rPr>
                <w:rFonts w:hint="eastAsia" w:asciiTheme="majorBidi" w:hAnsiTheme="majorBidi" w:cstheme="majorBidi"/>
                <w:color w:val="auto"/>
                <w:sz w:val="21"/>
                <w:lang w:val="en-US" w:eastAsia="zh-CN"/>
              </w:rPr>
              <w:t xml:space="preserve"> </w:t>
            </w:r>
            <w:r>
              <w:rPr>
                <w:rFonts w:asciiTheme="majorBidi" w:hAnsiTheme="majorBidi" w:cstheme="majorBidi"/>
                <w:color w:val="auto"/>
                <w:sz w:val="21"/>
              </w:rPr>
              <w:t>involved in potentially</w:t>
            </w:r>
          </w:p>
          <w:p w14:paraId="2AA8E231">
            <w:pPr>
              <w:pStyle w:val="4"/>
              <w:rPr>
                <w:rFonts w:asciiTheme="majorBidi" w:hAnsiTheme="majorBidi" w:cstheme="majorBidi"/>
                <w:color w:val="auto"/>
                <w:sz w:val="21"/>
              </w:rPr>
            </w:pPr>
            <w:r>
              <w:rPr>
                <w:rFonts w:hint="eastAsia" w:asciiTheme="majorBidi" w:hAnsiTheme="majorBidi" w:cstheme="majorBidi"/>
                <w:color w:val="auto"/>
                <w:sz w:val="21"/>
                <w:lang w:val="en-US" w:eastAsia="zh-CN"/>
              </w:rPr>
              <w:t>l</w:t>
            </w:r>
            <w:r>
              <w:rPr>
                <w:rFonts w:asciiTheme="majorBidi" w:hAnsiTheme="majorBidi" w:cstheme="majorBidi"/>
                <w:color w:val="auto"/>
                <w:sz w:val="21"/>
              </w:rPr>
              <w:t>ife-prolonging treatments in adults with a short life expectancy.</w:t>
            </w:r>
          </w:p>
        </w:tc>
        <w:tc>
          <w:tcPr>
            <w:tcW w:w="888" w:type="pct"/>
            <w:tcBorders>
              <w:bottom w:val="single" w:color="auto" w:sz="4" w:space="0"/>
            </w:tcBorders>
            <w:shd w:val="clear" w:color="auto" w:fill="auto"/>
          </w:tcPr>
          <w:p w14:paraId="2AA8E232">
            <w:pPr>
              <w:pStyle w:val="4"/>
              <w:rPr>
                <w:rFonts w:asciiTheme="majorBidi" w:hAnsiTheme="majorBidi" w:cstheme="majorBidi"/>
                <w:color w:val="auto"/>
                <w:kern w:val="0"/>
                <w:sz w:val="21"/>
              </w:rPr>
            </w:pPr>
            <w:r>
              <w:rPr>
                <w:rFonts w:asciiTheme="majorBidi" w:hAnsiTheme="majorBidi" w:cstheme="majorBidi"/>
                <w:color w:val="auto"/>
                <w:sz w:val="21"/>
              </w:rPr>
              <w:t>Qualitative</w:t>
            </w:r>
            <w:r>
              <w:rPr>
                <w:rFonts w:asciiTheme="majorBidi" w:hAnsiTheme="majorBidi" w:cstheme="majorBidi"/>
                <w:color w:val="auto"/>
                <w:kern w:val="0"/>
                <w:sz w:val="21"/>
              </w:rPr>
              <w:t>, semi-structured interviews.</w:t>
            </w:r>
          </w:p>
          <w:p w14:paraId="2AA8E233">
            <w:pPr>
              <w:pStyle w:val="4"/>
              <w:rPr>
                <w:rFonts w:asciiTheme="majorBidi" w:hAnsiTheme="majorBidi" w:cstheme="majorBidi"/>
                <w:color w:val="auto"/>
                <w:kern w:val="0"/>
                <w:sz w:val="21"/>
              </w:rPr>
            </w:pPr>
            <w:r>
              <w:rPr>
                <w:rFonts w:asciiTheme="majorBidi" w:hAnsiTheme="majorBidi" w:cstheme="majorBidi"/>
                <w:color w:val="auto"/>
                <w:sz w:val="21"/>
              </w:rPr>
              <w:t xml:space="preserve">23 </w:t>
            </w:r>
            <w:r>
              <w:rPr>
                <w:rFonts w:hint="eastAsia" w:asciiTheme="majorBidi" w:hAnsiTheme="majorBidi" w:cstheme="majorBidi"/>
                <w:color w:val="auto"/>
                <w:sz w:val="21"/>
                <w:lang w:val="en-US" w:eastAsia="zh-CN"/>
              </w:rPr>
              <w:t>r</w:t>
            </w:r>
            <w:r>
              <w:rPr>
                <w:rFonts w:asciiTheme="majorBidi" w:hAnsiTheme="majorBidi" w:cstheme="majorBidi"/>
                <w:color w:val="auto"/>
                <w:sz w:val="21"/>
              </w:rPr>
              <w:t>egistered nurses working in inpatient or outpatient hospital.</w:t>
            </w:r>
          </w:p>
        </w:tc>
        <w:tc>
          <w:tcPr>
            <w:tcW w:w="2165" w:type="pct"/>
            <w:tcBorders>
              <w:bottom w:val="single" w:color="auto" w:sz="4" w:space="0"/>
            </w:tcBorders>
            <w:shd w:val="clear" w:color="auto" w:fill="auto"/>
          </w:tcPr>
          <w:p w14:paraId="2AA8E234">
            <w:pPr>
              <w:autoSpaceDE w:val="0"/>
              <w:autoSpaceDN w:val="0"/>
              <w:adjustRightInd w:val="0"/>
              <w:spacing w:after="0" w:line="240" w:lineRule="auto"/>
              <w:jc w:val="both"/>
              <w:rPr>
                <w:rFonts w:asciiTheme="majorBidi" w:hAnsiTheme="majorBidi" w:cstheme="majorBidi"/>
                <w:color w:val="auto"/>
                <w:kern w:val="0"/>
                <w:sz w:val="21"/>
                <w:szCs w:val="21"/>
              </w:rPr>
            </w:pPr>
            <w:r>
              <w:rPr>
                <w:rFonts w:asciiTheme="majorBidi" w:hAnsiTheme="majorBidi" w:cstheme="majorBidi"/>
                <w:color w:val="auto"/>
                <w:kern w:val="0"/>
                <w:sz w:val="21"/>
                <w:szCs w:val="21"/>
              </w:rPr>
              <w:t>The nurses stated they were often not involved in decisions regarding life-prolonging treatments. They reported signs of moral</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distress such as feeling powerless when they when they were not being listened to in the decision-making process and when confronted with negative treatment outcomes. Nurses felt frustrated when their own values were not</w:t>
            </w:r>
            <w:r>
              <w:rPr>
                <w:rFonts w:hint="eastAsia" w:asciiTheme="majorBidi" w:hAnsiTheme="majorBidi" w:cstheme="majorBidi"/>
                <w:color w:val="auto"/>
                <w:kern w:val="0"/>
                <w:sz w:val="21"/>
                <w:szCs w:val="21"/>
                <w:lang w:val="en-US" w:eastAsia="zh-CN"/>
              </w:rPr>
              <w:t xml:space="preserve"> </w:t>
            </w:r>
            <w:r>
              <w:rPr>
                <w:rFonts w:asciiTheme="majorBidi" w:hAnsiTheme="majorBidi" w:cstheme="majorBidi"/>
                <w:color w:val="auto"/>
                <w:kern w:val="0"/>
                <w:sz w:val="21"/>
                <w:szCs w:val="21"/>
              </w:rPr>
              <w:t>reflected in the decision-making or when physicians created unrealistic expectations.</w:t>
            </w:r>
          </w:p>
        </w:tc>
        <w:tc>
          <w:tcPr>
            <w:tcW w:w="285" w:type="pct"/>
            <w:tcBorders>
              <w:bottom w:val="single" w:color="auto" w:sz="4" w:space="0"/>
            </w:tcBorders>
            <w:shd w:val="clear" w:color="auto" w:fill="auto"/>
          </w:tcPr>
          <w:p w14:paraId="2AA8E235">
            <w:pPr>
              <w:autoSpaceDE w:val="0"/>
              <w:autoSpaceDN w:val="0"/>
              <w:adjustRightInd w:val="0"/>
              <w:spacing w:after="0" w:line="240" w:lineRule="auto"/>
              <w:rPr>
                <w:rFonts w:asciiTheme="majorBidi" w:hAnsiTheme="majorBidi" w:cstheme="majorBidi"/>
                <w:color w:val="auto"/>
                <w:kern w:val="0"/>
                <w:sz w:val="21"/>
                <w:szCs w:val="21"/>
              </w:rPr>
            </w:pPr>
            <w:r>
              <w:rPr>
                <w:rFonts w:asciiTheme="majorBidi" w:hAnsiTheme="majorBidi" w:cstheme="majorBidi"/>
                <w:color w:val="auto"/>
                <w:sz w:val="21"/>
                <w:szCs w:val="21"/>
              </w:rPr>
              <w:t>LVL III</w:t>
            </w:r>
          </w:p>
        </w:tc>
        <w:tc>
          <w:tcPr>
            <w:tcW w:w="263" w:type="pct"/>
            <w:tcBorders>
              <w:bottom w:val="single" w:color="auto" w:sz="4" w:space="0"/>
            </w:tcBorders>
            <w:shd w:val="clear" w:color="auto" w:fill="auto"/>
          </w:tcPr>
          <w:p w14:paraId="2AA8E236">
            <w:pPr>
              <w:autoSpaceDE w:val="0"/>
              <w:autoSpaceDN w:val="0"/>
              <w:adjustRightInd w:val="0"/>
              <w:spacing w:after="0" w:line="240" w:lineRule="auto"/>
              <w:rPr>
                <w:rFonts w:asciiTheme="majorBidi" w:hAnsiTheme="majorBidi" w:cstheme="majorBidi"/>
                <w:color w:val="auto"/>
                <w:sz w:val="21"/>
                <w:szCs w:val="21"/>
              </w:rPr>
            </w:pPr>
            <w:r>
              <w:rPr>
                <w:rFonts w:asciiTheme="majorBidi" w:hAnsiTheme="majorBidi" w:cstheme="majorBidi"/>
                <w:color w:val="auto"/>
                <w:sz w:val="21"/>
                <w:szCs w:val="21"/>
              </w:rPr>
              <w:t>a,b,c,d,e</w:t>
            </w:r>
          </w:p>
        </w:tc>
      </w:tr>
    </w:tbl>
    <w:p w14:paraId="7901C59B">
      <w:pPr>
        <w:pStyle w:val="5"/>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i/>
          <w:iCs/>
          <w:color w:val="auto"/>
          <w:sz w:val="21"/>
          <w:szCs w:val="21"/>
          <w:lang w:val="en-US" w:eastAsia="zh-CN"/>
        </w:rPr>
        <w:t>Note</w:t>
      </w:r>
      <w:r>
        <w:rPr>
          <w:rFonts w:hint="eastAsia" w:ascii="Times New Roman" w:hAnsi="Times New Roman" w:cs="Times New Roman"/>
          <w:color w:val="auto"/>
          <w:sz w:val="21"/>
          <w:szCs w:val="21"/>
          <w:lang w:val="en-US" w:eastAsia="zh-CN"/>
        </w:rPr>
        <w:t>: Studies were clustered under five themes which are: a = moral situation; b = knowing the right action (moral judgment); c = presence of constraints; d = doing the wrong action; e = moral suffering.</w:t>
      </w:r>
    </w:p>
    <w:p w14:paraId="6940DA4B">
      <w:pPr>
        <w:pStyle w:val="5"/>
        <w:rPr>
          <w:rFonts w:ascii="Times New Roman" w:hAnsi="Times New Roman" w:cs="Times New Roman"/>
          <w:color w:val="auto"/>
          <w:lang w:val="en-US"/>
        </w:rPr>
      </w:pPr>
    </w:p>
    <w:p w14:paraId="1245DF37">
      <w:pPr>
        <w:pStyle w:val="5"/>
        <w:rPr>
          <w:rFonts w:ascii="Times New Roman" w:hAnsi="Times New Roman" w:cs="Times New Roman"/>
          <w:color w:val="auto"/>
          <w:lang w:val="en-US"/>
        </w:rPr>
      </w:pPr>
    </w:p>
    <w:p w14:paraId="0BC42D06">
      <w:pPr>
        <w:pStyle w:val="5"/>
        <w:rPr>
          <w:rFonts w:ascii="Times New Roman" w:hAnsi="Times New Roman" w:cs="Times New Roman"/>
          <w:color w:val="auto"/>
          <w:lang w:val="en-US"/>
        </w:rPr>
      </w:pPr>
    </w:p>
    <w:sectPr>
      <w:pgSz w:w="16838" w:h="11906" w:orient="landscape"/>
      <w:pgMar w:top="1440" w:right="1440" w:bottom="1440" w:left="1440" w:header="0" w:footer="0" w:gutter="0"/>
      <w:pgBorders>
        <w:top w:val="none" w:sz="0" w:space="0"/>
        <w:left w:val="none" w:sz="0" w:space="0"/>
        <w:bottom w:val="none" w:sz="0" w:space="0"/>
        <w:right w:val="none" w:sz="0" w:space="0"/>
      </w:pgBorders>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4">
    <w:p>
      <w:pPr>
        <w:spacing w:line="240" w:lineRule="auto"/>
      </w:pPr>
      <w:r>
        <w:separator/>
      </w:r>
    </w:p>
  </w:endnote>
  <w:endnote w:type="continuationSeparator" w:id="5">
    <w:p>
      <w:pPr>
        <w:spacing w:line="240" w:lineRule="auto"/>
      </w:pPr>
      <w:r>
        <w:continuationSeparator/>
      </w:r>
    </w:p>
  </w:endnote>
  <w:endnote w:id="0">
    <w:p w14:paraId="2AA8E240">
      <w:pPr>
        <w:pStyle w:val="5"/>
        <w:rPr>
          <w:color w:val="FF0000"/>
          <w:lang w:val="en-US"/>
        </w:rPr>
      </w:pPr>
    </w:p>
  </w:endnote>
  <w:endnote w:id="1">
    <w:p w14:paraId="2AA8E241">
      <w:pPr>
        <w:pStyle w:val="5"/>
        <w:rPr>
          <w:color w:val="FF0000"/>
          <w:lang w:val="en-US"/>
        </w:rPr>
      </w:pPr>
    </w:p>
    <w:p w14:paraId="5377E8E5">
      <w:pPr>
        <w:pStyle w:val="5"/>
        <w:rPr>
          <w:color w:val="FF0000"/>
          <w:lang w:val="en-US"/>
        </w:rPr>
      </w:pPr>
    </w:p>
    <w:p w14:paraId="269A8211">
      <w:pPr>
        <w:pStyle w:val="5"/>
        <w:rPr>
          <w:color w:val="FF0000"/>
          <w:lang w:val="en-US"/>
        </w:rPr>
      </w:pPr>
    </w:p>
    <w:p w14:paraId="153C4BD9">
      <w:pPr>
        <w:pStyle w:val="5"/>
        <w:rPr>
          <w:color w:val="FF0000"/>
          <w:lang w:val="en-US"/>
        </w:rPr>
      </w:pPr>
    </w:p>
    <w:p w14:paraId="210CA431">
      <w:pPr>
        <w:pStyle w:val="5"/>
        <w:rPr>
          <w:color w:val="FF0000"/>
          <w:lang w:val="en-US"/>
        </w:rPr>
      </w:pPr>
    </w:p>
    <w:p w14:paraId="10EDC25A">
      <w:pPr>
        <w:pStyle w:val="5"/>
        <w:rPr>
          <w:color w:val="FF0000"/>
          <w:lang w:val="en-US"/>
        </w:rPr>
      </w:pPr>
    </w:p>
    <w:p w14:paraId="1BFD4BC2">
      <w:pPr>
        <w:pStyle w:val="5"/>
        <w:rPr>
          <w:color w:val="FF0000"/>
          <w:lang w:val="en-US"/>
        </w:rPr>
      </w:pPr>
    </w:p>
    <w:p w14:paraId="1EA975FC">
      <w:pPr>
        <w:pStyle w:val="5"/>
        <w:rPr>
          <w:color w:val="FF0000"/>
          <w:lang w:val="en-US"/>
        </w:rPr>
      </w:pPr>
    </w:p>
    <w:p w14:paraId="743E470E">
      <w:pPr>
        <w:pStyle w:val="5"/>
        <w:rPr>
          <w:color w:val="FF0000"/>
          <w:lang w:val="en-US"/>
        </w:rPr>
      </w:pPr>
    </w:p>
    <w:p w14:paraId="485F2E37">
      <w:pPr>
        <w:pStyle w:val="5"/>
        <w:rPr>
          <w:color w:val="FF0000"/>
          <w:lang w:val="en-US"/>
        </w:rPr>
      </w:pPr>
    </w:p>
    <w:p w14:paraId="251D6316">
      <w:pPr>
        <w:pStyle w:val="5"/>
        <w:rPr>
          <w:color w:val="FF0000"/>
          <w:lang w:val="en-US"/>
        </w:rPr>
      </w:pPr>
    </w:p>
    <w:p w14:paraId="4654354B">
      <w:pPr>
        <w:pStyle w:val="5"/>
        <w:rPr>
          <w:rFonts w:ascii="Times New Roman" w:hAnsi="Times New Roman" w:cs="Times New Roman"/>
          <w:color w:val="FF0000"/>
          <w:sz w:val="22"/>
          <w:szCs w:val="22"/>
          <w:lang w:val="en-US" w:eastAsia="zh-CN"/>
        </w:rPr>
      </w:pPr>
    </w:p>
    <w:p w14:paraId="4B3BF882">
      <w:pPr>
        <w:pStyle w:val="5"/>
        <w:rPr>
          <w:rFonts w:ascii="Times New Roman" w:hAnsi="Times New Roman" w:cs="Times New Roman"/>
          <w:color w:val="FF0000"/>
          <w:sz w:val="22"/>
          <w:szCs w:val="22"/>
          <w:lang w:val="en-US" w:eastAsia="zh-CN"/>
        </w:rPr>
      </w:pPr>
    </w:p>
    <w:p w14:paraId="35DF9D2F">
      <w:pPr>
        <w:pStyle w:val="5"/>
        <w:rPr>
          <w:rFonts w:ascii="Times New Roman" w:hAnsi="Times New Roman" w:cs="Times New Roman"/>
          <w:color w:val="FF0000"/>
          <w:sz w:val="22"/>
          <w:szCs w:val="22"/>
          <w:lang w:val="en-US" w:eastAsia="zh-CN"/>
        </w:rPr>
      </w:pPr>
    </w:p>
    <w:p w14:paraId="7BF92D21">
      <w:pPr>
        <w:pStyle w:val="5"/>
        <w:rPr>
          <w:rFonts w:ascii="Times New Roman" w:hAnsi="Times New Roman" w:cs="Times New Roman"/>
          <w:color w:val="FF0000"/>
          <w:sz w:val="22"/>
          <w:szCs w:val="22"/>
          <w:lang w:val="en-US" w:eastAsia="zh-CN"/>
        </w:rPr>
      </w:pPr>
    </w:p>
    <w:p w14:paraId="35752EA7">
      <w:pPr>
        <w:pStyle w:val="5"/>
        <w:rPr>
          <w:rFonts w:ascii="Times New Roman" w:hAnsi="Times New Roman" w:cs="Times New Roman"/>
          <w:b w:val="0"/>
          <w:bCs w:val="0"/>
          <w:color w:val="auto"/>
          <w:sz w:val="22"/>
          <w:szCs w:val="22"/>
          <w:lang w:val="en-US" w:eastAsia="zh-CN"/>
        </w:rPr>
      </w:pPr>
      <w:r>
        <w:rPr>
          <w:rFonts w:ascii="Times New Roman" w:hAnsi="Times New Roman" w:cs="Times New Roman"/>
          <w:b w:val="0"/>
          <w:bCs w:val="0"/>
          <w:color w:val="auto"/>
          <w:sz w:val="22"/>
          <w:szCs w:val="22"/>
          <w:lang w:val="en-US" w:eastAsia="zh-CN"/>
        </w:rPr>
        <w:t xml:space="preserve">Appendix </w:t>
      </w:r>
      <w:r>
        <w:rPr>
          <w:rFonts w:hint="eastAsia" w:ascii="Times New Roman" w:hAnsi="Times New Roman" w:cs="Times New Roman"/>
          <w:b w:val="0"/>
          <w:bCs w:val="0"/>
          <w:color w:val="auto"/>
          <w:sz w:val="22"/>
          <w:szCs w:val="22"/>
          <w:lang w:val="en-US" w:eastAsia="zh-CN"/>
        </w:rPr>
        <w:t xml:space="preserve">B </w:t>
      </w:r>
      <w:r>
        <w:rPr>
          <w:rFonts w:ascii="Times New Roman" w:hAnsi="Times New Roman" w:cs="Times New Roman"/>
          <w:b w:val="0"/>
          <w:bCs w:val="0"/>
          <w:color w:val="auto"/>
          <w:sz w:val="22"/>
          <w:szCs w:val="22"/>
          <w:lang w:val="en-US" w:eastAsia="zh-CN"/>
        </w:rPr>
        <w:t xml:space="preserve"> Data evaluation</w:t>
      </w:r>
      <w:r>
        <w:rPr>
          <w:rFonts w:hint="eastAsia" w:ascii="Times New Roman" w:hAnsi="Times New Roman" w:cs="Times New Roman"/>
          <w:b w:val="0"/>
          <w:bCs w:val="0"/>
          <w:color w:val="auto"/>
          <w:sz w:val="22"/>
          <w:szCs w:val="22"/>
          <w:lang w:val="en-US" w:eastAsia="zh-CN"/>
        </w:rPr>
        <w:t xml:space="preserve"> </w:t>
      </w:r>
    </w:p>
    <w:p w14:paraId="6B8B8F03">
      <w:pPr>
        <w:pStyle w:val="5"/>
        <w:rPr>
          <w:rFonts w:ascii="Times New Roman" w:hAnsi="Times New Roman" w:cs="Times New Roman"/>
          <w:sz w:val="22"/>
          <w:szCs w:val="22"/>
          <w:lang w:val="en-US" w:eastAsia="zh-CN"/>
        </w:rPr>
      </w:pPr>
    </w:p>
    <w:tbl>
      <w:tblPr>
        <w:tblStyle w:val="24"/>
        <w:tblW w:w="5696" w:type="pct"/>
        <w:tblInd w:w="-925" w:type="dxa"/>
        <w:shd w:val="clear" w:color="auto" w:fill="auto"/>
        <w:tblLayout w:type="fixed"/>
        <w:tblCellMar>
          <w:top w:w="0" w:type="dxa"/>
          <w:left w:w="108" w:type="dxa"/>
          <w:bottom w:w="0" w:type="dxa"/>
          <w:right w:w="108" w:type="dxa"/>
        </w:tblCellMar>
      </w:tblPr>
      <w:tblGrid>
        <w:gridCol w:w="1396"/>
        <w:gridCol w:w="1149"/>
        <w:gridCol w:w="889"/>
        <w:gridCol w:w="1304"/>
        <w:gridCol w:w="972"/>
        <w:gridCol w:w="886"/>
        <w:gridCol w:w="1338"/>
        <w:gridCol w:w="1124"/>
        <w:gridCol w:w="894"/>
        <w:gridCol w:w="827"/>
        <w:gridCol w:w="1066"/>
        <w:gridCol w:w="1034"/>
        <w:gridCol w:w="1242"/>
        <w:gridCol w:w="1055"/>
        <w:gridCol w:w="972"/>
      </w:tblGrid>
      <w:tr w14:paraId="533D46E9">
        <w:tblPrEx>
          <w:shd w:val="clear" w:color="auto" w:fill="auto"/>
          <w:tblCellMar>
            <w:top w:w="0" w:type="dxa"/>
            <w:left w:w="108" w:type="dxa"/>
            <w:bottom w:w="0" w:type="dxa"/>
            <w:right w:w="108" w:type="dxa"/>
          </w:tblCellMar>
        </w:tblPrEx>
        <w:trPr>
          <w:trHeight w:val="971" w:hRule="atLeast"/>
        </w:trPr>
        <w:tc>
          <w:tcPr>
            <w:tcW w:w="432" w:type="pct"/>
            <w:tcBorders>
              <w:top w:val="single" w:color="auto" w:sz="4" w:space="0"/>
              <w:left w:val="nil"/>
              <w:bottom w:val="single" w:color="auto" w:sz="4" w:space="0"/>
              <w:right w:val="nil"/>
              <w:insideH w:val="single" w:sz="4" w:space="0"/>
            </w:tcBorders>
            <w:shd w:val="clear" w:color="auto" w:fill="auto"/>
          </w:tcPr>
          <w:p w14:paraId="63FA57D4">
            <w:pPr>
              <w:jc w:val="center"/>
              <w:rPr>
                <w:rFonts w:asciiTheme="majorBidi" w:hAnsiTheme="majorBidi" w:cstheme="majorBidi"/>
                <w:b w:val="0"/>
                <w:bCs w:val="0"/>
                <w:caps w:val="0"/>
                <w:color w:val="auto"/>
                <w:sz w:val="21"/>
                <w:szCs w:val="21"/>
                <w:shd w:val="clear" w:color="auto" w:fill="auto"/>
              </w:rPr>
            </w:pPr>
            <w:bookmarkStart w:id="2" w:name="_Hlk174962379"/>
            <w:bookmarkStart w:id="3" w:name="_Hlk174608944"/>
          </w:p>
          <w:p w14:paraId="16085608">
            <w:pPr>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Authors</w:t>
            </w:r>
          </w:p>
        </w:tc>
        <w:tc>
          <w:tcPr>
            <w:tcW w:w="355" w:type="pct"/>
            <w:tcBorders>
              <w:top w:val="single" w:color="auto" w:sz="4" w:space="0"/>
              <w:left w:val="nil"/>
              <w:bottom w:val="single" w:color="auto" w:sz="4" w:space="0"/>
              <w:right w:val="nil"/>
            </w:tcBorders>
            <w:shd w:val="clear" w:color="auto" w:fill="auto"/>
          </w:tcPr>
          <w:p w14:paraId="58D9279A">
            <w:pPr>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LR known</w:t>
            </w:r>
            <w:r>
              <w:rPr>
                <w:rFonts w:asciiTheme="majorBidi" w:hAnsiTheme="majorBidi" w:cstheme="majorBidi"/>
                <w:b w:val="0"/>
                <w:bCs w:val="0"/>
                <w:caps/>
                <w:color w:val="auto"/>
                <w:sz w:val="21"/>
                <w:szCs w:val="21"/>
                <w:shd w:val="clear" w:color="auto" w:fill="auto"/>
              </w:rPr>
              <w:t>/</w:t>
            </w:r>
            <w:r>
              <w:rPr>
                <w:rFonts w:asciiTheme="majorBidi" w:hAnsiTheme="majorBidi" w:cstheme="majorBidi"/>
                <w:b w:val="0"/>
                <w:bCs w:val="0"/>
                <w:caps w:val="0"/>
                <w:color w:val="auto"/>
                <w:sz w:val="21"/>
                <w:szCs w:val="21"/>
                <w:shd w:val="clear" w:color="auto" w:fill="auto"/>
              </w:rPr>
              <w:br w:type="textWrapping"/>
            </w:r>
            <w:r>
              <w:rPr>
                <w:rFonts w:asciiTheme="majorBidi" w:hAnsiTheme="majorBidi" w:cstheme="majorBidi"/>
                <w:b w:val="0"/>
                <w:bCs w:val="0"/>
                <w:caps w:val="0"/>
                <w:color w:val="auto"/>
                <w:sz w:val="21"/>
                <w:szCs w:val="21"/>
                <w:shd w:val="clear" w:color="auto" w:fill="auto"/>
              </w:rPr>
              <w:t>unknown</w:t>
            </w:r>
          </w:p>
        </w:tc>
        <w:tc>
          <w:tcPr>
            <w:tcW w:w="275" w:type="pct"/>
            <w:tcBorders>
              <w:top w:val="single" w:color="auto" w:sz="4" w:space="0"/>
              <w:left w:val="nil"/>
              <w:bottom w:val="single" w:color="auto" w:sz="4" w:space="0"/>
              <w:right w:val="nil"/>
            </w:tcBorders>
            <w:shd w:val="clear" w:color="auto" w:fill="auto"/>
          </w:tcPr>
          <w:p w14:paraId="1DD12FB7">
            <w:pPr>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Purpose</w:t>
            </w:r>
          </w:p>
        </w:tc>
        <w:tc>
          <w:tcPr>
            <w:tcW w:w="403" w:type="pct"/>
            <w:tcBorders>
              <w:top w:val="single" w:color="auto" w:sz="4" w:space="0"/>
              <w:left w:val="nil"/>
              <w:bottom w:val="single" w:color="auto" w:sz="4" w:space="0"/>
              <w:right w:val="nil"/>
            </w:tcBorders>
            <w:shd w:val="clear" w:color="auto" w:fill="auto"/>
          </w:tcPr>
          <w:p w14:paraId="4BDAB7FB">
            <w:pPr>
              <w:ind w:left="-131" w:right="-150"/>
              <w:jc w:val="center"/>
              <w:rPr>
                <w:rFonts w:asciiTheme="majorBidi" w:hAnsiTheme="majorBidi" w:cstheme="majorBidi"/>
                <w:b w:val="0"/>
                <w:bCs w:val="0"/>
                <w:caps/>
                <w:color w:val="auto"/>
                <w:sz w:val="21"/>
                <w:szCs w:val="21"/>
                <w:shd w:val="clear" w:color="auto" w:fill="auto"/>
                <w:lang w:eastAsia="zh-CN"/>
              </w:rPr>
            </w:pPr>
            <w:r>
              <w:rPr>
                <w:rFonts w:asciiTheme="majorBidi" w:hAnsiTheme="majorBidi" w:cstheme="majorBidi"/>
                <w:b w:val="0"/>
                <w:bCs w:val="0"/>
                <w:caps w:val="0"/>
                <w:color w:val="auto"/>
                <w:sz w:val="21"/>
                <w:szCs w:val="21"/>
                <w:shd w:val="clear" w:color="auto" w:fill="auto"/>
              </w:rPr>
              <w:t>LR</w:t>
            </w:r>
          </w:p>
          <w:p w14:paraId="7D20411D">
            <w:pPr>
              <w:ind w:left="-131" w:right="-150"/>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 xml:space="preserve"> </w:t>
            </w:r>
            <w:r>
              <w:rPr>
                <w:rFonts w:asciiTheme="majorBidi" w:hAnsiTheme="majorBidi" w:cstheme="majorBidi"/>
                <w:b w:val="0"/>
                <w:bCs w:val="0"/>
                <w:color w:val="auto"/>
                <w:sz w:val="21"/>
                <w:szCs w:val="21"/>
                <w:shd w:val="clear" w:color="auto" w:fill="auto"/>
              </w:rPr>
              <w:t>T</w:t>
            </w:r>
            <w:r>
              <w:rPr>
                <w:rFonts w:asciiTheme="majorBidi" w:hAnsiTheme="majorBidi" w:cstheme="majorBidi"/>
                <w:b w:val="0"/>
                <w:bCs w:val="0"/>
                <w:caps w:val="0"/>
                <w:color w:val="auto"/>
                <w:sz w:val="21"/>
                <w:szCs w:val="21"/>
                <w:shd w:val="clear" w:color="auto" w:fill="auto"/>
              </w:rPr>
              <w:t>ime</w:t>
            </w:r>
            <w:r>
              <w:rPr>
                <w:rFonts w:hint="eastAsia" w:asciiTheme="majorBidi" w:hAnsiTheme="majorBidi" w:cstheme="majorBidi"/>
                <w:b w:val="0"/>
                <w:bCs w:val="0"/>
                <w:caps w:val="0"/>
                <w:color w:val="auto"/>
                <w:sz w:val="21"/>
                <w:szCs w:val="21"/>
                <w:shd w:val="clear" w:color="auto" w:fill="auto"/>
                <w:lang w:val="en-US" w:eastAsia="zh-CN"/>
              </w:rPr>
              <w:t xml:space="preserve"> </w:t>
            </w:r>
            <w:r>
              <w:rPr>
                <w:rFonts w:asciiTheme="majorBidi" w:hAnsiTheme="majorBidi" w:cstheme="majorBidi"/>
                <w:b w:val="0"/>
                <w:bCs w:val="0"/>
                <w:caps w:val="0"/>
                <w:color w:val="auto"/>
                <w:sz w:val="21"/>
                <w:szCs w:val="21"/>
                <w:shd w:val="clear" w:color="auto" w:fill="auto"/>
              </w:rPr>
              <w:t>frame</w:t>
            </w:r>
          </w:p>
        </w:tc>
        <w:tc>
          <w:tcPr>
            <w:tcW w:w="300" w:type="pct"/>
            <w:tcBorders>
              <w:top w:val="single" w:color="auto" w:sz="4" w:space="0"/>
              <w:left w:val="nil"/>
              <w:bottom w:val="single" w:color="auto" w:sz="4" w:space="0"/>
              <w:right w:val="nil"/>
            </w:tcBorders>
            <w:shd w:val="clear" w:color="auto" w:fill="auto"/>
          </w:tcPr>
          <w:p w14:paraId="596EFA3B">
            <w:pPr>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 xml:space="preserve">Sample </w:t>
            </w:r>
            <w:r>
              <w:rPr>
                <w:rFonts w:asciiTheme="majorBidi" w:hAnsiTheme="majorBidi" w:cstheme="majorBidi"/>
                <w:b w:val="0"/>
                <w:bCs w:val="0"/>
                <w:caps w:val="0"/>
                <w:color w:val="auto"/>
                <w:sz w:val="21"/>
                <w:szCs w:val="21"/>
                <w:shd w:val="clear" w:color="auto" w:fill="auto"/>
              </w:rPr>
              <w:br w:type="textWrapping"/>
            </w:r>
            <w:r>
              <w:rPr>
                <w:rFonts w:asciiTheme="majorBidi" w:hAnsiTheme="majorBidi" w:cstheme="majorBidi"/>
                <w:b w:val="0"/>
                <w:bCs w:val="0"/>
                <w:caps w:val="0"/>
                <w:color w:val="auto"/>
                <w:sz w:val="21"/>
                <w:szCs w:val="21"/>
                <w:shd w:val="clear" w:color="auto" w:fill="auto"/>
              </w:rPr>
              <w:t>sufficient</w:t>
            </w:r>
          </w:p>
        </w:tc>
        <w:tc>
          <w:tcPr>
            <w:tcW w:w="274" w:type="pct"/>
            <w:tcBorders>
              <w:top w:val="single" w:color="auto" w:sz="4" w:space="0"/>
              <w:left w:val="nil"/>
              <w:bottom w:val="single" w:color="auto" w:sz="4" w:space="0"/>
              <w:right w:val="nil"/>
            </w:tcBorders>
            <w:shd w:val="clear" w:color="auto" w:fill="auto"/>
          </w:tcPr>
          <w:p w14:paraId="11829DA7">
            <w:pPr>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Data collection method</w:t>
            </w:r>
          </w:p>
        </w:tc>
        <w:tc>
          <w:tcPr>
            <w:tcW w:w="414" w:type="pct"/>
            <w:tcBorders>
              <w:top w:val="single" w:color="auto" w:sz="4" w:space="0"/>
              <w:left w:val="nil"/>
              <w:bottom w:val="single" w:color="auto" w:sz="4" w:space="0"/>
              <w:right w:val="nil"/>
            </w:tcBorders>
            <w:shd w:val="clear" w:color="auto" w:fill="auto"/>
          </w:tcPr>
          <w:p w14:paraId="5AE6B894">
            <w:pPr>
              <w:ind w:left="-141"/>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Cronbach’s α</w:t>
            </w:r>
            <w:r>
              <w:rPr>
                <w:rFonts w:hint="eastAsia" w:asciiTheme="majorBidi" w:hAnsiTheme="majorBidi" w:cstheme="majorBidi"/>
                <w:b w:val="0"/>
                <w:bCs w:val="0"/>
                <w:caps w:val="0"/>
                <w:color w:val="auto"/>
                <w:sz w:val="21"/>
                <w:szCs w:val="21"/>
                <w:shd w:val="clear" w:color="auto" w:fill="auto"/>
                <w:lang w:val="en-US" w:eastAsia="zh-CN"/>
              </w:rPr>
              <w:t xml:space="preserve"> coffidentce </w:t>
            </w:r>
            <w:r>
              <w:rPr>
                <w:rFonts w:asciiTheme="majorBidi" w:hAnsiTheme="majorBidi" w:cstheme="majorBidi"/>
                <w:b w:val="0"/>
                <w:bCs w:val="0"/>
                <w:caps w:val="0"/>
                <w:color w:val="auto"/>
                <w:sz w:val="21"/>
                <w:szCs w:val="21"/>
                <w:shd w:val="clear" w:color="auto" w:fill="auto"/>
              </w:rPr>
              <w:t>≥</w:t>
            </w:r>
            <w:r>
              <w:rPr>
                <w:rFonts w:hint="eastAsia" w:asciiTheme="majorBidi" w:hAnsiTheme="majorBidi" w:cstheme="majorBidi"/>
                <w:b w:val="0"/>
                <w:bCs w:val="0"/>
                <w:caps w:val="0"/>
                <w:color w:val="auto"/>
                <w:sz w:val="21"/>
                <w:szCs w:val="21"/>
                <w:shd w:val="clear" w:color="auto" w:fill="auto"/>
                <w:lang w:val="en-US" w:eastAsia="zh-CN"/>
              </w:rPr>
              <w:t xml:space="preserve"> </w:t>
            </w:r>
            <w:r>
              <w:rPr>
                <w:rFonts w:asciiTheme="majorBidi" w:hAnsiTheme="majorBidi" w:cstheme="majorBidi"/>
                <w:b w:val="0"/>
                <w:bCs w:val="0"/>
                <w:caps w:val="0"/>
                <w:color w:val="auto"/>
                <w:sz w:val="21"/>
                <w:szCs w:val="21"/>
                <w:shd w:val="clear" w:color="auto" w:fill="auto"/>
              </w:rPr>
              <w:t>0.70</w:t>
            </w:r>
          </w:p>
        </w:tc>
        <w:tc>
          <w:tcPr>
            <w:tcW w:w="348" w:type="pct"/>
            <w:tcBorders>
              <w:top w:val="single" w:color="auto" w:sz="4" w:space="0"/>
              <w:left w:val="nil"/>
              <w:bottom w:val="single" w:color="auto" w:sz="4" w:space="0"/>
              <w:right w:val="nil"/>
            </w:tcBorders>
            <w:shd w:val="clear" w:color="auto" w:fill="auto"/>
          </w:tcPr>
          <w:p w14:paraId="6043E659">
            <w:pPr>
              <w:ind w:left="-80" w:right="-48"/>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Instrument vali</w:t>
            </w:r>
            <w:bookmarkStart w:id="8" w:name="_GoBack"/>
            <w:bookmarkEnd w:id="8"/>
            <w:r>
              <w:rPr>
                <w:rFonts w:asciiTheme="majorBidi" w:hAnsiTheme="majorBidi" w:cstheme="majorBidi"/>
                <w:b w:val="0"/>
                <w:bCs w:val="0"/>
                <w:caps w:val="0"/>
                <w:color w:val="auto"/>
                <w:sz w:val="21"/>
                <w:szCs w:val="21"/>
                <w:shd w:val="clear" w:color="auto" w:fill="auto"/>
              </w:rPr>
              <w:t>dity disc</w:t>
            </w:r>
          </w:p>
        </w:tc>
        <w:tc>
          <w:tcPr>
            <w:tcW w:w="276" w:type="pct"/>
            <w:tcBorders>
              <w:top w:val="single" w:color="auto" w:sz="4" w:space="0"/>
              <w:left w:val="nil"/>
              <w:bottom w:val="single" w:color="auto" w:sz="4" w:space="0"/>
              <w:right w:val="nil"/>
            </w:tcBorders>
            <w:shd w:val="clear" w:color="auto" w:fill="auto"/>
          </w:tcPr>
          <w:p w14:paraId="27E8C358">
            <w:pPr>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Response rate ≥ 25%</w:t>
            </w:r>
          </w:p>
        </w:tc>
        <w:tc>
          <w:tcPr>
            <w:tcW w:w="256" w:type="pct"/>
            <w:tcBorders>
              <w:top w:val="single" w:color="auto" w:sz="4" w:space="0"/>
              <w:left w:val="nil"/>
              <w:bottom w:val="single" w:color="auto" w:sz="4" w:space="0"/>
              <w:right w:val="nil"/>
            </w:tcBorders>
            <w:shd w:val="clear" w:color="auto" w:fill="auto"/>
          </w:tcPr>
          <w:p w14:paraId="279AC6BC">
            <w:pPr>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Result clear</w:t>
            </w:r>
          </w:p>
        </w:tc>
        <w:tc>
          <w:tcPr>
            <w:tcW w:w="330" w:type="pct"/>
            <w:tcBorders>
              <w:top w:val="single" w:color="auto" w:sz="4" w:space="0"/>
              <w:left w:val="nil"/>
              <w:bottom w:val="single" w:color="auto" w:sz="4" w:space="0"/>
              <w:right w:val="nil"/>
            </w:tcBorders>
            <w:shd w:val="clear" w:color="auto" w:fill="auto"/>
          </w:tcPr>
          <w:p w14:paraId="77C6E3E0">
            <w:pPr>
              <w:ind w:left="-51"/>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Narrative consistent with table</w:t>
            </w:r>
          </w:p>
        </w:tc>
        <w:tc>
          <w:tcPr>
            <w:tcW w:w="320" w:type="pct"/>
            <w:tcBorders>
              <w:top w:val="single" w:color="auto" w:sz="4" w:space="0"/>
              <w:left w:val="nil"/>
              <w:bottom w:val="single" w:color="auto" w:sz="4" w:space="0"/>
              <w:right w:val="nil"/>
            </w:tcBorders>
            <w:shd w:val="clear" w:color="auto" w:fill="auto"/>
          </w:tcPr>
          <w:p w14:paraId="2420F074">
            <w:pPr>
              <w:ind w:left="-132" w:right="-109"/>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Limitation identified</w:t>
            </w:r>
          </w:p>
        </w:tc>
        <w:tc>
          <w:tcPr>
            <w:tcW w:w="384" w:type="pct"/>
            <w:tcBorders>
              <w:top w:val="single" w:color="auto" w:sz="4" w:space="0"/>
              <w:left w:val="nil"/>
              <w:bottom w:val="single" w:color="auto" w:sz="4" w:space="0"/>
              <w:right w:val="nil"/>
            </w:tcBorders>
            <w:shd w:val="clear" w:color="auto" w:fill="auto"/>
          </w:tcPr>
          <w:p w14:paraId="1EB55128">
            <w:pPr>
              <w:ind w:left="-71" w:right="-57"/>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Conclusion based on the result</w:t>
            </w:r>
          </w:p>
        </w:tc>
        <w:tc>
          <w:tcPr>
            <w:tcW w:w="326" w:type="pct"/>
            <w:tcBorders>
              <w:top w:val="single" w:color="auto" w:sz="4" w:space="0"/>
              <w:left w:val="nil"/>
              <w:bottom w:val="single" w:color="auto" w:sz="4" w:space="0"/>
              <w:right w:val="nil"/>
            </w:tcBorders>
            <w:shd w:val="clear" w:color="auto" w:fill="auto"/>
          </w:tcPr>
          <w:p w14:paraId="2CF73C28">
            <w:pPr>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 xml:space="preserve">Quality </w:t>
            </w:r>
            <w:r>
              <w:rPr>
                <w:rFonts w:asciiTheme="majorBidi" w:hAnsiTheme="majorBidi" w:cstheme="majorBidi"/>
                <w:b w:val="0"/>
                <w:bCs w:val="0"/>
                <w:caps w:val="0"/>
                <w:color w:val="auto"/>
                <w:sz w:val="21"/>
                <w:szCs w:val="21"/>
                <w:shd w:val="clear" w:color="auto" w:fill="auto"/>
              </w:rPr>
              <w:br w:type="textWrapping"/>
            </w:r>
            <w:r>
              <w:rPr>
                <w:rFonts w:asciiTheme="majorBidi" w:hAnsiTheme="majorBidi" w:cstheme="majorBidi"/>
                <w:b w:val="0"/>
                <w:bCs w:val="0"/>
                <w:caps w:val="0"/>
                <w:color w:val="auto"/>
                <w:sz w:val="21"/>
                <w:szCs w:val="21"/>
                <w:shd w:val="clear" w:color="auto" w:fill="auto"/>
              </w:rPr>
              <w:t>rating</w:t>
            </w:r>
          </w:p>
        </w:tc>
        <w:tc>
          <w:tcPr>
            <w:tcW w:w="300" w:type="pct"/>
            <w:tcBorders>
              <w:top w:val="single" w:color="auto" w:sz="4" w:space="0"/>
              <w:left w:val="nil"/>
              <w:bottom w:val="single" w:color="auto" w:sz="4" w:space="0"/>
              <w:right w:val="nil"/>
            </w:tcBorders>
            <w:shd w:val="clear" w:color="auto" w:fill="auto"/>
          </w:tcPr>
          <w:p w14:paraId="23CB8F18">
            <w:pPr>
              <w:jc w:val="center"/>
              <w:rPr>
                <w:rFonts w:asciiTheme="majorBidi" w:hAnsiTheme="majorBidi" w:cstheme="majorBidi"/>
                <w:b w:val="0"/>
                <w:bCs w:val="0"/>
                <w:caps w:val="0"/>
                <w:color w:val="auto"/>
                <w:sz w:val="21"/>
                <w:szCs w:val="21"/>
                <w:shd w:val="clear" w:color="auto" w:fill="auto"/>
              </w:rPr>
            </w:pPr>
            <w:r>
              <w:rPr>
                <w:rFonts w:asciiTheme="majorBidi" w:hAnsiTheme="majorBidi" w:cstheme="majorBidi"/>
                <w:b w:val="0"/>
                <w:bCs w:val="0"/>
                <w:caps w:val="0"/>
                <w:color w:val="auto"/>
                <w:sz w:val="21"/>
                <w:szCs w:val="21"/>
                <w:shd w:val="clear" w:color="auto" w:fill="auto"/>
              </w:rPr>
              <w:t>Level of evidence</w:t>
            </w:r>
          </w:p>
        </w:tc>
      </w:tr>
      <w:tr w14:paraId="24515645">
        <w:tblPrEx>
          <w:shd w:val="clear" w:color="auto" w:fill="auto"/>
          <w:tblCellMar>
            <w:top w:w="0" w:type="dxa"/>
            <w:left w:w="108" w:type="dxa"/>
            <w:bottom w:w="0" w:type="dxa"/>
            <w:right w:w="108" w:type="dxa"/>
          </w:tblCellMar>
        </w:tblPrEx>
        <w:trPr>
          <w:trHeight w:val="621" w:hRule="atLeast"/>
        </w:trPr>
        <w:tc>
          <w:tcPr>
            <w:tcW w:w="432" w:type="pct"/>
            <w:tcBorders>
              <w:top w:val="single" w:color="auto" w:sz="4" w:space="0"/>
              <w:left w:val="nil"/>
              <w:bottom w:val="nil"/>
              <w:right w:val="nil"/>
              <w:insideV w:val="single" w:sz="4" w:space="0"/>
            </w:tcBorders>
            <w:shd w:val="clear" w:color="auto" w:fill="auto"/>
          </w:tcPr>
          <w:p w14:paraId="70D64583">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&lt;EndNote&gt;&lt;Cite&gt;&lt;Author&gt;Abdolmaleki&lt;/Author&gt;&lt;Year&gt;2018&lt;/Year&gt;&lt;RecNum&gt;369&lt;/RecNum&gt;&lt;DisplayText&gt;(Abdolmaleki, 2018)&lt;/DisplayText&gt;&lt;record&gt;&lt;rec-number&gt;369&lt;/rec-number&gt;&lt;foreign-keys&gt;&lt;key app="EN" db-id="daxr9sxtlpdx2peae9dx2f5o0vr2zzews552" timestamp="1704537365"&gt;369&lt;/key&gt;&lt;/foreign-keys&gt;&lt;ref-type name="Book"&gt;6&lt;/ref-type&gt;&lt;contributors&gt;&lt;authors&gt;&lt;author&gt;Abdolmaleki, Mohsen\n%A Lakdizaji, Sima\n%A Ghahramanian, Akram\n%A Allahbakhshian, Atefe\n%A Behshid, Mozhgan%D&lt;/author&gt;&lt;/authors&gt;&lt;/contributors&gt;&lt;titles&gt;&lt;title&gt;Relationship between autonomy and moral distress in emergency nurses&lt;/title&gt;&lt;secondary-title&gt;2018&lt;/secondary-title&gt;&lt;short-title&gt;Relationship between autonomy and moral distress in emergency nurses&lt;/short-title&gt;&lt;/titles&gt;&lt;volume&gt;4&lt;/volume&gt;&lt;number&gt;1 (NS)&lt;/number&gt;&lt;dates&gt;&lt;year&gt;2018&lt;/year&gt;&lt;/dates&gt;&lt;isbn&gt;0975-5691&lt;/isbn&gt;&lt;urls&gt;&lt;related-urls&gt;&lt;url&gt;https://ijme.in/articles/relationship-between-autonomy-and-moral-distress-in-emergency-nurses/&lt;/url&gt;&lt;/related-urls&gt;&lt;/urls&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A</w:t>
            </w:r>
            <w:r>
              <w:rPr>
                <w:rFonts w:asciiTheme="majorBidi" w:hAnsiTheme="majorBidi" w:cstheme="majorBidi"/>
                <w:b w:val="0"/>
                <w:bCs w:val="0"/>
                <w:color w:val="auto"/>
                <w:sz w:val="21"/>
                <w:szCs w:val="21"/>
                <w:shd w:val="clear" w:color="auto" w:fill="auto"/>
              </w:rPr>
              <w:t>bdolmaleki</w:t>
            </w:r>
            <w:r>
              <w:rPr>
                <w:rFonts w:asciiTheme="majorBidi" w:hAnsiTheme="majorBidi" w:cstheme="majorBidi"/>
                <w:b w:val="0"/>
                <w:bCs w:val="0"/>
                <w:caps/>
                <w:color w:val="auto"/>
                <w:sz w:val="21"/>
                <w:szCs w:val="21"/>
                <w:shd w:val="clear" w:color="auto" w:fill="auto"/>
              </w:rPr>
              <w:t>, 2018</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"twentyseven"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27</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top w:val="single" w:color="auto" w:sz="4" w:space="0"/>
              <w:left w:val="nil"/>
            </w:tcBorders>
            <w:shd w:val="clear" w:color="auto" w:fill="auto"/>
          </w:tcPr>
          <w:p w14:paraId="6735AFD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tcBorders>
              <w:top w:val="single" w:color="auto" w:sz="4" w:space="0"/>
            </w:tcBorders>
            <w:shd w:val="clear" w:color="auto" w:fill="auto"/>
          </w:tcPr>
          <w:p w14:paraId="11A8CC7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tcBorders>
              <w:top w:val="single" w:color="auto" w:sz="4" w:space="0"/>
            </w:tcBorders>
            <w:shd w:val="clear" w:color="auto" w:fill="auto"/>
          </w:tcPr>
          <w:p w14:paraId="13B8AB8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tcBorders>
              <w:top w:val="single" w:color="auto" w:sz="4" w:space="0"/>
            </w:tcBorders>
            <w:shd w:val="clear" w:color="auto" w:fill="auto"/>
          </w:tcPr>
          <w:p w14:paraId="2E9919A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274" w:type="pct"/>
            <w:tcBorders>
              <w:top w:val="single" w:color="auto" w:sz="4" w:space="0"/>
            </w:tcBorders>
            <w:shd w:val="clear" w:color="auto" w:fill="auto"/>
          </w:tcPr>
          <w:p w14:paraId="427A240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tcBorders>
              <w:top w:val="single" w:color="auto" w:sz="4" w:space="0"/>
            </w:tcBorders>
            <w:shd w:val="clear" w:color="auto" w:fill="auto"/>
          </w:tcPr>
          <w:p w14:paraId="62C55D9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48" w:type="pct"/>
            <w:tcBorders>
              <w:top w:val="single" w:color="auto" w:sz="4" w:space="0"/>
            </w:tcBorders>
            <w:shd w:val="clear" w:color="auto" w:fill="auto"/>
          </w:tcPr>
          <w:p w14:paraId="48A4280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6" w:type="pct"/>
            <w:tcBorders>
              <w:top w:val="single" w:color="auto" w:sz="4" w:space="0"/>
            </w:tcBorders>
            <w:shd w:val="clear" w:color="auto" w:fill="auto"/>
          </w:tcPr>
          <w:p w14:paraId="5CA1250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56" w:type="pct"/>
            <w:tcBorders>
              <w:top w:val="single" w:color="auto" w:sz="4" w:space="0"/>
            </w:tcBorders>
            <w:shd w:val="clear" w:color="auto" w:fill="auto"/>
          </w:tcPr>
          <w:p w14:paraId="2D177BF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tcBorders>
              <w:top w:val="single" w:color="auto" w:sz="4" w:space="0"/>
            </w:tcBorders>
            <w:shd w:val="clear" w:color="auto" w:fill="auto"/>
          </w:tcPr>
          <w:p w14:paraId="78FC034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0" w:type="pct"/>
            <w:tcBorders>
              <w:top w:val="single" w:color="auto" w:sz="4" w:space="0"/>
            </w:tcBorders>
            <w:shd w:val="clear" w:color="auto" w:fill="auto"/>
          </w:tcPr>
          <w:p w14:paraId="7715C1DB">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84" w:type="pct"/>
            <w:tcBorders>
              <w:top w:val="single" w:color="auto" w:sz="4" w:space="0"/>
            </w:tcBorders>
            <w:shd w:val="clear" w:color="auto" w:fill="auto"/>
          </w:tcPr>
          <w:p w14:paraId="18BAE87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tcBorders>
              <w:top w:val="single" w:color="auto" w:sz="4" w:space="0"/>
            </w:tcBorders>
            <w:shd w:val="clear" w:color="auto" w:fill="auto"/>
          </w:tcPr>
          <w:p w14:paraId="55750B7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tcBorders>
              <w:top w:val="single" w:color="auto" w:sz="4" w:space="0"/>
            </w:tcBorders>
            <w:shd w:val="clear" w:color="auto" w:fill="auto"/>
          </w:tcPr>
          <w:p w14:paraId="06451C0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299D9CFE">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5F67561A">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&lt;EndNote&gt;&lt;Cite&gt;&lt;Author&gt;Thorne&lt;/Author&gt;&lt;Year&gt;2018&lt;/Year&gt;&lt;RecNum&gt;356&lt;/RecNum&gt;&lt;DisplayText&gt;(Thorne et al., 2018)&lt;/DisplayText&gt;&lt;record&gt;&lt;rec-number&gt;356&lt;/rec-number&gt;&lt;foreign-keys&gt;&lt;key app="EN" db-id="daxr9sxtlpdx2peae9dx2f5o0vr2zzews552" timestamp="1703369154"&gt;356&lt;/key&gt;&lt;/foreign-keys&gt;&lt;ref-type name="Journal Article"&gt;17&lt;/ref-type&gt;&lt;contributors&gt;&lt;authors&gt;&lt;author&gt;Thorne, Sally&lt;/author&gt;&lt;author&gt;Konikoff, Laura&lt;/author&gt;&lt;author&gt;Brown, Helen&lt;/author&gt;&lt;author&gt;Albersheim, Susan&lt;/author&gt;&lt;/authors&gt;&lt;/contributors&gt;&lt;titles&gt;&lt;title&gt;Navigating the Dangerous Terrain of Moral Distress: Understanding Response Patterns in the NICU&lt;/title&gt;&lt;secondary-title&gt;Qualitative Health Research&lt;/secondary-title&gt;&lt;/titles&gt;&lt;periodical&gt;&lt;full-title&gt;Qualitative Health Research&lt;/full-title&gt;&lt;/periodical&gt;&lt;pages&gt;683-701&lt;/pages&gt;&lt;volume&gt;28&lt;/volume&gt;&lt;number&gt;5&lt;/number&gt;&lt;section&gt;683&lt;/section&gt;&lt;dates&gt;&lt;year&gt;2018&lt;/year&gt;&lt;/dates&gt;&lt;isbn&gt;1049-7323&lt;/isbn&gt;&lt;urls&gt;&lt;/urls&gt;&lt;electronic-resource-num&gt;10.1177/1049732317753585&lt;/electronic-resource-num&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T</w:t>
            </w:r>
            <w:r>
              <w:rPr>
                <w:rFonts w:asciiTheme="majorBidi" w:hAnsiTheme="majorBidi" w:cstheme="majorBidi"/>
                <w:b w:val="0"/>
                <w:bCs w:val="0"/>
                <w:color w:val="auto"/>
                <w:sz w:val="21"/>
                <w:szCs w:val="21"/>
                <w:shd w:val="clear" w:color="auto" w:fill="auto"/>
              </w:rPr>
              <w:t>horne</w:t>
            </w:r>
            <w:r>
              <w:rPr>
                <w:rFonts w:asciiTheme="majorBidi" w:hAnsiTheme="majorBidi" w:cstheme="majorBidi"/>
                <w:b w:val="0"/>
                <w:bCs w:val="0"/>
                <w:caps/>
                <w:color w:val="auto"/>
                <w:sz w:val="21"/>
                <w:szCs w:val="21"/>
                <w:shd w:val="clear" w:color="auto" w:fill="auto"/>
              </w:rPr>
              <w:t xml:space="preserve"> </w:t>
            </w:r>
            <w:bookmarkStart w:id="4" w:name="OLE_LINK1"/>
            <w:r>
              <w:rPr>
                <w:rFonts w:hint="eastAsia" w:asciiTheme="majorBidi" w:hAnsiTheme="majorBidi" w:cstheme="majorBidi"/>
                <w:b w:val="0"/>
                <w:bCs w:val="0"/>
                <w:color w:val="auto"/>
                <w:sz w:val="21"/>
                <w:szCs w:val="21"/>
                <w:shd w:val="clear" w:color="auto" w:fill="auto"/>
                <w:lang w:val="en-US" w:eastAsia="zh-CN"/>
              </w:rPr>
              <w:t>et al</w:t>
            </w:r>
            <w:r>
              <w:rPr>
                <w:rFonts w:asciiTheme="majorBidi" w:hAnsiTheme="majorBidi" w:cstheme="majorBidi"/>
                <w:b w:val="0"/>
                <w:bCs w:val="0"/>
                <w:caps/>
                <w:color w:val="auto"/>
                <w:sz w:val="21"/>
                <w:szCs w:val="21"/>
                <w:shd w:val="clear" w:color="auto" w:fill="auto"/>
              </w:rPr>
              <w:t>.,</w:t>
            </w:r>
            <w:bookmarkEnd w:id="4"/>
            <w:r>
              <w:rPr>
                <w:rFonts w:asciiTheme="majorBidi" w:hAnsiTheme="majorBidi" w:cstheme="majorBidi"/>
                <w:b w:val="0"/>
                <w:bCs w:val="0"/>
                <w:caps/>
                <w:color w:val="auto"/>
                <w:sz w:val="21"/>
                <w:szCs w:val="21"/>
                <w:shd w:val="clear" w:color="auto" w:fill="auto"/>
              </w:rPr>
              <w:t xml:space="preserve"> 2018</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"twentyeight"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28</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1A5F16C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4CF8FF3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0763F305">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206EBAF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53077FC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61BCE9C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276148E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5A36253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6A3FDA9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2EB1EAF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20" w:type="pct"/>
            <w:shd w:val="clear" w:color="auto" w:fill="auto"/>
          </w:tcPr>
          <w:p w14:paraId="7A8FAED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84" w:type="pct"/>
            <w:shd w:val="clear" w:color="auto" w:fill="auto"/>
          </w:tcPr>
          <w:p w14:paraId="753449C5">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71FF039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shd w:val="clear" w:color="auto" w:fill="auto"/>
          </w:tcPr>
          <w:p w14:paraId="5F3905B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6164D9DB">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1E9C8FBF">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&lt;EndNote&gt;&lt;Cite&gt;&lt;Author&gt;Ko&lt;/Author&gt;&lt;Year&gt;2018&lt;/Year&gt;&lt;RecNum&gt;357&lt;/RecNum&gt;&lt;DisplayText&gt;(Ko, Chin &amp;amp; Hsu, 2018)&lt;/DisplayText&gt;&lt;record&gt;&lt;rec-number&gt;357&lt;/rec-number&gt;&lt;foreign-keys&gt;&lt;key app="EN" db-id="daxr9sxtlpdx2peae9dx2f5o0vr2zzews552" timestamp="1703419342"&gt;357&lt;/key&gt;&lt;/foreign-keys&gt;&lt;ref-type name="Journal Article"&gt;17&lt;/ref-type&gt;&lt;contributors&gt;&lt;authors&gt;&lt;author&gt;Ko, Hsun-Kuei&lt;/author&gt;&lt;author&gt;Chin, Chi-Chun&lt;/author&gt;&lt;author&gt;Hsu, Min-Tao&lt;/author&gt;&lt;/authors&gt;&lt;/contributors&gt;&lt;titles&gt;&lt;title&gt;Moral Distress Model Reconstructed Using Grounded Theory&lt;/title&gt;&lt;secondary-title&gt;The journal of nursing research : JNR&lt;/secondary-title&gt;&lt;/titles&gt;&lt;periodical&gt;&lt;full-title&gt;The journal of nursing research : JNR&lt;/full-title&gt;&lt;/periodical&gt;&lt;pages&gt;18-26&lt;/pages&gt;&lt;volume&gt;26&lt;/volume&gt;&lt;number&gt;1&lt;/number&gt;&lt;section&gt;18&lt;/section&gt;&lt;dates&gt;&lt;year&gt;2018&lt;/year&gt;&lt;/dates&gt;&lt;isbn&gt;1682-3141&lt;/isbn&gt;&lt;urls&gt;&lt;/urls&gt;&lt;electronic-resource-num&gt;10.1097/JNR.0000000000000189&lt;/electronic-resource-num&gt;&lt;remote-database-name&gt;MEDLINE&lt;/remote-database-name&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Ko</w:t>
            </w:r>
            <w:r>
              <w:rPr>
                <w:rFonts w:hint="eastAsia" w:asciiTheme="majorBidi" w:hAnsiTheme="majorBidi" w:cstheme="majorBidi"/>
                <w:b w:val="0"/>
                <w:bCs w:val="0"/>
                <w:caps/>
                <w:color w:val="auto"/>
                <w:sz w:val="21"/>
                <w:szCs w:val="21"/>
                <w:shd w:val="clear" w:color="auto" w:fill="auto"/>
                <w:lang w:val="en-US" w:eastAsia="zh-CN"/>
              </w:rPr>
              <w:t xml:space="preserve"> </w:t>
            </w:r>
            <w:bookmarkStart w:id="5" w:name="OLE_LINK4"/>
            <w:r>
              <w:rPr>
                <w:rFonts w:hint="eastAsia" w:asciiTheme="majorBidi" w:hAnsiTheme="majorBidi" w:cstheme="majorBidi"/>
                <w:b w:val="0"/>
                <w:bCs w:val="0"/>
                <w:color w:val="auto"/>
                <w:sz w:val="21"/>
                <w:szCs w:val="21"/>
                <w:shd w:val="clear" w:color="auto" w:fill="auto"/>
                <w:lang w:val="en-US" w:eastAsia="zh-CN"/>
              </w:rPr>
              <w:t>et al</w:t>
            </w:r>
            <w:r>
              <w:rPr>
                <w:rFonts w:asciiTheme="majorBidi" w:hAnsiTheme="majorBidi" w:cstheme="majorBidi"/>
                <w:b w:val="0"/>
                <w:bCs w:val="0"/>
                <w:caps/>
                <w:color w:val="auto"/>
                <w:sz w:val="21"/>
                <w:szCs w:val="21"/>
                <w:shd w:val="clear" w:color="auto" w:fill="auto"/>
              </w:rPr>
              <w:t>.,</w:t>
            </w:r>
            <w:bookmarkEnd w:id="5"/>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"thirtyne"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31</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7743533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6CDBA9E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421330E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75490515">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0D54E2A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0C88DDF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79B9164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4C9802F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7EB7D7C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6DDF24F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20" w:type="pct"/>
            <w:shd w:val="clear" w:color="auto" w:fill="auto"/>
          </w:tcPr>
          <w:p w14:paraId="249A393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84" w:type="pct"/>
            <w:shd w:val="clear" w:color="auto" w:fill="auto"/>
          </w:tcPr>
          <w:p w14:paraId="4B91442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1EF051DB">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shd w:val="clear" w:color="auto" w:fill="auto"/>
          </w:tcPr>
          <w:p w14:paraId="0480EF3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4F8AC069">
        <w:tblPrEx>
          <w:shd w:val="clear" w:color="auto" w:fill="auto"/>
          <w:tblCellMar>
            <w:top w:w="0" w:type="dxa"/>
            <w:left w:w="108" w:type="dxa"/>
            <w:bottom w:w="0" w:type="dxa"/>
            <w:right w:w="108" w:type="dxa"/>
          </w:tblCellMar>
        </w:tblPrEx>
        <w:trPr>
          <w:trHeight w:val="391" w:hRule="atLeast"/>
        </w:trPr>
        <w:tc>
          <w:tcPr>
            <w:tcW w:w="432" w:type="pct"/>
            <w:tcBorders>
              <w:top w:val="nil"/>
              <w:left w:val="nil"/>
              <w:bottom w:val="nil"/>
              <w:right w:val="nil"/>
              <w:insideV w:val="single" w:sz="4" w:space="0"/>
            </w:tcBorders>
            <w:shd w:val="clear" w:color="auto" w:fill="auto"/>
          </w:tcPr>
          <w:p w14:paraId="75068318">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&lt;EndNote&gt;&lt;Cite&gt;&lt;Author&gt;McCarthy&lt;/Author&gt;&lt;Year&gt;2018&lt;/Year&gt;&lt;RecNum&gt;341&lt;/RecNum&gt;&lt;DisplayText&gt;(McCarthy &amp;amp; Monteverde, 2018)&lt;/DisplayText&gt;&lt;record&gt;&lt;rec-number&gt;341&lt;/rec-number&gt;&lt;foreign-keys&gt;&lt;key app="EN" db-id="daxr9sxtlpdx2peae9dx2f5o0vr2zzews552" timestamp="1694197083"&gt;341&lt;/key&gt;&lt;/foreign-keys&gt;&lt;ref-type name="Journal Article"&gt;17&lt;/ref-type&gt;&lt;contributors&gt;&lt;authors&gt;&lt;author&gt;McCarthy, Joan&lt;/author&gt;&lt;author&gt;Monteverde, Settimio&lt;/author&gt;&lt;/authors&gt;&lt;/contributors&gt;&lt;titles&gt;&lt;title&gt;The Standard Account of Moral Distress and Why We Should Keep It&lt;/title&gt;&lt;secondary-title&gt;HEC Forum&lt;/secondary-title&gt;&lt;/titles&gt;&lt;periodical&gt;&lt;full-title&gt;HEC Forum&lt;/full-title&gt;&lt;/periodical&gt;&lt;pages&gt;319-328&lt;/pages&gt;&lt;volume&gt;30&lt;/volume&gt;&lt;number&gt;4&lt;/number&gt;&lt;dates&gt;&lt;year&gt;2018&lt;/year&gt;&lt;pub-dates&gt;&lt;date&gt;2018/12/01&lt;/date&gt;&lt;/pub-dates&gt;&lt;/dates&gt;&lt;isbn&gt;1572-8498&lt;/isbn&gt;&lt;urls&gt;&lt;related-urls&gt;&lt;url&gt;https://doi.org/10.1007/s10730-018-9349-4&lt;/url&gt;&lt;/related-urls&gt;&lt;/urls&gt;&lt;electronic-resource-num&gt;10.1007/s10730-018-9349-4&lt;/electronic-resource-num&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M</w:t>
            </w:r>
            <w:r>
              <w:rPr>
                <w:rFonts w:asciiTheme="majorBidi" w:hAnsiTheme="majorBidi" w:cstheme="majorBidi"/>
                <w:b w:val="0"/>
                <w:bCs w:val="0"/>
                <w:color w:val="auto"/>
                <w:sz w:val="21"/>
                <w:szCs w:val="21"/>
                <w:shd w:val="clear" w:color="auto" w:fill="auto"/>
              </w:rPr>
              <w:t xml:space="preserve">ccarthy </w:t>
            </w:r>
            <w:r>
              <w:rPr>
                <w:rFonts w:asciiTheme="majorBidi" w:hAnsiTheme="majorBidi" w:cstheme="majorBidi"/>
                <w:b w:val="0"/>
                <w:bCs w:val="0"/>
                <w:caps/>
                <w:color w:val="auto"/>
                <w:sz w:val="21"/>
                <w:szCs w:val="21"/>
                <w:shd w:val="clear" w:color="auto" w:fill="auto"/>
              </w:rPr>
              <w:t>&amp; M</w:t>
            </w:r>
            <w:r>
              <w:rPr>
                <w:rFonts w:asciiTheme="majorBidi" w:hAnsiTheme="majorBidi" w:cstheme="majorBidi"/>
                <w:b w:val="0"/>
                <w:bCs w:val="0"/>
                <w:color w:val="auto"/>
                <w:sz w:val="21"/>
                <w:szCs w:val="21"/>
                <w:shd w:val="clear" w:color="auto" w:fill="auto"/>
              </w:rPr>
              <w:t>onteverde</w:t>
            </w:r>
            <w:r>
              <w:rPr>
                <w:rFonts w:asciiTheme="majorBidi" w:hAnsiTheme="majorBidi" w:cstheme="majorBidi"/>
                <w:b w:val="0"/>
                <w:bCs w:val="0"/>
                <w:caps/>
                <w:color w:val="auto"/>
                <w:sz w:val="21"/>
                <w:szCs w:val="21"/>
                <w:shd w:val="clear" w:color="auto" w:fill="auto"/>
              </w:rPr>
              <w:t>, 2018</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"fourteen"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14</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15E0161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50BB8F2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467074A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6337490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 </w:t>
            </w:r>
          </w:p>
        </w:tc>
        <w:tc>
          <w:tcPr>
            <w:tcW w:w="274" w:type="pct"/>
            <w:shd w:val="clear" w:color="auto" w:fill="auto"/>
          </w:tcPr>
          <w:p w14:paraId="5AF9C47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414" w:type="pct"/>
            <w:shd w:val="clear" w:color="auto" w:fill="auto"/>
          </w:tcPr>
          <w:p w14:paraId="3AF3268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1D1906D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6427659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5671B17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62B1167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20" w:type="pct"/>
            <w:shd w:val="clear" w:color="auto" w:fill="auto"/>
          </w:tcPr>
          <w:p w14:paraId="3EB89C7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84" w:type="pct"/>
            <w:shd w:val="clear" w:color="auto" w:fill="auto"/>
          </w:tcPr>
          <w:p w14:paraId="4B57600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720B4AA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c>
          <w:tcPr>
            <w:tcW w:w="300" w:type="pct"/>
            <w:shd w:val="clear" w:color="auto" w:fill="auto"/>
          </w:tcPr>
          <w:p w14:paraId="363CA4CB">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3869C75E">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19044C9F">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&lt;EndNote&gt;&lt;Cite&gt;&lt;Author&gt;Epstein&lt;/Author&gt;&lt;Year&gt;2019&lt;/Year&gt;&lt;RecNum&gt;89&lt;/RecNum&gt;&lt;DisplayText&gt;(Epstein et al., 2019)&lt;/DisplayText&gt;&lt;record&gt;&lt;rec-number&gt;89&lt;/rec-number&gt;&lt;foreign-keys&gt;&lt;key app="EN" db-id="daxr9sxtlpdx2peae9dx2f5o0vr2zzews552" timestamp="1636010160"&gt;89&lt;/key&gt;&lt;/foreign-keys&gt;&lt;ref-type name="Journal Article"&gt;17&lt;/ref-type&gt;&lt;contributors&gt;&lt;authors&gt;&lt;author&gt;Epstein, Elizabeth G&lt;/author&gt;&lt;author&gt;Whitehead, Phyllis B&lt;/author&gt;&lt;author&gt;Prompahakul, Chuleeporn&lt;/author&gt;&lt;author&gt;Thacker, Leroy R&lt;/author&gt;&lt;author&gt;Hamric, Ann B&lt;/author&gt;&lt;/authors&gt;&lt;/contributors&gt;&lt;titles&gt;&lt;title&gt;Enhancing understanding of moral distress: the measure of moral distress for health care professionals&lt;/title&gt;&lt;secondary-title&gt;AJOB empirical bioethics&lt;/secondary-title&gt;&lt;/titles&gt;&lt;periodical&gt;&lt;full-title&gt;AJOB empirical bioethics&lt;/full-title&gt;&lt;/periodical&gt;&lt;pages&gt;113-124&lt;/pages&gt;&lt;volume&gt;10&lt;/volume&gt;&lt;number&gt;2&lt;/number&gt;&lt;dates&gt;&lt;year&gt;2019&lt;/year&gt;&lt;/dates&gt;&lt;isbn&gt;2329-4515&lt;/isbn&gt;&lt;urls&gt;&lt;/urls&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E</w:t>
            </w:r>
            <w:r>
              <w:rPr>
                <w:rFonts w:asciiTheme="majorBidi" w:hAnsiTheme="majorBidi" w:cstheme="majorBidi"/>
                <w:b w:val="0"/>
                <w:bCs w:val="0"/>
                <w:color w:val="auto"/>
                <w:sz w:val="21"/>
                <w:szCs w:val="21"/>
                <w:shd w:val="clear" w:color="auto" w:fill="auto"/>
              </w:rPr>
              <w:t>pstein</w:t>
            </w:r>
            <w:r>
              <w:rPr>
                <w:rFonts w:asciiTheme="majorBidi" w:hAnsiTheme="majorBidi" w:cstheme="majorBidi"/>
                <w:b w:val="0"/>
                <w:bCs w:val="0"/>
                <w:caps/>
                <w:color w:val="auto"/>
                <w:sz w:val="21"/>
                <w:szCs w:val="21"/>
                <w:shd w:val="clear" w:color="auto" w:fill="auto"/>
              </w:rPr>
              <w:t xml:space="preserve"> </w:t>
            </w:r>
            <w:r>
              <w:rPr>
                <w:rFonts w:hint="eastAsia" w:asciiTheme="majorBidi" w:hAnsiTheme="majorBidi" w:cstheme="majorBidi"/>
                <w:b w:val="0"/>
                <w:bCs w:val="0"/>
                <w:color w:val="auto"/>
                <w:sz w:val="21"/>
                <w:szCs w:val="21"/>
                <w:shd w:val="clear" w:color="auto" w:fill="auto"/>
                <w:lang w:val="en-US" w:eastAsia="zh-CN"/>
              </w:rPr>
              <w:t>et al</w:t>
            </w:r>
            <w:r>
              <w:rPr>
                <w:rFonts w:asciiTheme="majorBidi" w:hAnsiTheme="majorBidi" w:cstheme="majorBidi"/>
                <w:b w:val="0"/>
                <w:bCs w:val="0"/>
                <w:caps/>
                <w:color w:val="auto"/>
                <w:sz w:val="21"/>
                <w:szCs w:val="21"/>
                <w:shd w:val="clear" w:color="auto" w:fill="auto"/>
              </w:rPr>
              <w:t>.,</w:t>
            </w:r>
            <w:r>
              <w:rPr>
                <w:rFonts w:hint="eastAsia" w:asciiTheme="majorBidi" w:hAnsiTheme="majorBidi" w:cstheme="majorBidi"/>
                <w:b w:val="0"/>
                <w:bCs w:val="0"/>
                <w:caps/>
                <w:color w:val="auto"/>
                <w:sz w:val="21"/>
                <w:szCs w:val="21"/>
                <w:shd w:val="clear" w:color="auto" w:fill="auto"/>
                <w:lang w:val="en-US" w:eastAsia="zh-CN"/>
              </w:rPr>
              <w:t xml:space="preserve"> </w:t>
            </w:r>
            <w:r>
              <w:rPr>
                <w:rFonts w:asciiTheme="majorBidi" w:hAnsiTheme="majorBidi" w:cstheme="majorBidi"/>
                <w:b w:val="0"/>
                <w:bCs w:val="0"/>
                <w:caps/>
                <w:color w:val="auto"/>
                <w:sz w:val="21"/>
                <w:szCs w:val="21"/>
                <w:shd w:val="clear" w:color="auto" w:fill="auto"/>
              </w:rPr>
              <w:t>2019</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"four"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4</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54FC266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6859676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48E0A02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6C6DBC4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48DDF3F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05E65AA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48" w:type="pct"/>
            <w:shd w:val="clear" w:color="auto" w:fill="auto"/>
          </w:tcPr>
          <w:p w14:paraId="712F6F8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6" w:type="pct"/>
            <w:shd w:val="clear" w:color="auto" w:fill="auto"/>
          </w:tcPr>
          <w:p w14:paraId="43D7AD1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4417699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513A04AB">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0" w:type="pct"/>
            <w:shd w:val="clear" w:color="auto" w:fill="auto"/>
          </w:tcPr>
          <w:p w14:paraId="39D1ECE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84" w:type="pct"/>
            <w:shd w:val="clear" w:color="auto" w:fill="auto"/>
          </w:tcPr>
          <w:p w14:paraId="457A89D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0907368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shd w:val="clear" w:color="auto" w:fill="auto"/>
          </w:tcPr>
          <w:p w14:paraId="74C4AE9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6ECE4F89">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4D124122">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&lt;EndNote&gt;&lt;Cite&gt;&lt;Author&gt;Ko&lt;/Author&gt;&lt;Year&gt;2019&lt;/Year&gt;&lt;RecNum&gt;347&lt;/RecNum&gt;&lt;DisplayText&gt;(Ko et al., 2019)&lt;/DisplayText&gt;&lt;record&gt;&lt;rec-number&gt;347&lt;/rec-number&gt;&lt;foreign-keys&gt;&lt;key app="EN" db-id="daxr9sxtlpdx2peae9dx2f5o0vr2zzews552" timestamp="1703107322"&gt;347&lt;/key&gt;&lt;/foreign-keys&gt;&lt;ref-type name="Journal Article"&gt;17&lt;/ref-type&gt;&lt;contributors&gt;&lt;authors&gt;&lt;author&gt;Ko, Hsun-Kuei&lt;/author&gt;&lt;author&gt;Chin, Chi-Chun&lt;/author&gt;&lt;author&gt;Hsu, Min-Tao&lt;/author&gt;&lt;author&gt;Lee, Shu-Li&lt;/author&gt;&lt;/authors&gt;&lt;/contributors&gt;&lt;titles&gt;&lt;title&gt;Phenomenon of moral distress through the aspect of interpretive interactionism&lt;/title&gt;&lt;secondary-title&gt;Nursing Ethics&lt;/secondary-title&gt;&lt;/titles&gt;&lt;periodical&gt;&lt;full-title&gt;Nursing ethics&lt;/full-title&gt;&lt;/periodical&gt;&lt;pages&gt;1484-1493&lt;/pages&gt;&lt;volume&gt;26&lt;/volume&gt;&lt;number&gt;5&lt;/number&gt;&lt;section&gt;1484&lt;/section&gt;&lt;dates&gt;&lt;year&gt;2019&lt;/year&gt;&lt;/dates&gt;&lt;isbn&gt;0969-7330&lt;/isbn&gt;&lt;urls&gt;&lt;/urls&gt;&lt;electronic-resource-num&gt;10.1177/0969733018766579&lt;/electronic-resource-num&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 xml:space="preserve">Ko </w:t>
            </w:r>
            <w:r>
              <w:rPr>
                <w:rFonts w:hint="eastAsia" w:asciiTheme="majorBidi" w:hAnsiTheme="majorBidi" w:cstheme="majorBidi"/>
                <w:b w:val="0"/>
                <w:bCs w:val="0"/>
                <w:color w:val="auto"/>
                <w:sz w:val="21"/>
                <w:szCs w:val="21"/>
                <w:shd w:val="clear" w:color="auto" w:fill="auto"/>
                <w:lang w:val="en-US" w:eastAsia="zh-CN"/>
              </w:rPr>
              <w:t>et al</w:t>
            </w:r>
            <w:r>
              <w:rPr>
                <w:rFonts w:asciiTheme="majorBidi" w:hAnsiTheme="majorBidi" w:cstheme="majorBidi"/>
                <w:b w:val="0"/>
                <w:bCs w:val="0"/>
                <w:caps/>
                <w:color w:val="auto"/>
                <w:sz w:val="21"/>
                <w:szCs w:val="21"/>
                <w:shd w:val="clear" w:color="auto" w:fill="auto"/>
              </w:rPr>
              <w:t>.,2019</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"twentyfive"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25</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505982F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1502918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1E96BB2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17973E8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2045CB8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309EE79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5B287AD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3AFDF0F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3B11D93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36C6261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20" w:type="pct"/>
            <w:shd w:val="clear" w:color="auto" w:fill="auto"/>
          </w:tcPr>
          <w:p w14:paraId="6AB0DCE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84" w:type="pct"/>
            <w:shd w:val="clear" w:color="auto" w:fill="auto"/>
          </w:tcPr>
          <w:p w14:paraId="1E1891B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2F9B11F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shd w:val="clear" w:color="auto" w:fill="auto"/>
          </w:tcPr>
          <w:p w14:paraId="6B0D0D9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0365027F">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7BCE2F48">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&lt;EndNote&gt;&lt;Cite&gt;&lt;Author&gt;Wachholz&lt;/Author&gt;&lt;Year&gt;2019&lt;/Year&gt;&lt;RecNum&gt;346&lt;/RecNum&gt;&lt;DisplayText&gt;(Wachholz et al., 2019)&lt;/DisplayText&gt;&lt;record&gt;&lt;rec-number&gt;346&lt;/rec-number&gt;&lt;foreign-keys&gt;&lt;key app="EN" db-id="daxr9sxtlpdx2peae9dx2f5o0vr2zzews552" timestamp="1703103090"&gt;346&lt;/key&gt;&lt;/foreign-keys&gt;&lt;ref-type name="Journal Article"&gt;17&lt;/ref-type&gt;&lt;contributors&gt;&lt;authors&gt;&lt;author&gt;Wachholz, Aline&lt;/author&gt;&lt;author&gt;Dalmolin, Graziele de Lima&lt;/author&gt;&lt;author&gt;Silva, Augusto Maciel da&lt;/author&gt;&lt;author&gt;Andolhe, Rafaela&lt;/author&gt;&lt;author&gt;Barlem, Edison Luiz Devos&lt;/author&gt;&lt;author&gt;Cogo, Silvana Bastos&lt;/author&gt;&lt;/authors&gt;&lt;/contributors&gt;&lt;titles&gt;&lt;title&gt;Moral distress and work satisfaction: what is their relation in nursing work?&lt;/title&gt;&lt;secondary-title&gt;Revista da Escola de Enfermagem da USP&lt;/secondary-title&gt;&lt;/titles&gt;&lt;periodical&gt;&lt;full-title&gt;Revista da Escola de Enfermagem da USP&lt;/full-title&gt;&lt;/periodical&gt;&lt;volume&gt;53&lt;/volume&gt;&lt;dates&gt;&lt;year&gt;2019&lt;/year&gt;&lt;/dates&gt;&lt;isbn&gt;0080-6234&lt;/isbn&gt;&lt;urls&gt;&lt;/urls&gt;&lt;/record&gt;&lt;/Cite&gt;&lt;/EndNote&gt;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W</w:t>
            </w:r>
            <w:r>
              <w:rPr>
                <w:rFonts w:asciiTheme="majorBidi" w:hAnsiTheme="majorBidi" w:cstheme="majorBidi"/>
                <w:b w:val="0"/>
                <w:bCs w:val="0"/>
                <w:color w:val="auto"/>
                <w:sz w:val="21"/>
                <w:szCs w:val="21"/>
                <w:shd w:val="clear" w:color="auto" w:fill="auto"/>
              </w:rPr>
              <w:t>achholz</w:t>
            </w:r>
            <w:r>
              <w:rPr>
                <w:rFonts w:asciiTheme="majorBidi" w:hAnsiTheme="majorBidi" w:cstheme="majorBidi"/>
                <w:b w:val="0"/>
                <w:bCs w:val="0"/>
                <w:caps/>
                <w:color w:val="auto"/>
                <w:sz w:val="21"/>
                <w:szCs w:val="21"/>
                <w:shd w:val="clear" w:color="auto" w:fill="auto"/>
              </w:rPr>
              <w:t xml:space="preserve"> </w:t>
            </w:r>
            <w:r>
              <w:rPr>
                <w:rFonts w:hint="eastAsia" w:asciiTheme="majorBidi" w:hAnsiTheme="majorBidi" w:cstheme="majorBidi"/>
                <w:b w:val="0"/>
                <w:bCs w:val="0"/>
                <w:color w:val="auto"/>
                <w:sz w:val="21"/>
                <w:szCs w:val="21"/>
                <w:shd w:val="clear" w:color="auto" w:fill="auto"/>
                <w:lang w:val="en-US" w:eastAsia="zh-CN"/>
              </w:rPr>
              <w:t>et al</w:t>
            </w:r>
            <w:r>
              <w:rPr>
                <w:rFonts w:asciiTheme="majorBidi" w:hAnsiTheme="majorBidi" w:cstheme="majorBidi"/>
                <w:b w:val="0"/>
                <w:bCs w:val="0"/>
                <w:caps/>
                <w:color w:val="auto"/>
                <w:sz w:val="21"/>
                <w:szCs w:val="21"/>
                <w:shd w:val="clear" w:color="auto" w:fill="auto"/>
              </w:rPr>
              <w:t>., 2019</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"thirtyfour"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34</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2FF8C86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762C086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124A549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489C1FA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28778B6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0D2CF08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48" w:type="pct"/>
            <w:shd w:val="clear" w:color="auto" w:fill="auto"/>
          </w:tcPr>
          <w:p w14:paraId="10141E4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6" w:type="pct"/>
            <w:shd w:val="clear" w:color="auto" w:fill="auto"/>
          </w:tcPr>
          <w:p w14:paraId="6EDB066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56" w:type="pct"/>
            <w:shd w:val="clear" w:color="auto" w:fill="auto"/>
          </w:tcPr>
          <w:p w14:paraId="639076A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3823CBB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0" w:type="pct"/>
            <w:shd w:val="clear" w:color="auto" w:fill="auto"/>
          </w:tcPr>
          <w:p w14:paraId="504BF5E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84" w:type="pct"/>
            <w:shd w:val="clear" w:color="auto" w:fill="auto"/>
          </w:tcPr>
          <w:p w14:paraId="0D25ED3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0309732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shd w:val="clear" w:color="auto" w:fill="auto"/>
          </w:tcPr>
          <w:p w14:paraId="1C94614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0FBD1D56">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551D6580">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&lt;EndNote&gt;&lt;Cite&gt;&lt;Author&gt;Burton&lt;/Author&gt;&lt;Year&gt;2020&lt;/Year&gt;&lt;RecNum&gt;377&lt;/RecNum&gt;&lt;DisplayText&gt;(Burton et al., 2020)&lt;/DisplayText&gt;&lt;record&gt;&lt;rec-number&gt;377&lt;/rec-number&gt;&lt;foreign-keys&gt;&lt;key app="EN" db-id="daxr9sxtlpdx2peae9dx2f5o0vr2zzews552" timestamp="1705239747"&gt;377&lt;/key&gt;&lt;/foreign-keys&gt;&lt;ref-type name="Journal Article"&gt;17&lt;/ref-type&gt;&lt;contributors&gt;&lt;authors&gt;&lt;author&gt;Burton, M.&lt;/author&gt;&lt;author&gt;Caswell, H.&lt;/author&gt;&lt;author&gt;Porter, C.&lt;/author&gt;&lt;author&gt;Mott, S.&lt;/author&gt;&lt;author&gt;DeGrazia, M.&lt;/author&gt;&lt;/authors&gt;&lt;/contributors&gt;&lt;titles&gt;&lt;title&gt;Moral Distress: Defined and Described by Neonatal and Pediatric Critical Care Nurses in a Quaternary Care Free-Standing Pediatric Hospital&lt;/title&gt;&lt;secondary-title&gt;Dimensions of Critical Care Nursing&lt;/secondary-title&gt;&lt;/titles&gt;&lt;periodical&gt;&lt;full-title&gt;Dimensions of Critical Care Nursing&lt;/full-title&gt;&lt;/periodical&gt;&lt;pages&gt;101-109&lt;/pages&gt;&lt;volume&gt;39&lt;/volume&gt;&lt;number&gt;2&lt;/number&gt;&lt;dates&gt;&lt;year&gt;2020&lt;/year&gt;&lt;/dates&gt;&lt;publisher&gt;Wolters Kluwer Health _ Lippincott Williams and Wilkins&lt;/publisher&gt;&lt;isbn&gt;1538-8646 0730-4625&lt;/isbn&gt;&lt;urls&gt;&lt;/urls&gt;&lt;remote-database-name&gt;/z-wcorg/&lt;/remote-database-name&gt;&lt;remote-database-provider&gt;http://worldcat.org&lt;/remote-database-provider&gt;&lt;language&gt;eng&lt;/language&gt;&lt;/record&gt;&lt;/Cite&gt;&lt;/EndNote&gt;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B</w:t>
            </w:r>
            <w:r>
              <w:rPr>
                <w:rFonts w:asciiTheme="majorBidi" w:hAnsiTheme="majorBidi" w:cstheme="majorBidi"/>
                <w:b w:val="0"/>
                <w:bCs w:val="0"/>
                <w:color w:val="auto"/>
                <w:sz w:val="21"/>
                <w:szCs w:val="21"/>
                <w:shd w:val="clear" w:color="auto" w:fill="auto"/>
              </w:rPr>
              <w:t>urton</w:t>
            </w:r>
            <w:r>
              <w:rPr>
                <w:rFonts w:asciiTheme="majorBidi" w:hAnsiTheme="majorBidi" w:cstheme="majorBidi"/>
                <w:b w:val="0"/>
                <w:bCs w:val="0"/>
                <w:caps/>
                <w:color w:val="auto"/>
                <w:sz w:val="21"/>
                <w:szCs w:val="21"/>
                <w:shd w:val="clear" w:color="auto" w:fill="auto"/>
              </w:rPr>
              <w:t xml:space="preserve"> </w:t>
            </w:r>
            <w:r>
              <w:rPr>
                <w:rFonts w:hint="eastAsia" w:asciiTheme="majorBidi" w:hAnsiTheme="majorBidi" w:cstheme="majorBidi"/>
                <w:b w:val="0"/>
                <w:bCs w:val="0"/>
                <w:color w:val="auto"/>
                <w:sz w:val="21"/>
                <w:szCs w:val="21"/>
                <w:shd w:val="clear" w:color="auto" w:fill="auto"/>
                <w:lang w:val="en-US" w:eastAsia="zh-CN"/>
              </w:rPr>
              <w:t>et al</w:t>
            </w:r>
            <w:r>
              <w:rPr>
                <w:rFonts w:asciiTheme="majorBidi" w:hAnsiTheme="majorBidi" w:cstheme="majorBidi"/>
                <w:b w:val="0"/>
                <w:bCs w:val="0"/>
                <w:caps/>
                <w:color w:val="auto"/>
                <w:sz w:val="21"/>
                <w:szCs w:val="21"/>
                <w:shd w:val="clear" w:color="auto" w:fill="auto"/>
              </w:rPr>
              <w:t>., 2020</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"twentyfour"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24</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63CBD58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1DCADFA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0AF2D41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20BE9E8B">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4BD4F27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4366B35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55FC0BD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415E35A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563C401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6074CEE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20" w:type="pct"/>
            <w:shd w:val="clear" w:color="auto" w:fill="auto"/>
          </w:tcPr>
          <w:p w14:paraId="7C329ED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84" w:type="pct"/>
            <w:shd w:val="clear" w:color="auto" w:fill="auto"/>
          </w:tcPr>
          <w:p w14:paraId="3D04113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601561E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w:t>
            </w:r>
          </w:p>
        </w:tc>
        <w:tc>
          <w:tcPr>
            <w:tcW w:w="300" w:type="pct"/>
            <w:shd w:val="clear" w:color="auto" w:fill="auto"/>
          </w:tcPr>
          <w:p w14:paraId="2F594BC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00017430">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651B3260">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&lt;EndNote&gt;&lt;Cite&gt;&lt;Author&gt;Morley&lt;/Author&gt;&lt;Year&gt;2020&lt;/Year&gt;&lt;RecNum&gt;354&lt;/RecNum&gt;&lt;DisplayText&gt;(Morley, Bradbury-Jones &amp;amp; Ives, 2020)&lt;/DisplayText&gt;&lt;record&gt;&lt;rec-number&gt;354&lt;/rec-number&gt;&lt;foreign-keys&gt;&lt;key app="EN" db-id="daxr9sxtlpdx2peae9dx2f5o0vr2zzews552" timestamp="1703240458"&gt;354&lt;/key&gt;&lt;/foreign-keys&gt;&lt;ref-type name="Journal Article"&gt;17&lt;/ref-type&gt;&lt;contributors&gt;&lt;authors&gt;&lt;author&gt;Morley, Georgina&lt;/author&gt;&lt;author&gt;Bradbury-Jones, Caroline&lt;/author&gt;&lt;author&gt;Ives, Jonathan&lt;/author&gt;&lt;/authors&gt;&lt;/contributors&gt;&lt;titles&gt;&lt;title&gt;What is ‘moral distress’ in nursing? A feminist empirical bioethics study&lt;/title&gt;&lt;secondary-title&gt;Nursing Ethics&lt;/secondary-title&gt;&lt;/titles&gt;&lt;periodical&gt;&lt;full-title&gt;Nursing ethics&lt;/full-title&gt;&lt;/periodical&gt;&lt;pages&gt;1297-1314&lt;/pages&gt;&lt;volume&gt;27&lt;/volume&gt;&lt;number&gt;5&lt;/number&gt;&lt;keywords&gt;&lt;keyword&gt;Empirical approaches,empirical bioethics,feminist ethics,moral distress,nursing practice,phenomenology,qualitative research,theory/philosophical perspectives&lt;/keyword&gt;&lt;/keywords&gt;&lt;dates&gt;&lt;year&gt;2020&lt;/year&gt;&lt;/dates&gt;&lt;accession-num&gt;31566094&lt;/accession-num&gt;&lt;urls&gt;&lt;related-urls&gt;&lt;url&gt;https://journals.sagepub.com/doi/abs/10.1177/0969733019874492&lt;/url&gt;&lt;/related-urls&gt;&lt;/urls&gt;&lt;electronic-resource-num&gt;10.1177/0969733019874492&lt;/electronic-resource-num&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M</w:t>
            </w:r>
            <w:r>
              <w:rPr>
                <w:rFonts w:asciiTheme="majorBidi" w:hAnsiTheme="majorBidi" w:cstheme="majorBidi"/>
                <w:b w:val="0"/>
                <w:bCs w:val="0"/>
                <w:color w:val="auto"/>
                <w:sz w:val="21"/>
                <w:szCs w:val="21"/>
                <w:shd w:val="clear" w:color="auto" w:fill="auto"/>
              </w:rPr>
              <w:t>orley</w:t>
            </w:r>
            <w:r>
              <w:rPr>
                <w:rFonts w:asciiTheme="majorBidi" w:hAnsiTheme="majorBidi" w:cstheme="majorBidi"/>
                <w:b w:val="0"/>
                <w:bCs w:val="0"/>
                <w:caps/>
                <w:color w:val="auto"/>
                <w:sz w:val="21"/>
                <w:szCs w:val="21"/>
                <w:shd w:val="clear" w:color="auto" w:fill="auto"/>
              </w:rPr>
              <w:t xml:space="preserve"> </w:t>
            </w:r>
            <w:bookmarkStart w:id="6" w:name="OLE_LINK5"/>
            <w:r>
              <w:rPr>
                <w:rFonts w:hint="eastAsia" w:asciiTheme="majorBidi" w:hAnsiTheme="majorBidi" w:cstheme="majorBidi"/>
                <w:b w:val="0"/>
                <w:bCs w:val="0"/>
                <w:color w:val="auto"/>
                <w:sz w:val="21"/>
                <w:szCs w:val="21"/>
                <w:shd w:val="clear" w:color="auto" w:fill="auto"/>
                <w:lang w:val="en-US" w:eastAsia="zh-CN"/>
              </w:rPr>
              <w:t>et al</w:t>
            </w:r>
            <w:r>
              <w:rPr>
                <w:rFonts w:asciiTheme="majorBidi" w:hAnsiTheme="majorBidi" w:cstheme="majorBidi"/>
                <w:b w:val="0"/>
                <w:bCs w:val="0"/>
                <w:caps/>
                <w:color w:val="auto"/>
                <w:sz w:val="21"/>
                <w:szCs w:val="21"/>
                <w:shd w:val="clear" w:color="auto" w:fill="auto"/>
              </w:rPr>
              <w:t>.,</w:t>
            </w:r>
            <w:bookmarkEnd w:id="6"/>
            <w:r>
              <w:rPr>
                <w:rFonts w:asciiTheme="majorBidi" w:hAnsiTheme="majorBidi" w:cstheme="majorBidi"/>
                <w:b w:val="0"/>
                <w:bCs w:val="0"/>
                <w:caps/>
                <w:color w:val="auto"/>
                <w:sz w:val="21"/>
                <w:szCs w:val="21"/>
                <w:shd w:val="clear" w:color="auto" w:fill="auto"/>
              </w:rPr>
              <w:t xml:space="preserve"> 2020</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"thirteen"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13</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5F68675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43504B1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7A5E9CA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1AADB6C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154A860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670587A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5A32C15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68307AC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26E3F3E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121087D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20" w:type="pct"/>
            <w:shd w:val="clear" w:color="auto" w:fill="auto"/>
          </w:tcPr>
          <w:p w14:paraId="1F37E8F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84" w:type="pct"/>
            <w:shd w:val="clear" w:color="auto" w:fill="auto"/>
          </w:tcPr>
          <w:p w14:paraId="3EF05B5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25ECE0C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shd w:val="clear" w:color="auto" w:fill="auto"/>
          </w:tcPr>
          <w:p w14:paraId="0B776F9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7EA05057">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52D317F9">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&lt;EndNote&gt;&lt;Cite&gt;&lt;Author&gt;Dorman&lt;/Author&gt;&lt;Year&gt;2020&lt;/Year&gt;&lt;RecNum&gt;366&lt;/RecNum&gt;&lt;DisplayText&gt;(Dorman &amp;amp; Raffin Bouchal, 2020)&lt;/DisplayText&gt;&lt;record&gt;&lt;rec-number&gt;366&lt;/rec-number&gt;&lt;foreign-keys&gt;&lt;key app="EN" db-id="daxr9sxtlpdx2peae9dx2f5o0vr2zzews552" timestamp="1703679657"&gt;366&lt;/key&gt;&lt;/foreign-keys&gt;&lt;ref-type name="Conference Proceedings"&gt;10&lt;/ref-type&gt;&lt;contributors&gt;&lt;authors&gt;&lt;author&gt;Dorman, Jennifer D&lt;/author&gt;&lt;author&gt;Raffin Bouchal, Shelley&lt;/author&gt;&lt;/authors&gt;&lt;/contributors&gt;&lt;titles&gt;&lt;title&gt;Moral distress and moral uncertainty in medical assistance in dying: A simultaneous evolutionary concept analysis&lt;/title&gt;&lt;secondary-title&gt;Nursing forum&lt;/secondary-title&gt;&lt;/titles&gt;&lt;periodical&gt;&lt;full-title&gt;Nursing Forum&lt;/full-title&gt;&lt;/periodical&gt;&lt;pages&gt;320-330&lt;/pages&gt;&lt;volume&gt;55&lt;/volume&gt;&lt;number&gt;3&lt;/number&gt;&lt;dates&gt;&lt;year&gt;2020&lt;/year&gt;&lt;/dates&gt;&lt;publisher&gt;Wiley Online Library&lt;/publisher&gt;&lt;isbn&gt;0029-6473&lt;/isbn&gt;&lt;urls&gt;&lt;/urls&gt;&lt;/record&gt;&lt;/Cite&gt;&lt;/EndNote&gt;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D</w:t>
            </w:r>
            <w:r>
              <w:rPr>
                <w:rFonts w:asciiTheme="majorBidi" w:hAnsiTheme="majorBidi" w:cstheme="majorBidi"/>
                <w:b w:val="0"/>
                <w:bCs w:val="0"/>
                <w:color w:val="auto"/>
                <w:sz w:val="21"/>
                <w:szCs w:val="21"/>
                <w:shd w:val="clear" w:color="auto" w:fill="auto"/>
              </w:rPr>
              <w:t>orman</w:t>
            </w:r>
            <w:r>
              <w:rPr>
                <w:rFonts w:asciiTheme="majorBidi" w:hAnsiTheme="majorBidi" w:cstheme="majorBidi"/>
                <w:b w:val="0"/>
                <w:bCs w:val="0"/>
                <w:caps/>
                <w:color w:val="auto"/>
                <w:sz w:val="21"/>
                <w:szCs w:val="21"/>
                <w:shd w:val="clear" w:color="auto" w:fill="auto"/>
              </w:rPr>
              <w:t xml:space="preserve"> &amp; </w:t>
            </w:r>
            <w:r>
              <w:rPr>
                <w:rFonts w:hint="eastAsia" w:asciiTheme="majorBidi" w:hAnsiTheme="majorBidi" w:cstheme="majorBidi"/>
                <w:b w:val="0"/>
                <w:bCs w:val="0"/>
                <w:color w:val="auto"/>
                <w:sz w:val="21"/>
                <w:szCs w:val="21"/>
                <w:shd w:val="clear" w:color="auto" w:fill="auto"/>
                <w:lang w:val="en-US" w:eastAsia="zh-CN"/>
              </w:rPr>
              <w:t>B</w:t>
            </w:r>
            <w:r>
              <w:rPr>
                <w:rFonts w:asciiTheme="majorBidi" w:hAnsiTheme="majorBidi" w:cstheme="majorBidi"/>
                <w:b w:val="0"/>
                <w:bCs w:val="0"/>
                <w:color w:val="auto"/>
                <w:sz w:val="21"/>
                <w:szCs w:val="21"/>
                <w:shd w:val="clear" w:color="auto" w:fill="auto"/>
              </w:rPr>
              <w:t>ouchal</w:t>
            </w:r>
            <w:r>
              <w:rPr>
                <w:rFonts w:asciiTheme="majorBidi" w:hAnsiTheme="majorBidi" w:cstheme="majorBidi"/>
                <w:b w:val="0"/>
                <w:bCs w:val="0"/>
                <w:caps/>
                <w:color w:val="auto"/>
                <w:sz w:val="21"/>
                <w:szCs w:val="21"/>
                <w:shd w:val="clear" w:color="auto" w:fill="auto"/>
              </w:rPr>
              <w:t>, 2020</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"thirtythree"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33</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074B90B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78FA807B">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3D1FF90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0EA05AD5">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38C94B1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1D525D3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7BCDDE3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23D3C84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0EB6A72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103763D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20" w:type="pct"/>
            <w:shd w:val="clear" w:color="auto" w:fill="auto"/>
          </w:tcPr>
          <w:p w14:paraId="37FD7BA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84" w:type="pct"/>
            <w:shd w:val="clear" w:color="auto" w:fill="auto"/>
          </w:tcPr>
          <w:p w14:paraId="127CB17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54B21F1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shd w:val="clear" w:color="auto" w:fill="auto"/>
          </w:tcPr>
          <w:p w14:paraId="505F99E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641BA847">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67370B7F">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&lt;EndNote&gt;&lt;Cite&gt;&lt;Author&gt;Woods&lt;/Author&gt;&lt;Year&gt;2020&lt;/Year&gt;&lt;RecNum&gt;358&lt;/RecNum&gt;&lt;DisplayText&gt;(Woods, 2020)&lt;/DisplayText&gt;&lt;record&gt;&lt;rec-number&gt;358&lt;/rec-number&gt;&lt;foreign-keys&gt;&lt;key app="EN" db-id="daxr9sxtlpdx2peae9dx2f5o0vr2zzews552" timestamp="1703445208"&gt;358&lt;/key&gt;&lt;/foreign-keys&gt;&lt;ref-type name="Journal Article"&gt;17&lt;/ref-type&gt;&lt;contributors&gt;&lt;authors&gt;&lt;author&gt;Woods, M.&lt;/author&gt;&lt;/authors&gt;&lt;/contributors&gt;&lt;titles&gt;&lt;title&gt;Moral distress revisited: the viewpoints and responses of nurses&lt;/title&gt;&lt;secondary-title&gt;International nursing review&lt;/secondary-title&gt;&lt;/titles&gt;&lt;periodical&gt;&lt;full-title&gt;International nursing review&lt;/full-title&gt;&lt;/periodical&gt;&lt;pages&gt;68-75&lt;/pages&gt;&lt;volume&gt;67&lt;/volume&gt;&lt;number&gt;1&lt;/number&gt;&lt;section&gt;68&lt;/section&gt;&lt;dates&gt;&lt;year&gt;2020&lt;/year&gt;&lt;/dates&gt;&lt;isbn&gt;0020-8132&lt;/isbn&gt;&lt;urls&gt;&lt;/urls&gt;&lt;remote-database-name&gt;British Library Serials&lt;/remote-database-name&gt;&lt;/record&gt;&lt;/Cite&gt;&lt;/EndNote&gt;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W</w:t>
            </w:r>
            <w:r>
              <w:rPr>
                <w:rFonts w:asciiTheme="majorBidi" w:hAnsiTheme="majorBidi" w:cstheme="majorBidi"/>
                <w:b w:val="0"/>
                <w:bCs w:val="0"/>
                <w:color w:val="auto"/>
                <w:sz w:val="21"/>
                <w:szCs w:val="21"/>
                <w:shd w:val="clear" w:color="auto" w:fill="auto"/>
              </w:rPr>
              <w:t>oods</w:t>
            </w:r>
            <w:r>
              <w:rPr>
                <w:rFonts w:asciiTheme="majorBidi" w:hAnsiTheme="majorBidi" w:cstheme="majorBidi"/>
                <w:b w:val="0"/>
                <w:bCs w:val="0"/>
                <w:caps/>
                <w:color w:val="auto"/>
                <w:sz w:val="21"/>
                <w:szCs w:val="21"/>
                <w:shd w:val="clear" w:color="auto" w:fill="auto"/>
              </w:rPr>
              <w:t>, 2020</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"thirtyfive"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35</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45C0E49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140DA24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6A179DE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00" w:type="pct"/>
            <w:shd w:val="clear" w:color="auto" w:fill="auto"/>
          </w:tcPr>
          <w:p w14:paraId="2711FA3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274" w:type="pct"/>
            <w:shd w:val="clear" w:color="auto" w:fill="auto"/>
          </w:tcPr>
          <w:p w14:paraId="77B8F28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0D3C5FF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48" w:type="pct"/>
            <w:shd w:val="clear" w:color="auto" w:fill="auto"/>
          </w:tcPr>
          <w:p w14:paraId="603A283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3225F3F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750D1BB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12ED95F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0" w:type="pct"/>
            <w:shd w:val="clear" w:color="auto" w:fill="auto"/>
          </w:tcPr>
          <w:p w14:paraId="3F9F3E6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84" w:type="pct"/>
            <w:shd w:val="clear" w:color="auto" w:fill="auto"/>
          </w:tcPr>
          <w:p w14:paraId="5B2A0A8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76E2A25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LVLII</w:t>
            </w:r>
          </w:p>
        </w:tc>
        <w:tc>
          <w:tcPr>
            <w:tcW w:w="300" w:type="pct"/>
            <w:shd w:val="clear" w:color="auto" w:fill="auto"/>
          </w:tcPr>
          <w:p w14:paraId="6F7B3135">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791EC88D">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14138689">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&lt;EndNote&gt;&lt;Cite&gt;&lt;Author&gt;De Brasi&lt;/Author&gt;&lt;Year&gt;2021&lt;/Year&gt;&lt;RecNum&gt;379&lt;/RecNum&gt;&lt;DisplayText&gt;(De Brasi et al., 2021)&lt;/DisplayText&gt;&lt;record&gt;&lt;rec-number&gt;379&lt;/rec-number&gt;&lt;foreign-keys&gt;&lt;key app="EN" db-id="daxr9sxtlpdx2peae9dx2f5o0vr2zzews552" timestamp="1705241780"&gt;379&lt;/key&gt;&lt;/foreign-keys&gt;&lt;ref-type name="Journal Article"&gt;17&lt;/ref-type&gt;&lt;contributors&gt;&lt;authors&gt;&lt;author&gt;De Brasi, E. L.&lt;/author&gt;&lt;author&gt;Villa, G.&lt;/author&gt;&lt;author&gt;Giannetta, N.&lt;/author&gt;&lt;author&gt;Ercolani, S.&lt;/author&gt;&lt;author&gt;Gandini, E. L. M.&lt;/author&gt;&lt;author&gt;Moranda, D.&lt;/author&gt;&lt;author&gt;Manara, D. F.&lt;/author&gt;&lt;/authors&gt;&lt;/contributors&gt;&lt;titles&gt;&lt;title&gt;Nurses&amp;apos; moral distress in end-of-life care: A qualitative study&lt;/title&gt;&lt;secondary-title&gt;Nursing Ethics&lt;/secondary-title&gt;&lt;/titles&gt;&lt;periodical&gt;&lt;full-title&gt;Nursing ethics&lt;/full-title&gt;&lt;/periodical&gt;&lt;dates&gt;&lt;year&gt;2021&lt;/year&gt;&lt;/dates&gt;&lt;isbn&gt;0969-7330&lt;/isbn&gt;&lt;urls&gt;&lt;/urls&gt;&lt;electronic-resource-num&gt;10.1177/0969733020964859&lt;/electronic-resource-num&gt;&lt;remote-database-name&gt;Elsevier&lt;/remote-database-name&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D</w:t>
            </w:r>
            <w:r>
              <w:rPr>
                <w:rFonts w:asciiTheme="majorBidi" w:hAnsiTheme="majorBidi" w:cstheme="majorBidi"/>
                <w:b w:val="0"/>
                <w:bCs w:val="0"/>
                <w:color w:val="auto"/>
                <w:sz w:val="21"/>
                <w:szCs w:val="21"/>
                <w:shd w:val="clear" w:color="auto" w:fill="auto"/>
              </w:rPr>
              <w:t xml:space="preserve">e </w:t>
            </w:r>
            <w:r>
              <w:rPr>
                <w:rFonts w:hint="eastAsia" w:asciiTheme="majorBidi" w:hAnsiTheme="majorBidi" w:cstheme="majorBidi"/>
                <w:b w:val="0"/>
                <w:bCs w:val="0"/>
                <w:color w:val="auto"/>
                <w:sz w:val="21"/>
                <w:szCs w:val="21"/>
                <w:shd w:val="clear" w:color="auto" w:fill="auto"/>
                <w:lang w:val="en-US" w:eastAsia="zh-CN"/>
              </w:rPr>
              <w:t>B</w:t>
            </w:r>
            <w:r>
              <w:rPr>
                <w:rFonts w:asciiTheme="majorBidi" w:hAnsiTheme="majorBidi" w:cstheme="majorBidi"/>
                <w:b w:val="0"/>
                <w:bCs w:val="0"/>
                <w:color w:val="auto"/>
                <w:sz w:val="21"/>
                <w:szCs w:val="21"/>
                <w:shd w:val="clear" w:color="auto" w:fill="auto"/>
              </w:rPr>
              <w:t xml:space="preserve">rasi </w:t>
            </w:r>
            <w:r>
              <w:rPr>
                <w:rFonts w:hint="eastAsia" w:asciiTheme="majorBidi" w:hAnsiTheme="majorBidi" w:cstheme="majorBidi"/>
                <w:b w:val="0"/>
                <w:bCs w:val="0"/>
                <w:color w:val="auto"/>
                <w:sz w:val="21"/>
                <w:szCs w:val="21"/>
                <w:shd w:val="clear" w:color="auto" w:fill="auto"/>
                <w:lang w:val="en-US" w:eastAsia="zh-CN"/>
              </w:rPr>
              <w:t>et al</w:t>
            </w:r>
            <w:r>
              <w:rPr>
                <w:rFonts w:asciiTheme="majorBidi" w:hAnsiTheme="majorBidi" w:cstheme="majorBidi"/>
                <w:b w:val="0"/>
                <w:bCs w:val="0"/>
                <w:caps/>
                <w:color w:val="auto"/>
                <w:sz w:val="21"/>
                <w:szCs w:val="21"/>
                <w:shd w:val="clear" w:color="auto" w:fill="auto"/>
              </w:rPr>
              <w:t>.,</w:t>
            </w:r>
            <w:r>
              <w:rPr>
                <w:rFonts w:hint="eastAsia" w:asciiTheme="majorBidi" w:hAnsiTheme="majorBidi" w:cstheme="majorBidi"/>
                <w:b w:val="0"/>
                <w:bCs w:val="0"/>
                <w:caps/>
                <w:color w:val="auto"/>
                <w:sz w:val="21"/>
                <w:szCs w:val="21"/>
                <w:shd w:val="clear" w:color="auto" w:fill="auto"/>
                <w:lang w:val="en-US" w:eastAsia="zh-CN"/>
              </w:rPr>
              <w:t xml:space="preserve"> </w:t>
            </w:r>
            <w:r>
              <w:rPr>
                <w:rFonts w:asciiTheme="majorBidi" w:hAnsiTheme="majorBidi" w:cstheme="majorBidi"/>
                <w:b w:val="0"/>
                <w:bCs w:val="0"/>
                <w:caps/>
                <w:color w:val="auto"/>
                <w:sz w:val="21"/>
                <w:szCs w:val="21"/>
                <w:shd w:val="clear" w:color="auto" w:fill="auto"/>
              </w:rPr>
              <w:t>2021</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"twentytwo"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22</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4C1CE7F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0BFC09C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5F0F2A3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63D2AE6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2478C6D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4871B6EB">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4D833CC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3EBF44E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4AC25A7B">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1D160C5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20" w:type="pct"/>
            <w:shd w:val="clear" w:color="auto" w:fill="auto"/>
          </w:tcPr>
          <w:p w14:paraId="71E4D99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84" w:type="pct"/>
            <w:shd w:val="clear" w:color="auto" w:fill="auto"/>
          </w:tcPr>
          <w:p w14:paraId="737BA00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68B8608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shd w:val="clear" w:color="auto" w:fill="auto"/>
          </w:tcPr>
          <w:p w14:paraId="045CD9D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5AD65FB3">
        <w:tblPrEx>
          <w:shd w:val="clear" w:color="auto" w:fill="auto"/>
          <w:tblCellMar>
            <w:top w:w="0" w:type="dxa"/>
            <w:left w:w="108" w:type="dxa"/>
            <w:bottom w:w="0" w:type="dxa"/>
            <w:right w:w="108" w:type="dxa"/>
          </w:tblCellMar>
        </w:tblPrEx>
        <w:trPr>
          <w:trHeight w:val="671" w:hRule="atLeast"/>
        </w:trPr>
        <w:tc>
          <w:tcPr>
            <w:tcW w:w="432" w:type="pct"/>
            <w:tcBorders>
              <w:top w:val="nil"/>
              <w:left w:val="nil"/>
              <w:bottom w:val="nil"/>
              <w:right w:val="nil"/>
              <w:insideV w:val="single" w:sz="4" w:space="0"/>
            </w:tcBorders>
            <w:shd w:val="clear" w:color="auto" w:fill="auto"/>
          </w:tcPr>
          <w:p w14:paraId="2D00BE30">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&lt;EndNote&gt;&lt;Cite&gt;&lt;Author&gt;Nikbakht Nasrabadi&lt;/Author&gt;&lt;Year&gt;2021&lt;/Year&gt;&lt;RecNum&gt;381&lt;/RecNum&gt;&lt;DisplayText&gt;(Nikbakht Nasrabadi et al., 2021)&lt;/DisplayText&gt;&lt;record&gt;&lt;rec-number&gt;381&lt;/rec-number&gt;&lt;foreign-keys&gt;&lt;key app="EN" db-id="daxr9sxtlpdx2peae9dx2f5o0vr2zzews552" timestamp="1705243765"&gt;381&lt;/key&gt;&lt;/foreign-keys&gt;&lt;ref-type name="Journal Article"&gt;17&lt;/ref-type&gt;&lt;contributors&gt;&lt;authors&gt;&lt;author&gt;Nikbakht Nasrabadi, Alireza&lt;/author&gt;&lt;author&gt;Wibisono, Ahmad Hasyim&lt;/author&gt;&lt;author&gt;Allen, Kelly-Ann&lt;/author&gt;&lt;author&gt;Yaghoobzadeh, Ameneh&lt;/author&gt;&lt;author&gt;Bit-Lian, Yee&lt;/author&gt;&lt;/authors&gt;&lt;/contributors&gt;&lt;titles&gt;&lt;title&gt;Exploring the experiences of nurses’ moral distress in long-term care of older adults: a phenomenological study&lt;/title&gt;&lt;secondary-title&gt;BMC Nursing&lt;/secondary-title&gt;&lt;/titles&gt;&lt;periodical&gt;&lt;full-title&gt;BMC nursing&lt;/full-title&gt;&lt;abbr-1&gt;BMC Nurs&lt;/abbr-1&gt;&lt;/periodical&gt;&lt;pages&gt;156&lt;/pages&gt;&lt;volume&gt;20&lt;/volume&gt;&lt;number&gt;1&lt;/number&gt;&lt;dates&gt;&lt;year&gt;2021&lt;/year&gt;&lt;pub-dates&gt;&lt;date&gt;2021/08/31&lt;/date&gt;&lt;/pub-dates&gt;&lt;/dates&gt;&lt;isbn&gt;1472-6955&lt;/isbn&gt;&lt;urls&gt;&lt;related-urls&gt;&lt;url&gt;https://doi.org/10.1186/s12912-021-00675-3&lt;/url&gt;&lt;/related-urls&gt;&lt;/urls&gt;&lt;electronic-resource-num&gt;10.1186/s12912-021-00675-3&lt;/electronic-resource-num&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N</w:t>
            </w:r>
            <w:r>
              <w:rPr>
                <w:rFonts w:asciiTheme="majorBidi" w:hAnsiTheme="majorBidi" w:cstheme="majorBidi"/>
                <w:b w:val="0"/>
                <w:bCs w:val="0"/>
                <w:color w:val="auto"/>
                <w:sz w:val="21"/>
                <w:szCs w:val="21"/>
                <w:shd w:val="clear" w:color="auto" w:fill="auto"/>
              </w:rPr>
              <w:t xml:space="preserve">asrabadi </w:t>
            </w:r>
            <w:bookmarkStart w:id="7" w:name="OLE_LINK6"/>
            <w:r>
              <w:rPr>
                <w:rFonts w:asciiTheme="majorBidi" w:hAnsiTheme="majorBidi" w:cstheme="majorBidi"/>
                <w:b w:val="0"/>
                <w:bCs w:val="0"/>
                <w:color w:val="auto"/>
                <w:sz w:val="21"/>
                <w:szCs w:val="21"/>
                <w:shd w:val="clear" w:color="auto" w:fill="auto"/>
              </w:rPr>
              <w:t xml:space="preserve">et al., </w:t>
            </w:r>
            <w:bookmarkEnd w:id="7"/>
            <w:r>
              <w:rPr>
                <w:rFonts w:asciiTheme="majorBidi" w:hAnsiTheme="majorBidi" w:cstheme="majorBidi"/>
                <w:b w:val="0"/>
                <w:bCs w:val="0"/>
                <w:caps/>
                <w:color w:val="auto"/>
                <w:sz w:val="21"/>
                <w:szCs w:val="21"/>
                <w:shd w:val="clear" w:color="auto" w:fill="auto"/>
              </w:rPr>
              <w:t>2021</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"thirtytwo"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32</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108CFFB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0C3C00BB">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74F4BE3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6C31BA8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274" w:type="pct"/>
            <w:shd w:val="clear" w:color="auto" w:fill="auto"/>
          </w:tcPr>
          <w:p w14:paraId="4ACE1E7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6073AF7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511E77B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18E27B8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43A97C5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5813624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20" w:type="pct"/>
            <w:shd w:val="clear" w:color="auto" w:fill="auto"/>
          </w:tcPr>
          <w:p w14:paraId="7AAE2DB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84" w:type="pct"/>
            <w:shd w:val="clear" w:color="auto" w:fill="auto"/>
          </w:tcPr>
          <w:p w14:paraId="071D6D6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0EF9BAE5">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c>
          <w:tcPr>
            <w:tcW w:w="300" w:type="pct"/>
            <w:shd w:val="clear" w:color="auto" w:fill="auto"/>
          </w:tcPr>
          <w:p w14:paraId="1D838D7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1ABCE2FA">
        <w:tblPrEx>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6D223795">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&lt;EndNote&gt;&lt;Cite&gt;&lt;Author&gt;Özbaş&lt;/Author&gt;&lt;Year&gt;2021&lt;/Year&gt;&lt;RecNum&gt;373&lt;/RecNum&gt;&lt;DisplayText&gt;(Özbaş, Kovanci &amp;amp; Köken, 2021)&lt;/DisplayText&gt;&lt;record&gt;&lt;rec-number&gt;373&lt;/rec-number&gt;&lt;foreign-keys&gt;&lt;key app="EN" db-id="daxr9sxtlpdx2peae9dx2f5o0vr2zzews552" timestamp="1704548147"&gt;373&lt;/key&gt;&lt;/foreign-keys&gt;&lt;ref-type name="Journal Article"&gt;17&lt;/ref-type&gt;&lt;contributors&gt;&lt;authors&gt;&lt;author&gt;Özbaş, Azize Atli&lt;/author&gt;&lt;author&gt;Kovanci, Mustafa Sabri&lt;/author&gt;&lt;author&gt;Köken, Arif Hüdai&lt;/author&gt;&lt;/authors&gt;&lt;/contributors&gt;&lt;titles&gt;&lt;title&gt;Moral distress in oncology nurses: A qualitative study&lt;/title&gt;&lt;secondary-title&gt;European Journal of Oncology Nursing&lt;/secondary-title&gt;&lt;/titles&gt;&lt;periodical&gt;&lt;full-title&gt;European Journal of Oncology Nursing&lt;/full-title&gt;&lt;/periodical&gt;&lt;pages&gt;102038&lt;/pages&gt;&lt;volume&gt;54&lt;/volume&gt;&lt;dates&gt;&lt;year&gt;2021&lt;/year&gt;&lt;/dates&gt;&lt;isbn&gt;1462-3889&lt;/isbn&gt;&lt;urls&gt;&lt;/urls&gt;&lt;/record&gt;&lt;/Cite&gt;&lt;/EndNote&gt;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Özbaş</w:t>
            </w:r>
            <w:r>
              <w:rPr>
                <w:rFonts w:hint="eastAsia" w:asciiTheme="majorBidi" w:hAnsiTheme="majorBidi" w:cstheme="majorBidi"/>
                <w:b w:val="0"/>
                <w:bCs w:val="0"/>
                <w:caps/>
                <w:color w:val="auto"/>
                <w:sz w:val="21"/>
                <w:szCs w:val="21"/>
                <w:shd w:val="clear" w:color="auto" w:fill="auto"/>
                <w:lang w:val="en-US" w:eastAsia="zh-CN"/>
              </w:rPr>
              <w:t xml:space="preserve"> </w:t>
            </w:r>
            <w:r>
              <w:rPr>
                <w:rFonts w:asciiTheme="majorBidi" w:hAnsiTheme="majorBidi" w:cstheme="majorBidi"/>
                <w:b w:val="0"/>
                <w:bCs w:val="0"/>
                <w:color w:val="auto"/>
                <w:sz w:val="21"/>
                <w:szCs w:val="21"/>
                <w:shd w:val="clear" w:color="auto" w:fill="auto"/>
              </w:rPr>
              <w:t xml:space="preserve">et al., </w:t>
            </w:r>
            <w:r>
              <w:rPr>
                <w:rFonts w:asciiTheme="majorBidi" w:hAnsiTheme="majorBidi" w:cstheme="majorBidi"/>
                <w:b w:val="0"/>
                <w:bCs w:val="0"/>
                <w:caps/>
                <w:color w:val="auto"/>
                <w:sz w:val="21"/>
                <w:szCs w:val="21"/>
                <w:shd w:val="clear" w:color="auto" w:fill="auto"/>
              </w:rPr>
              <w:t>2021</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"twentynine"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29</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54BB3C0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2DF9A2F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 </w:t>
            </w:r>
          </w:p>
        </w:tc>
        <w:tc>
          <w:tcPr>
            <w:tcW w:w="403" w:type="pct"/>
            <w:shd w:val="clear" w:color="auto" w:fill="auto"/>
          </w:tcPr>
          <w:p w14:paraId="5CEEBFB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4E3CC5D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0C7E891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6D5E3C3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5338729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3791646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5FC475F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0EEE5C5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0" w:type="pct"/>
            <w:shd w:val="clear" w:color="auto" w:fill="auto"/>
          </w:tcPr>
          <w:p w14:paraId="69589C9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84" w:type="pct"/>
            <w:shd w:val="clear" w:color="auto" w:fill="auto"/>
          </w:tcPr>
          <w:p w14:paraId="077C2EC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421BBE5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shd w:val="clear" w:color="auto" w:fill="auto"/>
          </w:tcPr>
          <w:p w14:paraId="3D6304D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4EEB10CF">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5B5C5FDE">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&lt;EndNote&gt;&lt;Cite&gt;&lt;Author&gt;Prompahakul&lt;/Author&gt;&lt;Year&gt;2021&lt;/Year&gt;&lt;RecNum&gt;383&lt;/RecNum&gt;&lt;DisplayText&gt;(Prompahakul et al., 2021)&lt;/DisplayText&gt;&lt;record&gt;&lt;rec-number&gt;383&lt;/rec-number&gt;&lt;foreign-keys&gt;&lt;key app="EN" db-id="daxr9sxtlpdx2peae9dx2f5o0vr2zzews552" timestamp="1705244271"&gt;383&lt;/key&gt;&lt;/foreign-keys&gt;&lt;ref-type name="Journal Article"&gt;17&lt;/ref-type&gt;&lt;contributors&gt;&lt;authors&gt;&lt;author&gt;Prompahakul, Chuleeporn&lt;/author&gt;&lt;author&gt;Keim-Malpass, Jessica&lt;/author&gt;&lt;author&gt;LeBaron, Virginia&lt;/author&gt;&lt;author&gt;Yan, Guofen&lt;/author&gt;&lt;author&gt;Epstein, Elizabeth G.&lt;/author&gt;&lt;/authors&gt;&lt;/contributors&gt;&lt;titles&gt;&lt;title&gt;Moral distress among nurses: A mixed-methods study&lt;/title&gt;&lt;secondary-title&gt;Nursing Ethics&lt;/secondary-title&gt;&lt;/titles&gt;&lt;periodical&gt;&lt;full-title&gt;Nursing ethics&lt;/full-title&gt;&lt;/periodical&gt;&lt;pages&gt;1165-1182&lt;/pages&gt;&lt;volume&gt;28&lt;/volume&gt;&lt;number&gt;7/8&lt;/number&gt;&lt;dates&gt;&lt;year&gt;2021&lt;/year&gt;&lt;/dates&gt;&lt;isbn&gt;0969-7330&lt;/isbn&gt;&lt;urls&gt;&lt;/urls&gt;&lt;remote-database-name&gt;/z-wcorg/&lt;/remote-database-name&gt;&lt;remote-database-provider&gt;http://worldcat.org&lt;/remote-database-provider&gt;&lt;language&gt;eng&lt;/language&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P</w:t>
            </w:r>
            <w:r>
              <w:rPr>
                <w:rFonts w:asciiTheme="majorBidi" w:hAnsiTheme="majorBidi" w:cstheme="majorBidi"/>
                <w:b w:val="0"/>
                <w:bCs w:val="0"/>
                <w:color w:val="auto"/>
                <w:sz w:val="21"/>
                <w:szCs w:val="21"/>
                <w:shd w:val="clear" w:color="auto" w:fill="auto"/>
              </w:rPr>
              <w:t>rompahakul</w:t>
            </w:r>
            <w:r>
              <w:rPr>
                <w:rFonts w:asciiTheme="majorBidi" w:hAnsiTheme="majorBidi" w:cstheme="majorBidi"/>
                <w:b w:val="0"/>
                <w:bCs w:val="0"/>
                <w:caps/>
                <w:color w:val="auto"/>
                <w:sz w:val="21"/>
                <w:szCs w:val="21"/>
                <w:shd w:val="clear" w:color="auto" w:fill="auto"/>
              </w:rPr>
              <w:t xml:space="preserve"> </w:t>
            </w:r>
            <w:r>
              <w:rPr>
                <w:rFonts w:asciiTheme="majorBidi" w:hAnsiTheme="majorBidi" w:cstheme="majorBidi"/>
                <w:b w:val="0"/>
                <w:bCs w:val="0"/>
                <w:color w:val="auto"/>
                <w:sz w:val="21"/>
                <w:szCs w:val="21"/>
                <w:shd w:val="clear" w:color="auto" w:fill="auto"/>
              </w:rPr>
              <w:t xml:space="preserve">et al., </w:t>
            </w:r>
            <w:r>
              <w:rPr>
                <w:rFonts w:asciiTheme="majorBidi" w:hAnsiTheme="majorBidi" w:cstheme="majorBidi"/>
                <w:b w:val="0"/>
                <w:bCs w:val="0"/>
                <w:caps/>
                <w:color w:val="auto"/>
                <w:sz w:val="21"/>
                <w:szCs w:val="21"/>
                <w:shd w:val="clear" w:color="auto" w:fill="auto"/>
              </w:rPr>
              <w:t xml:space="preserve"> 2021</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"twenty"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20</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01D6B9B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259E805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4CAD3BB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2CD8538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0209A53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4714A8F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48" w:type="pct"/>
            <w:shd w:val="clear" w:color="auto" w:fill="auto"/>
          </w:tcPr>
          <w:p w14:paraId="7EA1FD9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6" w:type="pct"/>
            <w:shd w:val="clear" w:color="auto" w:fill="auto"/>
          </w:tcPr>
          <w:p w14:paraId="278A8B1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56" w:type="pct"/>
            <w:shd w:val="clear" w:color="auto" w:fill="auto"/>
          </w:tcPr>
          <w:p w14:paraId="0907716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7D95AFF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0" w:type="pct"/>
            <w:shd w:val="clear" w:color="auto" w:fill="auto"/>
          </w:tcPr>
          <w:p w14:paraId="728D729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84" w:type="pct"/>
            <w:shd w:val="clear" w:color="auto" w:fill="auto"/>
          </w:tcPr>
          <w:p w14:paraId="3773256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576E28E5">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shd w:val="clear" w:color="auto" w:fill="auto"/>
          </w:tcPr>
          <w:p w14:paraId="3823C28B">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049C7258">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2AF0A586">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&lt;EndNote&gt;&lt;Cite&gt;&lt;Author&gt;Afoko&lt;/Author&gt;&lt;Year&gt;2022&lt;/Year&gt;&lt;RecNum&gt;370&lt;/RecNum&gt;&lt;DisplayText&gt;(Afoko et al., 2022)&lt;/DisplayText&gt;&lt;record&gt;&lt;rec-number&gt;370&lt;/rec-number&gt;&lt;foreign-keys&gt;&lt;key app="EN" db-id="daxr9sxtlpdx2peae9dx2f5o0vr2zzews552" timestamp="1704539686"&gt;370&lt;/key&gt;&lt;/foreign-keys&gt;&lt;ref-type name="Journal Article"&gt;17&lt;/ref-type&gt;&lt;contributors&gt;&lt;authors&gt;&lt;author&gt;Afoko, Vivian&lt;/author&gt;&lt;author&gt;Hewison, Alistair&lt;/author&gt;&lt;author&gt;Neilson, Susan&lt;/author&gt;&lt;author&gt;Newham, Roger&lt;/author&gt;&lt;/authors&gt;&lt;/contributors&gt;&lt;titles&gt;&lt;title&gt;Moral distress experienced by neonatal intensive and paediatric care nurses in Northern Ghana: a qualitative study&lt;/title&gt;&lt;secondary-title&gt;Journal of Research in Nursing&lt;/secondary-title&gt;&lt;/titles&gt;&lt;periodical&gt;&lt;full-title&gt;Journal of Research in Nursing&lt;/full-title&gt;&lt;/periodical&gt;&lt;pages&gt;519-529&lt;/pages&gt;&lt;volume&gt;27&lt;/volume&gt;&lt;number&gt;6&lt;/number&gt;&lt;keywords&gt;&lt;keyword&gt;Africa,Ghana,moral difficulties,moral distress,nurse managers,nurses&lt;/keyword&gt;&lt;/keywords&gt;&lt;dates&gt;&lt;year&gt;2022&lt;/year&gt;&lt;/dates&gt;&lt;urls&gt;&lt;related-urls&gt;&lt;url&gt;https://journals.sagepub.com/doi/abs/10.1177/17449871221122022&lt;/url&gt;&lt;/related-urls&gt;&lt;/urls&gt;&lt;electronic-resource-num&gt;10.1177/17449871221122022&lt;/electronic-resource-num&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A</w:t>
            </w:r>
            <w:r>
              <w:rPr>
                <w:rFonts w:asciiTheme="majorBidi" w:hAnsiTheme="majorBidi" w:cstheme="majorBidi"/>
                <w:b w:val="0"/>
                <w:bCs w:val="0"/>
                <w:color w:val="auto"/>
                <w:sz w:val="21"/>
                <w:szCs w:val="21"/>
                <w:shd w:val="clear" w:color="auto" w:fill="auto"/>
              </w:rPr>
              <w:t>foko</w:t>
            </w:r>
            <w:r>
              <w:rPr>
                <w:rFonts w:hint="eastAsia" w:asciiTheme="majorBidi" w:hAnsiTheme="majorBidi" w:cstheme="majorBidi"/>
                <w:b w:val="0"/>
                <w:bCs w:val="0"/>
                <w:color w:val="auto"/>
                <w:sz w:val="21"/>
                <w:szCs w:val="21"/>
                <w:shd w:val="clear" w:color="auto" w:fill="auto"/>
                <w:lang w:val="en-US" w:eastAsia="zh-CN"/>
              </w:rPr>
              <w:t xml:space="preserve"> </w:t>
            </w:r>
            <w:r>
              <w:rPr>
                <w:rFonts w:asciiTheme="majorBidi" w:hAnsiTheme="majorBidi" w:cstheme="majorBidi"/>
                <w:b w:val="0"/>
                <w:bCs w:val="0"/>
                <w:color w:val="auto"/>
                <w:sz w:val="21"/>
                <w:szCs w:val="21"/>
                <w:shd w:val="clear" w:color="auto" w:fill="auto"/>
              </w:rPr>
              <w:t xml:space="preserve">et al., </w:t>
            </w:r>
            <w:r>
              <w:rPr>
                <w:rFonts w:asciiTheme="majorBidi" w:hAnsiTheme="majorBidi" w:cstheme="majorBidi"/>
                <w:b w:val="0"/>
                <w:bCs w:val="0"/>
                <w:caps/>
                <w:color w:val="auto"/>
                <w:sz w:val="21"/>
                <w:szCs w:val="21"/>
                <w:shd w:val="clear" w:color="auto" w:fill="auto"/>
              </w:rPr>
              <w:t>2022</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"Thirty"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30</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6D0AD4B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275" w:type="pct"/>
            <w:shd w:val="clear" w:color="auto" w:fill="auto"/>
          </w:tcPr>
          <w:p w14:paraId="538FD59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5002AD3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11BB23B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5356FBE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4B0B8D0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152D84BC">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0E49CF35">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409ECC7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2717C60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20" w:type="pct"/>
            <w:shd w:val="clear" w:color="auto" w:fill="auto"/>
          </w:tcPr>
          <w:p w14:paraId="5613F21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84" w:type="pct"/>
            <w:shd w:val="clear" w:color="auto" w:fill="auto"/>
          </w:tcPr>
          <w:p w14:paraId="563B8BD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45707A0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shd w:val="clear" w:color="auto" w:fill="auto"/>
          </w:tcPr>
          <w:p w14:paraId="0705CD2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5E2F1A3D">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00DB4249">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&lt;EndNote&gt;&lt;Cite&gt;&lt;Author&gt;Arends&lt;/Author&gt;&lt;Year&gt;2022&lt;/Year&gt;&lt;RecNum&gt;371&lt;/RecNum&gt;&lt;DisplayText&gt;(Arends et al., 2022)&lt;/DisplayText&gt;&lt;record&gt;&lt;rec-number&gt;371&lt;/rec-number&gt;&lt;foreign-keys&gt;&lt;key app="EN" db-id="daxr9sxtlpdx2peae9dx2f5o0vr2zzews552" timestamp="1704542497"&gt;371&lt;/key&gt;&lt;/foreign-keys&gt;&lt;ref-type name="Journal Article"&gt;17&lt;/ref-type&gt;&lt;contributors&gt;&lt;authors&gt;&lt;author&gt;Arends, Susanne A. M.&lt;/author&gt;&lt;author&gt;Steenbergen, Milou&lt;/author&gt;&lt;author&gt;Thodé, Maureen&lt;/author&gt;&lt;author&gt;Francke, Anneke L.&lt;/author&gt;&lt;author&gt;Jongerden, Irene P.&lt;/author&gt;&lt;/authors&gt;&lt;/contributors&gt;&lt;titles&gt;&lt;title&gt;Moral distress among nurses involved in life-prolonging treatments in patients with a short life expectancy: A qualitative interview study&lt;/title&gt;&lt;secondary-title&gt;Patient Education and Counseling&lt;/secondary-title&gt;&lt;/titles&gt;&lt;periodical&gt;&lt;full-title&gt;Patient Education and Counseling&lt;/full-title&gt;&lt;/periodical&gt;&lt;pages&gt;2531-2536&lt;/pages&gt;&lt;volume&gt;105&lt;/volume&gt;&lt;number&gt;7&lt;/number&gt;&lt;keywords&gt;&lt;keyword&gt;Shared decision-making&lt;/keyword&gt;&lt;keyword&gt;Moral distress&lt;/keyword&gt;&lt;keyword&gt;Life-prolonging treatment&lt;/keyword&gt;&lt;keyword&gt;End-of-life-care&lt;/keyword&gt;&lt;keyword&gt;Palliative care&lt;/keyword&gt;&lt;keyword&gt;Hospital nurses&lt;/keyword&gt;&lt;keyword&gt;Outpatient&lt;/keyword&gt;&lt;keyword&gt;Inpatient&lt;/keyword&gt;&lt;/keywords&gt;&lt;dates&gt;&lt;year&gt;2022&lt;/year&gt;&lt;pub-dates&gt;&lt;date&gt;2022/07/01/&lt;/date&gt;&lt;/pub-dates&gt;&lt;/dates&gt;&lt;isbn&gt;0738-3991&lt;/isbn&gt;&lt;urls&gt;&lt;related-urls&gt;&lt;url&gt;https://www.sciencedirect.com/science/article/pii/S0738399122000416&lt;/url&gt;&lt;/related-urls&gt;&lt;/urls&gt;&lt;electronic-resource-num&gt;https://doi.org/10.1016/j.pec.2022.01.017&lt;/electronic-resource-num&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A</w:t>
            </w:r>
            <w:r>
              <w:rPr>
                <w:rFonts w:asciiTheme="majorBidi" w:hAnsiTheme="majorBidi" w:cstheme="majorBidi"/>
                <w:b w:val="0"/>
                <w:bCs w:val="0"/>
                <w:color w:val="auto"/>
                <w:sz w:val="21"/>
                <w:szCs w:val="21"/>
                <w:shd w:val="clear" w:color="auto" w:fill="auto"/>
              </w:rPr>
              <w:t>rends</w:t>
            </w:r>
            <w:r>
              <w:rPr>
                <w:rFonts w:asciiTheme="majorBidi" w:hAnsiTheme="majorBidi" w:cstheme="majorBidi"/>
                <w:b w:val="0"/>
                <w:bCs w:val="0"/>
                <w:caps/>
                <w:color w:val="auto"/>
                <w:sz w:val="21"/>
                <w:szCs w:val="21"/>
                <w:shd w:val="clear" w:color="auto" w:fill="auto"/>
              </w:rPr>
              <w:t xml:space="preserve"> </w:t>
            </w:r>
            <w:r>
              <w:rPr>
                <w:rFonts w:asciiTheme="majorBidi" w:hAnsiTheme="majorBidi" w:cstheme="majorBidi"/>
                <w:b w:val="0"/>
                <w:bCs w:val="0"/>
                <w:color w:val="auto"/>
                <w:sz w:val="21"/>
                <w:szCs w:val="21"/>
                <w:shd w:val="clear" w:color="auto" w:fill="auto"/>
              </w:rPr>
              <w:t xml:space="preserve">et al., </w:t>
            </w:r>
            <w:r>
              <w:rPr>
                <w:rFonts w:asciiTheme="majorBidi" w:hAnsiTheme="majorBidi" w:cstheme="majorBidi"/>
                <w:b w:val="0"/>
                <w:bCs w:val="0"/>
                <w:caps/>
                <w:color w:val="auto"/>
                <w:sz w:val="21"/>
                <w:szCs w:val="21"/>
                <w:shd w:val="clear" w:color="auto" w:fill="auto"/>
              </w:rPr>
              <w:t>2022</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"twentysix"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26</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tcBorders>
            <w:shd w:val="clear" w:color="auto" w:fill="auto"/>
          </w:tcPr>
          <w:p w14:paraId="768A935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shd w:val="clear" w:color="auto" w:fill="auto"/>
          </w:tcPr>
          <w:p w14:paraId="3D43E3A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shd w:val="clear" w:color="auto" w:fill="auto"/>
          </w:tcPr>
          <w:p w14:paraId="70822C2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shd w:val="clear" w:color="auto" w:fill="auto"/>
          </w:tcPr>
          <w:p w14:paraId="4CE4B8D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shd w:val="clear" w:color="auto" w:fill="auto"/>
          </w:tcPr>
          <w:p w14:paraId="7D9521A5">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shd w:val="clear" w:color="auto" w:fill="auto"/>
          </w:tcPr>
          <w:p w14:paraId="5D38A09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shd w:val="clear" w:color="auto" w:fill="auto"/>
          </w:tcPr>
          <w:p w14:paraId="60759F3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shd w:val="clear" w:color="auto" w:fill="auto"/>
          </w:tcPr>
          <w:p w14:paraId="1B68E89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shd w:val="clear" w:color="auto" w:fill="auto"/>
          </w:tcPr>
          <w:p w14:paraId="22AF3E1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shd w:val="clear" w:color="auto" w:fill="auto"/>
          </w:tcPr>
          <w:p w14:paraId="37ED1D3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20" w:type="pct"/>
            <w:shd w:val="clear" w:color="auto" w:fill="auto"/>
          </w:tcPr>
          <w:p w14:paraId="1E87B22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84" w:type="pct"/>
            <w:shd w:val="clear" w:color="auto" w:fill="auto"/>
          </w:tcPr>
          <w:p w14:paraId="56CA922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shd w:val="clear" w:color="auto" w:fill="auto"/>
          </w:tcPr>
          <w:p w14:paraId="3456CCE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c>
          <w:tcPr>
            <w:tcW w:w="300" w:type="pct"/>
            <w:shd w:val="clear" w:color="auto" w:fill="auto"/>
          </w:tcPr>
          <w:p w14:paraId="00FF536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45C098A5">
        <w:tblPrEx>
          <w:shd w:val="clear" w:color="auto" w:fill="auto"/>
          <w:tblCellMar>
            <w:top w:w="0" w:type="dxa"/>
            <w:left w:w="108" w:type="dxa"/>
            <w:bottom w:w="0" w:type="dxa"/>
            <w:right w:w="108" w:type="dxa"/>
          </w:tblCellMar>
        </w:tblPrEx>
        <w:tc>
          <w:tcPr>
            <w:tcW w:w="432" w:type="pct"/>
            <w:tcBorders>
              <w:top w:val="nil"/>
              <w:left w:val="nil"/>
              <w:bottom w:val="nil"/>
              <w:right w:val="nil"/>
              <w:insideV w:val="single" w:sz="4" w:space="0"/>
            </w:tcBorders>
            <w:shd w:val="clear" w:color="auto" w:fill="auto"/>
          </w:tcPr>
          <w:p w14:paraId="500E7A1D">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&lt;EndNote&gt;&lt;Cite&gt;&lt;Author&gt;Kim&lt;/Author&gt;&lt;Year&gt;2023&lt;/Year&gt;&lt;RecNum&gt;368&lt;/RecNum&gt;&lt;DisplayText&gt;(Kim, Shelton &amp;amp; Applewhite, 2023)&lt;/DisplayText&gt;&lt;record&gt;&lt;rec-number&gt;368&lt;/rec-number&gt;&lt;foreign-keys&gt;&lt;key app="EN" db-id="daxr9sxtlpdx2peae9dx2f5o0vr2zzews552" timestamp="1703959590"&gt;368&lt;/key&gt;&lt;/foreign-keys&gt;&lt;ref-type name="Journal Article"&gt;17&lt;/ref-type&gt;&lt;contributors&gt;&lt;authors&gt;&lt;author&gt;Kim, Daniel T.&lt;/author&gt;&lt;author&gt;Shelton, Wayne&lt;/author&gt;&lt;author&gt;Applewhite, Megan K.&lt;/author&gt;&lt;/authors&gt;&lt;/contributors&gt;&lt;titles&gt;&lt;title&gt;Clinician Moral Distress: Toward an Ethics of Agent-Regret&lt;/title&gt;&lt;secondary-title&gt;Hastings Center Report&lt;/secondary-title&gt;&lt;/titles&gt;&lt;periodical&gt;&lt;full-title&gt;Hastings Center Report&lt;/full-title&gt;&lt;/periodical&gt;&lt;pages&gt;40-53&lt;/pages&gt;&lt;volume&gt;53&lt;/volume&gt;&lt;number&gt;6&lt;/number&gt;&lt;dates&gt;&lt;year&gt;2023&lt;/year&gt;&lt;/dates&gt;&lt;isbn&gt;0093-0334&lt;/isbn&gt;&lt;urls&gt;&lt;related-urls&gt;&lt;url&gt;https://onlinelibrary.wiley.com/doi/abs/10.1002/hast.1544&lt;/url&gt;&lt;/related-urls&gt;&lt;/urls&gt;&lt;electronic-resource-num&gt;https://doi.org/10.1002/hast.1544&lt;/electronic-resource-num&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K</w:t>
            </w:r>
            <w:r>
              <w:rPr>
                <w:rFonts w:asciiTheme="majorBidi" w:hAnsiTheme="majorBidi" w:cstheme="majorBidi"/>
                <w:b w:val="0"/>
                <w:bCs w:val="0"/>
                <w:color w:val="auto"/>
                <w:sz w:val="21"/>
                <w:szCs w:val="21"/>
                <w:shd w:val="clear" w:color="auto" w:fill="auto"/>
              </w:rPr>
              <w:t>im</w:t>
            </w:r>
            <w:r>
              <w:rPr>
                <w:rFonts w:hint="eastAsia" w:asciiTheme="majorBidi" w:hAnsiTheme="majorBidi" w:cstheme="majorBidi"/>
                <w:b w:val="0"/>
                <w:bCs w:val="0"/>
                <w:color w:val="auto"/>
                <w:sz w:val="21"/>
                <w:szCs w:val="21"/>
                <w:shd w:val="clear" w:color="auto" w:fill="auto"/>
                <w:lang w:val="en-US" w:eastAsia="zh-CN"/>
              </w:rPr>
              <w:t xml:space="preserve"> </w:t>
            </w:r>
            <w:r>
              <w:rPr>
                <w:rFonts w:asciiTheme="majorBidi" w:hAnsiTheme="majorBidi" w:cstheme="majorBidi"/>
                <w:b w:val="0"/>
                <w:bCs w:val="0"/>
                <w:color w:val="auto"/>
                <w:sz w:val="21"/>
                <w:szCs w:val="21"/>
                <w:shd w:val="clear" w:color="auto" w:fill="auto"/>
              </w:rPr>
              <w:t xml:space="preserve">et al., </w:t>
            </w:r>
            <w:r>
              <w:rPr>
                <w:rFonts w:asciiTheme="majorBidi" w:hAnsiTheme="majorBidi" w:cstheme="majorBidi"/>
                <w:b w:val="0"/>
                <w:bCs w:val="0"/>
                <w:caps/>
                <w:color w:val="auto"/>
                <w:sz w:val="21"/>
                <w:szCs w:val="21"/>
                <w:shd w:val="clear" w:color="auto" w:fill="auto"/>
              </w:rPr>
              <w:t xml:space="preserve"> 2023</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"two"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2</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left w:val="nil"/>
              <w:bottom w:val="nil"/>
            </w:tcBorders>
            <w:shd w:val="clear" w:color="auto" w:fill="auto"/>
          </w:tcPr>
          <w:p w14:paraId="566F9BA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tcBorders>
              <w:bottom w:val="nil"/>
            </w:tcBorders>
            <w:shd w:val="clear" w:color="auto" w:fill="auto"/>
          </w:tcPr>
          <w:p w14:paraId="12B4205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tcBorders>
              <w:bottom w:val="nil"/>
            </w:tcBorders>
            <w:shd w:val="clear" w:color="auto" w:fill="auto"/>
          </w:tcPr>
          <w:p w14:paraId="2349003F">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tcBorders>
              <w:bottom w:val="nil"/>
            </w:tcBorders>
            <w:shd w:val="clear" w:color="auto" w:fill="auto"/>
          </w:tcPr>
          <w:p w14:paraId="429B408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 </w:t>
            </w:r>
          </w:p>
        </w:tc>
        <w:tc>
          <w:tcPr>
            <w:tcW w:w="274" w:type="pct"/>
            <w:tcBorders>
              <w:bottom w:val="nil"/>
            </w:tcBorders>
            <w:shd w:val="clear" w:color="auto" w:fill="auto"/>
          </w:tcPr>
          <w:p w14:paraId="5907A4D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414" w:type="pct"/>
            <w:tcBorders>
              <w:bottom w:val="nil"/>
            </w:tcBorders>
            <w:shd w:val="clear" w:color="auto" w:fill="auto"/>
          </w:tcPr>
          <w:p w14:paraId="154B49C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48" w:type="pct"/>
            <w:tcBorders>
              <w:bottom w:val="nil"/>
            </w:tcBorders>
            <w:shd w:val="clear" w:color="auto" w:fill="auto"/>
          </w:tcPr>
          <w:p w14:paraId="045A65A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76" w:type="pct"/>
            <w:tcBorders>
              <w:bottom w:val="nil"/>
            </w:tcBorders>
            <w:shd w:val="clear" w:color="auto" w:fill="auto"/>
          </w:tcPr>
          <w:p w14:paraId="1AFABC5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256" w:type="pct"/>
            <w:tcBorders>
              <w:bottom w:val="nil"/>
            </w:tcBorders>
            <w:shd w:val="clear" w:color="auto" w:fill="auto"/>
          </w:tcPr>
          <w:p w14:paraId="20192FED">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tcBorders>
              <w:bottom w:val="nil"/>
            </w:tcBorders>
            <w:shd w:val="clear" w:color="auto" w:fill="auto"/>
          </w:tcPr>
          <w:p w14:paraId="01505F6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NA</w:t>
            </w:r>
          </w:p>
        </w:tc>
        <w:tc>
          <w:tcPr>
            <w:tcW w:w="320" w:type="pct"/>
            <w:tcBorders>
              <w:bottom w:val="nil"/>
            </w:tcBorders>
            <w:shd w:val="clear" w:color="auto" w:fill="auto"/>
          </w:tcPr>
          <w:p w14:paraId="0368D72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84" w:type="pct"/>
            <w:tcBorders>
              <w:bottom w:val="nil"/>
            </w:tcBorders>
            <w:shd w:val="clear" w:color="auto" w:fill="auto"/>
          </w:tcPr>
          <w:p w14:paraId="68119EE5">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26" w:type="pct"/>
            <w:tcBorders>
              <w:bottom w:val="nil"/>
            </w:tcBorders>
            <w:shd w:val="clear" w:color="auto" w:fill="auto"/>
          </w:tcPr>
          <w:p w14:paraId="0709AC57">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c>
          <w:tcPr>
            <w:tcW w:w="300" w:type="pct"/>
            <w:tcBorders>
              <w:bottom w:val="nil"/>
            </w:tcBorders>
            <w:shd w:val="clear" w:color="auto" w:fill="auto"/>
          </w:tcPr>
          <w:p w14:paraId="19254479">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tr w14:paraId="39A4E65A">
        <w:tblPrEx>
          <w:shd w:val="clear" w:color="auto" w:fill="auto"/>
          <w:tblCellMar>
            <w:top w:w="0" w:type="dxa"/>
            <w:left w:w="108" w:type="dxa"/>
            <w:bottom w:w="0" w:type="dxa"/>
            <w:right w:w="108" w:type="dxa"/>
          </w:tblCellMar>
        </w:tblPrEx>
        <w:tc>
          <w:tcPr>
            <w:tcW w:w="432" w:type="pct"/>
            <w:tcBorders>
              <w:top w:val="nil"/>
              <w:left w:val="nil"/>
              <w:bottom w:val="single" w:color="auto" w:sz="4" w:space="0"/>
              <w:right w:val="nil"/>
              <w:insideV w:val="single" w:sz="4" w:space="0"/>
            </w:tcBorders>
            <w:shd w:val="clear" w:color="auto" w:fill="auto"/>
          </w:tcPr>
          <w:p w14:paraId="08ACBEBF">
            <w:pPr>
              <w:rPr>
                <w:rFonts w:asciiTheme="majorBidi" w:hAnsiTheme="majorBidi" w:cstheme="majorBidi"/>
                <w:b w:val="0"/>
                <w:bCs w:val="0"/>
                <w:caps/>
                <w:color w:val="auto"/>
                <w:sz w:val="21"/>
                <w:szCs w:val="21"/>
                <w:shd w:val="clear" w:color="auto" w:fill="auto"/>
              </w:rPr>
            </w:pPr>
            <w:r>
              <w:rPr>
                <w:rFonts w:asciiTheme="majorBidi" w:hAnsiTheme="majorBidi" w:cstheme="majorBidi"/>
                <w:b w:val="0"/>
                <w:bCs w:val="0"/>
                <w:caps/>
                <w:color w:val="auto"/>
                <w:sz w:val="21"/>
                <w:szCs w:val="21"/>
                <w:shd w:val="clear" w:color="auto" w:fill="auto"/>
              </w:rPr>
              <w:fldChar w:fldCharType="begin"/>
            </w:r>
            <w:r>
              <w:rPr>
                <w:rFonts w:asciiTheme="majorBidi" w:hAnsiTheme="majorBidi" w:cstheme="majorBidi"/>
                <w:b w:val="0"/>
                <w:bCs w:val="0"/>
                <w:caps/>
                <w:color w:val="auto"/>
                <w:sz w:val="21"/>
                <w:szCs w:val="21"/>
                <w:shd w:val="clear" w:color="auto" w:fill="auto"/>
              </w:rPr>
              <w:instrText xml:space="preserve"> ADDIN EN.CITE &lt;EndNote&gt;&lt;Cite&gt;&lt;Author&gt;Petersen&lt;/Author&gt;&lt;Year&gt;2023&lt;/Year&gt;&lt;RecNum&gt;382&lt;/RecNum&gt;&lt;DisplayText&gt;(Petersen &amp;amp; Melzer, 2023)&lt;/DisplayText&gt;&lt;record&gt;&lt;rec-number&gt;382&lt;/rec-number&gt;&lt;foreign-keys&gt;&lt;key app="EN" db-id="daxr9sxtlpdx2peae9dx2f5o0vr2zzews552" timestamp="1705243948"&gt;382&lt;/key&gt;&lt;/foreign-keys&gt;&lt;ref-type name="Journal Article"&gt;17&lt;/ref-type&gt;&lt;contributors&gt;&lt;authors&gt;&lt;author&gt;Petersen, Julia&lt;/author&gt;&lt;author&gt;Melzer, Marlen&lt;/author&gt;&lt;/authors&gt;&lt;/contributors&gt;&lt;titles&gt;&lt;title&gt;Predictors and consequences of moral distress in home-care nursing: A cross-sectional survey&lt;/title&gt;&lt;secondary-title&gt;Nursing ethics&lt;/secondary-title&gt;&lt;/titles&gt;&lt;periodical&gt;&lt;full-title&gt;Nursing ethics&lt;/full-title&gt;&lt;/periodical&gt;&lt;pages&gt;1199-1216&lt;/pages&gt;&lt;volume&gt;30&lt;/volume&gt;&lt;number&gt;7-8&lt;/number&gt;&lt;dates&gt;&lt;year&gt;2023&lt;/year&gt;&lt;/dates&gt;&lt;isbn&gt;1477-0989&lt;/isbn&gt;&lt;urls&gt;&lt;/urls&gt;&lt;remote-database-name&gt;/z-wcorg/&lt;/remote-database-name&gt;&lt;remote-database-provider&gt;http://worldcat.org&lt;/remote-database-provider&gt;&lt;language&gt;eng&lt;/language&gt;&lt;/record&gt;&lt;/Cite&gt;&lt;/EndNote&gt;</w:instrText>
            </w:r>
            <w:r>
              <w:rPr>
                <w:rFonts w:asciiTheme="majorBidi" w:hAnsiTheme="majorBidi" w:cstheme="majorBidi"/>
                <w:b w:val="0"/>
                <w:bCs w:val="0"/>
                <w:caps/>
                <w:color w:val="auto"/>
                <w:sz w:val="21"/>
                <w:szCs w:val="21"/>
                <w:shd w:val="clear" w:color="auto" w:fill="auto"/>
              </w:rPr>
              <w:fldChar w:fldCharType="separate"/>
            </w:r>
            <w:r>
              <w:rPr>
                <w:rFonts w:asciiTheme="majorBidi" w:hAnsiTheme="majorBidi" w:cstheme="majorBidi"/>
                <w:b w:val="0"/>
                <w:bCs w:val="0"/>
                <w:caps/>
                <w:color w:val="auto"/>
                <w:sz w:val="21"/>
                <w:szCs w:val="21"/>
                <w:shd w:val="clear" w:color="auto" w:fill="auto"/>
              </w:rPr>
              <w:t>P</w:t>
            </w:r>
            <w:r>
              <w:rPr>
                <w:rFonts w:asciiTheme="majorBidi" w:hAnsiTheme="majorBidi" w:cstheme="majorBidi"/>
                <w:b w:val="0"/>
                <w:bCs w:val="0"/>
                <w:color w:val="auto"/>
                <w:sz w:val="21"/>
                <w:szCs w:val="21"/>
                <w:shd w:val="clear" w:color="auto" w:fill="auto"/>
              </w:rPr>
              <w:t>etersen</w:t>
            </w:r>
            <w:r>
              <w:rPr>
                <w:rFonts w:asciiTheme="majorBidi" w:hAnsiTheme="majorBidi" w:cstheme="majorBidi"/>
                <w:b w:val="0"/>
                <w:bCs w:val="0"/>
                <w:caps/>
                <w:color w:val="auto"/>
                <w:sz w:val="21"/>
                <w:szCs w:val="21"/>
                <w:shd w:val="clear" w:color="auto" w:fill="auto"/>
              </w:rPr>
              <w:t xml:space="preserve"> </w:t>
            </w:r>
            <w:r>
              <w:rPr>
                <w:rFonts w:asciiTheme="majorBidi" w:hAnsiTheme="majorBidi" w:cstheme="majorBidi"/>
                <w:b w:val="0"/>
                <w:bCs w:val="0"/>
                <w:color w:val="auto"/>
                <w:sz w:val="21"/>
                <w:szCs w:val="21"/>
                <w:shd w:val="clear" w:color="auto" w:fill="auto"/>
              </w:rPr>
              <w:t xml:space="preserve">et al., </w:t>
            </w:r>
            <w:r>
              <w:rPr>
                <w:rFonts w:asciiTheme="majorBidi" w:hAnsiTheme="majorBidi" w:cstheme="majorBidi"/>
                <w:b w:val="0"/>
                <w:bCs w:val="0"/>
                <w:caps/>
                <w:color w:val="auto"/>
                <w:sz w:val="21"/>
                <w:szCs w:val="21"/>
                <w:shd w:val="clear" w:color="auto" w:fill="auto"/>
              </w:rPr>
              <w:t xml:space="preserve"> 2023</w:t>
            </w:r>
            <w:r>
              <w:rPr>
                <w:rFonts w:asciiTheme="majorBidi" w:hAnsiTheme="majorBidi" w:cstheme="majorBidi"/>
                <w:b w:val="0"/>
                <w:bCs w:val="0"/>
                <w:caps/>
                <w:color w:val="auto"/>
                <w:sz w:val="21"/>
                <w:szCs w:val="21"/>
                <w:shd w:val="clear" w:color="auto" w:fill="auto"/>
              </w:rPr>
              <w:fldChar w:fldCharType="end"/>
            </w:r>
            <w:r>
              <w:rPr>
                <w:rFonts w:asciiTheme="majorBidi" w:hAnsiTheme="majorBidi" w:cstheme="majorBidi"/>
                <w:b w:val="0"/>
                <w:bCs w:val="0"/>
                <w:caps/>
                <w:color w:val="auto"/>
                <w:sz w:val="21"/>
                <w:szCs w:val="21"/>
                <w:shd w:val="clear" w:color="auto" w:fill="auto"/>
              </w:rPr>
              <w:t xml:space="preserve"> [</w:t>
            </w:r>
            <w:r>
              <w:rPr>
                <w:b w:val="0"/>
                <w:bCs w:val="0"/>
                <w:color w:val="auto"/>
                <w:sz w:val="21"/>
                <w:szCs w:val="21"/>
                <w:shd w:val="clear" w:color="auto" w:fill="auto"/>
              </w:rPr>
              <w:fldChar w:fldCharType="begin"/>
            </w:r>
            <w:r>
              <w:rPr>
                <w:b w:val="0"/>
                <w:bCs w:val="0"/>
                <w:color w:val="auto"/>
                <w:sz w:val="21"/>
                <w:szCs w:val="21"/>
                <w:shd w:val="clear" w:color="auto" w:fill="auto"/>
              </w:rPr>
              <w:instrText xml:space="preserve"> HYPERLINK \l "twentyone" </w:instrText>
            </w:r>
            <w:r>
              <w:rPr>
                <w:b w:val="0"/>
                <w:bCs w:val="0"/>
                <w:color w:val="auto"/>
                <w:sz w:val="21"/>
                <w:szCs w:val="21"/>
                <w:shd w:val="clear" w:color="auto" w:fill="auto"/>
              </w:rPr>
              <w:fldChar w:fldCharType="separate"/>
            </w:r>
            <w:r>
              <w:rPr>
                <w:rStyle w:val="13"/>
                <w:rFonts w:asciiTheme="majorBidi" w:hAnsiTheme="majorBidi" w:cstheme="majorBidi"/>
                <w:b w:val="0"/>
                <w:bCs w:val="0"/>
                <w:caps/>
                <w:color w:val="auto"/>
                <w:sz w:val="21"/>
                <w:szCs w:val="21"/>
                <w:u w:val="none"/>
                <w:shd w:val="clear" w:color="auto" w:fill="auto"/>
                <w:lang w:val="en-US"/>
              </w:rPr>
              <w:t>21</w:t>
            </w:r>
            <w:r>
              <w:rPr>
                <w:rStyle w:val="13"/>
                <w:rFonts w:asciiTheme="majorBidi" w:hAnsiTheme="majorBidi" w:cstheme="majorBidi"/>
                <w:b w:val="0"/>
                <w:bCs w:val="0"/>
                <w:caps/>
                <w:color w:val="auto"/>
                <w:sz w:val="21"/>
                <w:szCs w:val="21"/>
                <w:u w:val="none"/>
                <w:shd w:val="clear" w:color="auto" w:fill="auto"/>
                <w:lang w:val="en-US"/>
              </w:rPr>
              <w:fldChar w:fldCharType="end"/>
            </w:r>
            <w:r>
              <w:rPr>
                <w:rFonts w:asciiTheme="majorBidi" w:hAnsiTheme="majorBidi" w:cstheme="majorBidi"/>
                <w:b w:val="0"/>
                <w:bCs w:val="0"/>
                <w:caps/>
                <w:color w:val="auto"/>
                <w:sz w:val="21"/>
                <w:szCs w:val="21"/>
                <w:shd w:val="clear" w:color="auto" w:fill="auto"/>
              </w:rPr>
              <w:t>]</w:t>
            </w:r>
          </w:p>
        </w:tc>
        <w:tc>
          <w:tcPr>
            <w:tcW w:w="355" w:type="pct"/>
            <w:tcBorders>
              <w:top w:val="nil"/>
              <w:left w:val="nil"/>
              <w:bottom w:val="single" w:color="auto" w:sz="4" w:space="0"/>
              <w:right w:val="nil"/>
            </w:tcBorders>
            <w:shd w:val="clear" w:color="auto" w:fill="auto"/>
          </w:tcPr>
          <w:p w14:paraId="661E5FD4">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5" w:type="pct"/>
            <w:tcBorders>
              <w:top w:val="nil"/>
              <w:left w:val="nil"/>
              <w:bottom w:val="single" w:color="auto" w:sz="4" w:space="0"/>
              <w:right w:val="nil"/>
            </w:tcBorders>
            <w:shd w:val="clear" w:color="auto" w:fill="auto"/>
          </w:tcPr>
          <w:p w14:paraId="364F3BEE">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03" w:type="pct"/>
            <w:tcBorders>
              <w:top w:val="nil"/>
              <w:left w:val="nil"/>
              <w:bottom w:val="single" w:color="auto" w:sz="4" w:space="0"/>
              <w:right w:val="nil"/>
            </w:tcBorders>
            <w:shd w:val="clear" w:color="auto" w:fill="auto"/>
          </w:tcPr>
          <w:p w14:paraId="18BAF33A">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Classic</w:t>
            </w:r>
          </w:p>
        </w:tc>
        <w:tc>
          <w:tcPr>
            <w:tcW w:w="300" w:type="pct"/>
            <w:tcBorders>
              <w:top w:val="nil"/>
              <w:left w:val="nil"/>
              <w:bottom w:val="single" w:color="auto" w:sz="4" w:space="0"/>
              <w:right w:val="nil"/>
            </w:tcBorders>
            <w:shd w:val="clear" w:color="auto" w:fill="auto"/>
          </w:tcPr>
          <w:p w14:paraId="5711C2C6">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4" w:type="pct"/>
            <w:tcBorders>
              <w:top w:val="nil"/>
              <w:left w:val="nil"/>
              <w:bottom w:val="single" w:color="auto" w:sz="4" w:space="0"/>
              <w:right w:val="nil"/>
            </w:tcBorders>
            <w:shd w:val="clear" w:color="auto" w:fill="auto"/>
          </w:tcPr>
          <w:p w14:paraId="5F6A0370">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414" w:type="pct"/>
            <w:tcBorders>
              <w:top w:val="nil"/>
              <w:left w:val="nil"/>
              <w:bottom w:val="single" w:color="auto" w:sz="4" w:space="0"/>
              <w:right w:val="nil"/>
            </w:tcBorders>
            <w:shd w:val="clear" w:color="auto" w:fill="auto"/>
          </w:tcPr>
          <w:p w14:paraId="0112D3E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No</w:t>
            </w:r>
          </w:p>
        </w:tc>
        <w:tc>
          <w:tcPr>
            <w:tcW w:w="348" w:type="pct"/>
            <w:tcBorders>
              <w:top w:val="nil"/>
              <w:left w:val="nil"/>
              <w:bottom w:val="single" w:color="auto" w:sz="4" w:space="0"/>
              <w:right w:val="nil"/>
            </w:tcBorders>
            <w:shd w:val="clear" w:color="auto" w:fill="auto"/>
          </w:tcPr>
          <w:p w14:paraId="4A581431">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76" w:type="pct"/>
            <w:tcBorders>
              <w:top w:val="nil"/>
              <w:left w:val="nil"/>
              <w:bottom w:val="single" w:color="auto" w:sz="4" w:space="0"/>
              <w:right w:val="nil"/>
            </w:tcBorders>
            <w:shd w:val="clear" w:color="auto" w:fill="auto"/>
          </w:tcPr>
          <w:p w14:paraId="300B7C6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256" w:type="pct"/>
            <w:tcBorders>
              <w:top w:val="nil"/>
              <w:left w:val="nil"/>
              <w:bottom w:val="single" w:color="auto" w:sz="4" w:space="0"/>
              <w:right w:val="nil"/>
            </w:tcBorders>
            <w:shd w:val="clear" w:color="auto" w:fill="auto"/>
          </w:tcPr>
          <w:p w14:paraId="43AFA61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30" w:type="pct"/>
            <w:tcBorders>
              <w:top w:val="nil"/>
              <w:left w:val="nil"/>
              <w:bottom w:val="single" w:color="auto" w:sz="4" w:space="0"/>
              <w:right w:val="nil"/>
            </w:tcBorders>
            <w:shd w:val="clear" w:color="auto" w:fill="auto"/>
          </w:tcPr>
          <w:p w14:paraId="4483050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0" w:type="pct"/>
            <w:tcBorders>
              <w:top w:val="nil"/>
              <w:left w:val="nil"/>
              <w:bottom w:val="single" w:color="auto" w:sz="4" w:space="0"/>
              <w:right w:val="nil"/>
            </w:tcBorders>
            <w:shd w:val="clear" w:color="auto" w:fill="auto"/>
          </w:tcPr>
          <w:p w14:paraId="71642352">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84" w:type="pct"/>
            <w:tcBorders>
              <w:top w:val="nil"/>
              <w:left w:val="nil"/>
              <w:bottom w:val="single" w:color="auto" w:sz="4" w:space="0"/>
              <w:right w:val="nil"/>
            </w:tcBorders>
            <w:shd w:val="clear" w:color="auto" w:fill="auto"/>
          </w:tcPr>
          <w:p w14:paraId="29ABFBD3">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Yes</w:t>
            </w:r>
          </w:p>
        </w:tc>
        <w:tc>
          <w:tcPr>
            <w:tcW w:w="326" w:type="pct"/>
            <w:tcBorders>
              <w:top w:val="nil"/>
              <w:left w:val="nil"/>
              <w:bottom w:val="single" w:color="auto" w:sz="4" w:space="0"/>
              <w:right w:val="nil"/>
            </w:tcBorders>
            <w:shd w:val="clear" w:color="auto" w:fill="auto"/>
          </w:tcPr>
          <w:p w14:paraId="45E88B05">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w:t>
            </w:r>
          </w:p>
        </w:tc>
        <w:tc>
          <w:tcPr>
            <w:tcW w:w="300" w:type="pct"/>
            <w:tcBorders>
              <w:top w:val="nil"/>
              <w:left w:val="nil"/>
              <w:bottom w:val="single" w:color="auto" w:sz="4" w:space="0"/>
              <w:right w:val="nil"/>
            </w:tcBorders>
            <w:shd w:val="clear" w:color="auto" w:fill="auto"/>
          </w:tcPr>
          <w:p w14:paraId="052A0F98">
            <w:pPr>
              <w:jc w:val="center"/>
              <w:rPr>
                <w:rFonts w:asciiTheme="majorBidi" w:hAnsiTheme="majorBidi" w:cstheme="majorBidi"/>
                <w:b w:val="0"/>
                <w:bCs w:val="0"/>
                <w:color w:val="auto"/>
                <w:sz w:val="21"/>
                <w:szCs w:val="21"/>
                <w:shd w:val="clear" w:color="auto" w:fill="auto"/>
              </w:rPr>
            </w:pPr>
            <w:r>
              <w:rPr>
                <w:rFonts w:asciiTheme="majorBidi" w:hAnsiTheme="majorBidi" w:cstheme="majorBidi"/>
                <w:b w:val="0"/>
                <w:bCs w:val="0"/>
                <w:color w:val="auto"/>
                <w:sz w:val="21"/>
                <w:szCs w:val="21"/>
                <w:shd w:val="clear" w:color="auto" w:fill="auto"/>
              </w:rPr>
              <w:t>LVL III</w:t>
            </w:r>
          </w:p>
        </w:tc>
      </w:tr>
      <w:bookmarkEnd w:id="2"/>
      <w:bookmarkEnd w:id="3"/>
    </w:tbl>
    <w:p w14:paraId="0625E404">
      <w:pPr>
        <w:pStyle w:val="5"/>
        <w:rPr>
          <w:b w:val="0"/>
          <w:bCs w:val="0"/>
          <w:color w:val="FF0000"/>
          <w:sz w:val="21"/>
          <w:szCs w:val="21"/>
          <w:lang w:val="en-US" w:eastAsia="zh-CN"/>
        </w:rPr>
      </w:pPr>
    </w:p>
    <w:p w14:paraId="6B304287">
      <w:pPr>
        <w:pStyle w:val="5"/>
        <w:rPr>
          <w:b w:val="0"/>
          <w:bCs w:val="0"/>
          <w:color w:val="FF0000"/>
          <w:sz w:val="21"/>
          <w:szCs w:val="21"/>
          <w:lang w:val="en-US"/>
        </w:rPr>
      </w:pPr>
    </w:p>
    <w:p w14:paraId="2C2A4271">
      <w:pPr>
        <w:pStyle w:val="5"/>
        <w:rPr>
          <w:b w:val="0"/>
          <w:bCs w:val="0"/>
          <w:color w:val="FF0000"/>
          <w:sz w:val="21"/>
          <w:szCs w:val="21"/>
          <w:lang w:val="en-US"/>
        </w:rPr>
      </w:pPr>
    </w:p>
    <w:p w14:paraId="11F1EDFA">
      <w:pPr>
        <w:pStyle w:val="5"/>
        <w:rPr>
          <w:rFonts w:hint="default" w:eastAsiaTheme="minorEastAsia"/>
          <w:b w:val="0"/>
          <w:bCs w:val="0"/>
          <w:color w:val="FF0000"/>
          <w:sz w:val="21"/>
          <w:szCs w:val="21"/>
          <w:lang w:val="en-US" w:eastAsia="zh-CN"/>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11BDDD"/>
    <w:multiLevelType w:val="singleLevel"/>
    <w:tmpl w:val="B111BDDD"/>
    <w:lvl w:ilvl="0" w:tentative="0">
      <w:start w:val="1"/>
      <w:numFmt w:val="bullet"/>
      <w:lvlText w:val=""/>
      <w:lvlJc w:val="left"/>
      <w:pPr>
        <w:ind w:left="420" w:hanging="420"/>
      </w:pPr>
      <w:rPr>
        <w:rFonts w:hint="default" w:ascii="Wingdings" w:hAnsi="Wingdings"/>
        <w:sz w:val="10"/>
      </w:rPr>
    </w:lvl>
  </w:abstractNum>
  <w:abstractNum w:abstractNumId="1">
    <w:nsid w:val="EDEC3234"/>
    <w:multiLevelType w:val="singleLevel"/>
    <w:tmpl w:val="EDEC3234"/>
    <w:lvl w:ilvl="0" w:tentative="0">
      <w:start w:val="1"/>
      <w:numFmt w:val="bullet"/>
      <w:lvlText w:val=""/>
      <w:lvlJc w:val="left"/>
      <w:pPr>
        <w:ind w:left="420" w:hanging="420"/>
      </w:pPr>
      <w:rPr>
        <w:rFonts w:hint="default" w:ascii="Wingdings" w:hAnsi="Wingdings"/>
        <w:sz w:val="11"/>
      </w:rPr>
    </w:lvl>
  </w:abstractNum>
  <w:abstractNum w:abstractNumId="2">
    <w:nsid w:val="054025C6"/>
    <w:multiLevelType w:val="multilevel"/>
    <w:tmpl w:val="054025C6"/>
    <w:lvl w:ilvl="0" w:tentative="0">
      <w:start w:val="12"/>
      <w:numFmt w:val="bullet"/>
      <w:lvlText w:val="-"/>
      <w:lvlJc w:val="left"/>
      <w:pPr>
        <w:ind w:left="360" w:hanging="360"/>
      </w:pPr>
      <w:rPr>
        <w:rFonts w:hint="default" w:ascii="Calibri" w:hAnsi="Calibri" w:cs="Calibri" w:eastAsiaTheme="minorHAnsi"/>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3">
    <w:nsid w:val="26644323"/>
    <w:multiLevelType w:val="singleLevel"/>
    <w:tmpl w:val="26644323"/>
    <w:lvl w:ilvl="0" w:tentative="0">
      <w:start w:val="1"/>
      <w:numFmt w:val="bullet"/>
      <w:lvlText w:val=""/>
      <w:lvlJc w:val="left"/>
      <w:pPr>
        <w:ind w:left="420" w:hanging="420"/>
      </w:pPr>
      <w:rPr>
        <w:rFonts w:hint="default" w:ascii="Wingdings" w:hAnsi="Wingdings"/>
        <w:sz w:val="11"/>
      </w:rPr>
    </w:lvl>
  </w:abstractNum>
  <w:abstractNum w:abstractNumId="4">
    <w:nsid w:val="2B55B562"/>
    <w:multiLevelType w:val="singleLevel"/>
    <w:tmpl w:val="2B55B562"/>
    <w:lvl w:ilvl="0" w:tentative="0">
      <w:start w:val="1"/>
      <w:numFmt w:val="bullet"/>
      <w:lvlText w:val=""/>
      <w:lvlJc w:val="left"/>
      <w:pPr>
        <w:ind w:left="420" w:hanging="420"/>
      </w:pPr>
      <w:rPr>
        <w:rFonts w:hint="default" w:ascii="Wingdings" w:hAnsi="Wingdings"/>
        <w:sz w:val="11"/>
      </w:rPr>
    </w:lvl>
  </w:abstractNum>
  <w:abstractNum w:abstractNumId="5">
    <w:nsid w:val="497371B6"/>
    <w:multiLevelType w:val="singleLevel"/>
    <w:tmpl w:val="497371B6"/>
    <w:lvl w:ilvl="0" w:tentative="0">
      <w:start w:val="1"/>
      <w:numFmt w:val="bullet"/>
      <w:lvlText w:val=""/>
      <w:lvlJc w:val="left"/>
      <w:pPr>
        <w:ind w:left="420" w:hanging="420"/>
      </w:pPr>
      <w:rPr>
        <w:rFonts w:hint="default" w:ascii="Wingdings" w:hAnsi="Wingdings"/>
        <w:sz w:val="11"/>
      </w:rPr>
    </w:lvl>
  </w:abstractNum>
  <w:abstractNum w:abstractNumId="6">
    <w:nsid w:val="558A7E5E"/>
    <w:multiLevelType w:val="singleLevel"/>
    <w:tmpl w:val="558A7E5E"/>
    <w:lvl w:ilvl="0" w:tentative="0">
      <w:start w:val="1"/>
      <w:numFmt w:val="bullet"/>
      <w:lvlText w:val=""/>
      <w:lvlJc w:val="left"/>
      <w:pPr>
        <w:ind w:left="420" w:hanging="420"/>
      </w:pPr>
      <w:rPr>
        <w:rFonts w:hint="default" w:ascii="Wingdings" w:hAnsi="Wingdings"/>
        <w:sz w:val="11"/>
      </w:rPr>
    </w:lvl>
  </w:abstractNum>
  <w:abstractNum w:abstractNumId="7">
    <w:nsid w:val="6D1F9BF8"/>
    <w:multiLevelType w:val="singleLevel"/>
    <w:tmpl w:val="6D1F9BF8"/>
    <w:lvl w:ilvl="0" w:tentative="0">
      <w:start w:val="1"/>
      <w:numFmt w:val="bullet"/>
      <w:lvlText w:val=""/>
      <w:lvlJc w:val="left"/>
      <w:pPr>
        <w:ind w:left="420" w:hanging="420"/>
      </w:pPr>
      <w:rPr>
        <w:rFonts w:hint="default" w:ascii="Wingdings" w:hAnsi="Wingdings"/>
        <w:sz w:val="11"/>
      </w:rPr>
    </w:lvl>
  </w:abstractNum>
  <w:abstractNum w:abstractNumId="8">
    <w:nsid w:val="767171A8"/>
    <w:multiLevelType w:val="singleLevel"/>
    <w:tmpl w:val="767171A8"/>
    <w:lvl w:ilvl="0" w:tentative="0">
      <w:start w:val="1"/>
      <w:numFmt w:val="bullet"/>
      <w:lvlText w:val=""/>
      <w:lvlJc w:val="left"/>
      <w:pPr>
        <w:ind w:left="420" w:hanging="420"/>
      </w:pPr>
      <w:rPr>
        <w:rFonts w:hint="default" w:ascii="Wingdings" w:hAnsi="Wingdings"/>
        <w:sz w:val="11"/>
      </w:rPr>
    </w:lvl>
  </w:abstractNum>
  <w:num w:numId="1">
    <w:abstractNumId w:val="5"/>
  </w:num>
  <w:num w:numId="2">
    <w:abstractNumId w:val="0"/>
  </w:num>
  <w:num w:numId="3">
    <w:abstractNumId w:val="1"/>
  </w:num>
  <w:num w:numId="4">
    <w:abstractNumId w:val="4"/>
  </w:num>
  <w:num w:numId="5">
    <w:abstractNumId w:val="3"/>
  </w:num>
  <w:num w:numId="6">
    <w:abstractNumId w:val="2"/>
  </w:num>
  <w:num w:numId="7">
    <w:abstractNumId w:val="6"/>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4"/>
    <w:endnote w:id="5"/>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sbAwNjM2NzG2MDE0NjJT0lEKTi0uzszPAykwNKkFAACvqRwtAAAA"/>
    <w:docVar w:name="commondata" w:val="eyJoZGlkIjoiNWQzODM2Y2E1NmI5ZDMxN2QzMTFhY2MwNmY3Y2RjOTkifQ=="/>
    <w:docVar w:name="EN.InstantFormat" w:val="&lt;ENInstantFormat&gt;&lt;Enabled&gt;1&lt;/Enabled&gt;&lt;ScanUnformatted&gt;1&lt;/ScanUnformatted&gt;&lt;ScanChanges&gt;1&lt;/ScanChanges&gt;&lt;Suspended&gt;0&lt;/Suspended&gt;&lt;/ENInstantFormat&gt;"/>
    <w:docVar w:name="EN.Layout" w:val="&lt;ENLayout&gt;&lt;Style&gt;Harvard 1&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axr9sxtlpdx2peae9dx2f5o0vr2zzews552&quot;&gt;My EndNote Library Copy&lt;record-ids&gt;&lt;item&gt;89&lt;/item&gt;&lt;item&gt;341&lt;/item&gt;&lt;item&gt;346&lt;/item&gt;&lt;item&gt;347&lt;/item&gt;&lt;item&gt;354&lt;/item&gt;&lt;item&gt;356&lt;/item&gt;&lt;item&gt;357&lt;/item&gt;&lt;item&gt;358&lt;/item&gt;&lt;item&gt;366&lt;/item&gt;&lt;item&gt;368&lt;/item&gt;&lt;item&gt;370&lt;/item&gt;&lt;item&gt;371&lt;/item&gt;&lt;item&gt;373&lt;/item&gt;&lt;item&gt;377&lt;/item&gt;&lt;item&gt;379&lt;/item&gt;&lt;item&gt;381&lt;/item&gt;&lt;item&gt;382&lt;/item&gt;&lt;item&gt;383&lt;/item&gt;&lt;/record-ids&gt;&lt;/item&gt;&lt;/Libraries&gt;"/>
    <w:docVar w:name="GVData" w:val="ew0KICAiZG9jSUQiOiAiOGFhZDc4ZmEtNzVlOC00NjgxLWIwODctM2EwNjA2NmFiYWZhIg0KfQ=="/>
    <w:docVar w:name="GVData0" w:val="(end)"/>
  </w:docVars>
  <w:rsids>
    <w:rsidRoot w:val="0022033F"/>
    <w:rsid w:val="00000441"/>
    <w:rsid w:val="00020529"/>
    <w:rsid w:val="00027EFF"/>
    <w:rsid w:val="000314C2"/>
    <w:rsid w:val="000325E2"/>
    <w:rsid w:val="00037E3A"/>
    <w:rsid w:val="0004671D"/>
    <w:rsid w:val="00052B0B"/>
    <w:rsid w:val="0006270C"/>
    <w:rsid w:val="00070BB2"/>
    <w:rsid w:val="000712EA"/>
    <w:rsid w:val="00072024"/>
    <w:rsid w:val="00094B79"/>
    <w:rsid w:val="00097377"/>
    <w:rsid w:val="000A63FF"/>
    <w:rsid w:val="000B0363"/>
    <w:rsid w:val="000B3557"/>
    <w:rsid w:val="000B41A2"/>
    <w:rsid w:val="000B4960"/>
    <w:rsid w:val="000C63A9"/>
    <w:rsid w:val="000E48A6"/>
    <w:rsid w:val="000E6E99"/>
    <w:rsid w:val="000F151D"/>
    <w:rsid w:val="001079F8"/>
    <w:rsid w:val="00112C95"/>
    <w:rsid w:val="001270B5"/>
    <w:rsid w:val="001407F4"/>
    <w:rsid w:val="0014184E"/>
    <w:rsid w:val="0014529F"/>
    <w:rsid w:val="00146CBE"/>
    <w:rsid w:val="00153C80"/>
    <w:rsid w:val="00160502"/>
    <w:rsid w:val="00167AC8"/>
    <w:rsid w:val="00167DEC"/>
    <w:rsid w:val="00172CDA"/>
    <w:rsid w:val="00173C30"/>
    <w:rsid w:val="00174124"/>
    <w:rsid w:val="00176F4A"/>
    <w:rsid w:val="001776B3"/>
    <w:rsid w:val="00183871"/>
    <w:rsid w:val="0019570D"/>
    <w:rsid w:val="001A12CB"/>
    <w:rsid w:val="001A1704"/>
    <w:rsid w:val="001A414A"/>
    <w:rsid w:val="001B5DF4"/>
    <w:rsid w:val="001E25D2"/>
    <w:rsid w:val="001F5481"/>
    <w:rsid w:val="0020147B"/>
    <w:rsid w:val="00213D28"/>
    <w:rsid w:val="0021425F"/>
    <w:rsid w:val="0022033F"/>
    <w:rsid w:val="002230E8"/>
    <w:rsid w:val="0022380B"/>
    <w:rsid w:val="00237F4B"/>
    <w:rsid w:val="00252990"/>
    <w:rsid w:val="00260594"/>
    <w:rsid w:val="00265032"/>
    <w:rsid w:val="00265EA4"/>
    <w:rsid w:val="0027543E"/>
    <w:rsid w:val="00283D94"/>
    <w:rsid w:val="002857B8"/>
    <w:rsid w:val="00296632"/>
    <w:rsid w:val="002B0871"/>
    <w:rsid w:val="002B61CB"/>
    <w:rsid w:val="002B6319"/>
    <w:rsid w:val="002C1477"/>
    <w:rsid w:val="002C792F"/>
    <w:rsid w:val="002F01E4"/>
    <w:rsid w:val="002F21C3"/>
    <w:rsid w:val="00307974"/>
    <w:rsid w:val="00312ED8"/>
    <w:rsid w:val="003268B5"/>
    <w:rsid w:val="00327E0B"/>
    <w:rsid w:val="003328C7"/>
    <w:rsid w:val="003347BC"/>
    <w:rsid w:val="003414C1"/>
    <w:rsid w:val="00362D52"/>
    <w:rsid w:val="003714E2"/>
    <w:rsid w:val="00372100"/>
    <w:rsid w:val="00373D78"/>
    <w:rsid w:val="00391CDA"/>
    <w:rsid w:val="003C2D10"/>
    <w:rsid w:val="003D2DA8"/>
    <w:rsid w:val="003E0063"/>
    <w:rsid w:val="003E222E"/>
    <w:rsid w:val="00400AA6"/>
    <w:rsid w:val="00415DA4"/>
    <w:rsid w:val="00416C3C"/>
    <w:rsid w:val="004275EB"/>
    <w:rsid w:val="00437215"/>
    <w:rsid w:val="004450E0"/>
    <w:rsid w:val="0046045A"/>
    <w:rsid w:val="00461355"/>
    <w:rsid w:val="0047350E"/>
    <w:rsid w:val="00487296"/>
    <w:rsid w:val="00491B57"/>
    <w:rsid w:val="004A79F3"/>
    <w:rsid w:val="004B1923"/>
    <w:rsid w:val="004B30C4"/>
    <w:rsid w:val="004B6F32"/>
    <w:rsid w:val="004C13EB"/>
    <w:rsid w:val="004D4700"/>
    <w:rsid w:val="004D77F6"/>
    <w:rsid w:val="004D7D5F"/>
    <w:rsid w:val="004E0112"/>
    <w:rsid w:val="004F57FE"/>
    <w:rsid w:val="005044DA"/>
    <w:rsid w:val="00506D05"/>
    <w:rsid w:val="0052262B"/>
    <w:rsid w:val="00522653"/>
    <w:rsid w:val="00536B17"/>
    <w:rsid w:val="0057066D"/>
    <w:rsid w:val="00574B30"/>
    <w:rsid w:val="00585C50"/>
    <w:rsid w:val="0058668D"/>
    <w:rsid w:val="005915E4"/>
    <w:rsid w:val="00594FA4"/>
    <w:rsid w:val="005A5BC2"/>
    <w:rsid w:val="005B4B24"/>
    <w:rsid w:val="005B7521"/>
    <w:rsid w:val="005D3FBC"/>
    <w:rsid w:val="005D6E7B"/>
    <w:rsid w:val="005D7F6B"/>
    <w:rsid w:val="005E597D"/>
    <w:rsid w:val="00615728"/>
    <w:rsid w:val="0062014B"/>
    <w:rsid w:val="00622B46"/>
    <w:rsid w:val="00623C17"/>
    <w:rsid w:val="006327F7"/>
    <w:rsid w:val="00632E54"/>
    <w:rsid w:val="00657561"/>
    <w:rsid w:val="00661868"/>
    <w:rsid w:val="00662A82"/>
    <w:rsid w:val="00675F0F"/>
    <w:rsid w:val="00676515"/>
    <w:rsid w:val="00682403"/>
    <w:rsid w:val="00690F28"/>
    <w:rsid w:val="006C3161"/>
    <w:rsid w:val="006E3C0D"/>
    <w:rsid w:val="006F0748"/>
    <w:rsid w:val="00710DF3"/>
    <w:rsid w:val="007151B1"/>
    <w:rsid w:val="0072364E"/>
    <w:rsid w:val="00725270"/>
    <w:rsid w:val="007306DB"/>
    <w:rsid w:val="007310D6"/>
    <w:rsid w:val="007514B5"/>
    <w:rsid w:val="00766176"/>
    <w:rsid w:val="00771578"/>
    <w:rsid w:val="00780F77"/>
    <w:rsid w:val="0078539C"/>
    <w:rsid w:val="007A5D04"/>
    <w:rsid w:val="007B3B4F"/>
    <w:rsid w:val="007B4DB2"/>
    <w:rsid w:val="007C50A7"/>
    <w:rsid w:val="007C6462"/>
    <w:rsid w:val="007C6567"/>
    <w:rsid w:val="007D3487"/>
    <w:rsid w:val="007F06CA"/>
    <w:rsid w:val="007F4910"/>
    <w:rsid w:val="008053C0"/>
    <w:rsid w:val="00807699"/>
    <w:rsid w:val="00814084"/>
    <w:rsid w:val="00814EC5"/>
    <w:rsid w:val="00817406"/>
    <w:rsid w:val="0082634B"/>
    <w:rsid w:val="0084052A"/>
    <w:rsid w:val="00844FBE"/>
    <w:rsid w:val="00853C08"/>
    <w:rsid w:val="00855E1E"/>
    <w:rsid w:val="0086269C"/>
    <w:rsid w:val="00865B1D"/>
    <w:rsid w:val="0086654B"/>
    <w:rsid w:val="0087223E"/>
    <w:rsid w:val="00875A4D"/>
    <w:rsid w:val="00880842"/>
    <w:rsid w:val="008854B5"/>
    <w:rsid w:val="008856CD"/>
    <w:rsid w:val="008862CB"/>
    <w:rsid w:val="00892F7D"/>
    <w:rsid w:val="00897A0A"/>
    <w:rsid w:val="008A0FB6"/>
    <w:rsid w:val="008C358C"/>
    <w:rsid w:val="008C6CEB"/>
    <w:rsid w:val="008E1574"/>
    <w:rsid w:val="008E20FB"/>
    <w:rsid w:val="008E3A5C"/>
    <w:rsid w:val="008F40FF"/>
    <w:rsid w:val="008F5EF3"/>
    <w:rsid w:val="008F65BB"/>
    <w:rsid w:val="00907E3E"/>
    <w:rsid w:val="009139A3"/>
    <w:rsid w:val="009239B6"/>
    <w:rsid w:val="00923A37"/>
    <w:rsid w:val="00924855"/>
    <w:rsid w:val="0093581F"/>
    <w:rsid w:val="00937BAD"/>
    <w:rsid w:val="00947053"/>
    <w:rsid w:val="00955657"/>
    <w:rsid w:val="00962DBB"/>
    <w:rsid w:val="00975F85"/>
    <w:rsid w:val="009947B7"/>
    <w:rsid w:val="009A2563"/>
    <w:rsid w:val="009B1816"/>
    <w:rsid w:val="009C0EAC"/>
    <w:rsid w:val="009D3FAD"/>
    <w:rsid w:val="009F0BDF"/>
    <w:rsid w:val="009F281B"/>
    <w:rsid w:val="00A0421D"/>
    <w:rsid w:val="00A06E8B"/>
    <w:rsid w:val="00A17060"/>
    <w:rsid w:val="00A22CC1"/>
    <w:rsid w:val="00A25C18"/>
    <w:rsid w:val="00A275CA"/>
    <w:rsid w:val="00A37C59"/>
    <w:rsid w:val="00A426B1"/>
    <w:rsid w:val="00A52252"/>
    <w:rsid w:val="00A528FD"/>
    <w:rsid w:val="00A53832"/>
    <w:rsid w:val="00A5427C"/>
    <w:rsid w:val="00A62024"/>
    <w:rsid w:val="00A6284B"/>
    <w:rsid w:val="00A654BF"/>
    <w:rsid w:val="00A853F8"/>
    <w:rsid w:val="00A85E3F"/>
    <w:rsid w:val="00A92FB2"/>
    <w:rsid w:val="00A9433D"/>
    <w:rsid w:val="00AA4FF2"/>
    <w:rsid w:val="00AC37BC"/>
    <w:rsid w:val="00AD259F"/>
    <w:rsid w:val="00AD5617"/>
    <w:rsid w:val="00AE3148"/>
    <w:rsid w:val="00AE7F96"/>
    <w:rsid w:val="00B07198"/>
    <w:rsid w:val="00B07D8A"/>
    <w:rsid w:val="00B21DE0"/>
    <w:rsid w:val="00B25B4C"/>
    <w:rsid w:val="00B2606B"/>
    <w:rsid w:val="00B36134"/>
    <w:rsid w:val="00B376F2"/>
    <w:rsid w:val="00B456FA"/>
    <w:rsid w:val="00B513E0"/>
    <w:rsid w:val="00B62AA2"/>
    <w:rsid w:val="00B64D6E"/>
    <w:rsid w:val="00B66514"/>
    <w:rsid w:val="00B77588"/>
    <w:rsid w:val="00BA007B"/>
    <w:rsid w:val="00BA61E2"/>
    <w:rsid w:val="00BB3B04"/>
    <w:rsid w:val="00BC16FA"/>
    <w:rsid w:val="00BC374A"/>
    <w:rsid w:val="00BD617D"/>
    <w:rsid w:val="00BE46BE"/>
    <w:rsid w:val="00BE6D3A"/>
    <w:rsid w:val="00BF057C"/>
    <w:rsid w:val="00BF5E28"/>
    <w:rsid w:val="00BF72AD"/>
    <w:rsid w:val="00C0126C"/>
    <w:rsid w:val="00C0215B"/>
    <w:rsid w:val="00C02D73"/>
    <w:rsid w:val="00C032C5"/>
    <w:rsid w:val="00C2693A"/>
    <w:rsid w:val="00C31961"/>
    <w:rsid w:val="00C43B76"/>
    <w:rsid w:val="00C44362"/>
    <w:rsid w:val="00C4597B"/>
    <w:rsid w:val="00C7440C"/>
    <w:rsid w:val="00C7532F"/>
    <w:rsid w:val="00C75B09"/>
    <w:rsid w:val="00C8765A"/>
    <w:rsid w:val="00C91EE2"/>
    <w:rsid w:val="00C957F6"/>
    <w:rsid w:val="00CB6416"/>
    <w:rsid w:val="00CC1AE8"/>
    <w:rsid w:val="00CC284E"/>
    <w:rsid w:val="00CD296D"/>
    <w:rsid w:val="00D14337"/>
    <w:rsid w:val="00D254C8"/>
    <w:rsid w:val="00D2761B"/>
    <w:rsid w:val="00D4119A"/>
    <w:rsid w:val="00D44C8A"/>
    <w:rsid w:val="00D56125"/>
    <w:rsid w:val="00D77720"/>
    <w:rsid w:val="00D82D0C"/>
    <w:rsid w:val="00D83825"/>
    <w:rsid w:val="00D84FA8"/>
    <w:rsid w:val="00DB50B9"/>
    <w:rsid w:val="00DC561D"/>
    <w:rsid w:val="00DC767A"/>
    <w:rsid w:val="00DE10C0"/>
    <w:rsid w:val="00DE6F02"/>
    <w:rsid w:val="00DF064C"/>
    <w:rsid w:val="00DF5FC8"/>
    <w:rsid w:val="00E04525"/>
    <w:rsid w:val="00E049D5"/>
    <w:rsid w:val="00E153B4"/>
    <w:rsid w:val="00E354AD"/>
    <w:rsid w:val="00E374BF"/>
    <w:rsid w:val="00E55CE6"/>
    <w:rsid w:val="00E663E7"/>
    <w:rsid w:val="00E732A4"/>
    <w:rsid w:val="00E76F31"/>
    <w:rsid w:val="00E93773"/>
    <w:rsid w:val="00E9688B"/>
    <w:rsid w:val="00EB4C0D"/>
    <w:rsid w:val="00EC7AEA"/>
    <w:rsid w:val="00ED1913"/>
    <w:rsid w:val="00ED7367"/>
    <w:rsid w:val="00EE32CC"/>
    <w:rsid w:val="00F0145B"/>
    <w:rsid w:val="00F036A0"/>
    <w:rsid w:val="00F05161"/>
    <w:rsid w:val="00F07F51"/>
    <w:rsid w:val="00F11A40"/>
    <w:rsid w:val="00F13749"/>
    <w:rsid w:val="00F16CFF"/>
    <w:rsid w:val="00F21E6B"/>
    <w:rsid w:val="00F22E8B"/>
    <w:rsid w:val="00F43B2E"/>
    <w:rsid w:val="00F62D44"/>
    <w:rsid w:val="00F62FE4"/>
    <w:rsid w:val="00F653EF"/>
    <w:rsid w:val="00F66F11"/>
    <w:rsid w:val="00F7450D"/>
    <w:rsid w:val="00F81AF6"/>
    <w:rsid w:val="00F81DEE"/>
    <w:rsid w:val="00F93CF3"/>
    <w:rsid w:val="00F97E77"/>
    <w:rsid w:val="00FB1619"/>
    <w:rsid w:val="00FB2661"/>
    <w:rsid w:val="00FC1E2E"/>
    <w:rsid w:val="00FC66EC"/>
    <w:rsid w:val="00FD5B04"/>
    <w:rsid w:val="00FE50D4"/>
    <w:rsid w:val="00FE6F1A"/>
    <w:rsid w:val="00FE7735"/>
    <w:rsid w:val="00FF2BD1"/>
    <w:rsid w:val="02CB7F49"/>
    <w:rsid w:val="06B62CBE"/>
    <w:rsid w:val="13A26AA4"/>
    <w:rsid w:val="14184FB8"/>
    <w:rsid w:val="14781F9A"/>
    <w:rsid w:val="193611F2"/>
    <w:rsid w:val="21061B75"/>
    <w:rsid w:val="24EA3E07"/>
    <w:rsid w:val="2E7836FA"/>
    <w:rsid w:val="3D232155"/>
    <w:rsid w:val="3DE47280"/>
    <w:rsid w:val="4BA87A42"/>
    <w:rsid w:val="4D9912F6"/>
    <w:rsid w:val="4DD145F6"/>
    <w:rsid w:val="4E370A78"/>
    <w:rsid w:val="5108108D"/>
    <w:rsid w:val="559127B5"/>
    <w:rsid w:val="56302718"/>
    <w:rsid w:val="58695208"/>
    <w:rsid w:val="592F5B9D"/>
    <w:rsid w:val="67095993"/>
    <w:rsid w:val="6D602485"/>
  </w:rsids>
  <m:mathPr>
    <m:mathFont m:val="Cambria Math"/>
    <m:brkBin m:val="before"/>
    <m:brkBinSub m:val="--"/>
    <m:smallFrac m:val="0"/>
    <m:dispDef/>
    <m:lMargin m:val="0"/>
    <m:rMargin m:val="0"/>
    <m:defJc m:val="centerGroup"/>
    <m:wrapIndent m:val="1440"/>
    <m:intLim m:val="subSup"/>
    <m:naryLim m:val="undOvr"/>
  </m:mathPr>
  <w:themeFontLang w:val="zh-CN"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name="header"/>
    <w:lsdException w:qFormat="1" w:uiPriority="99"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qFormat="1" w:uiPriority="99" w:name="endnote reference"/>
    <w:lsdException w:qFormat="1" w:uiPriority="99"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EastAsia" w:cstheme="minorBidi"/>
      <w:kern w:val="2"/>
      <w:sz w:val="22"/>
      <w:szCs w:val="22"/>
      <w:lang w:val="zh-CN" w:eastAsia="en-US" w:bidi="ar-SA"/>
      <w14:ligatures w14:val="standardContextual"/>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caption"/>
    <w:basedOn w:val="1"/>
    <w:next w:val="1"/>
    <w:unhideWhenUsed/>
    <w:qFormat/>
    <w:uiPriority w:val="35"/>
    <w:pPr>
      <w:spacing w:after="200" w:line="240" w:lineRule="auto"/>
    </w:pPr>
    <w:rPr>
      <w:i/>
      <w:iCs/>
      <w:color w:val="44546A" w:themeColor="text2"/>
      <w:sz w:val="18"/>
      <w:szCs w:val="18"/>
      <w14:textFill>
        <w14:solidFill>
          <w14:schemeClr w14:val="tx2"/>
        </w14:solidFill>
      </w14:textFill>
    </w:rPr>
  </w:style>
  <w:style w:type="paragraph" w:styleId="3">
    <w:name w:val="annotation text"/>
    <w:basedOn w:val="1"/>
    <w:link w:val="20"/>
    <w:unhideWhenUsed/>
    <w:qFormat/>
    <w:uiPriority w:val="99"/>
    <w:pPr>
      <w:spacing w:line="240" w:lineRule="auto"/>
    </w:pPr>
    <w:rPr>
      <w:sz w:val="20"/>
      <w:szCs w:val="20"/>
    </w:rPr>
  </w:style>
  <w:style w:type="paragraph" w:styleId="4">
    <w:name w:val="Plain Text"/>
    <w:basedOn w:val="1"/>
    <w:link w:val="15"/>
    <w:unhideWhenUsed/>
    <w:qFormat/>
    <w:uiPriority w:val="99"/>
    <w:pPr>
      <w:spacing w:after="0" w:line="240" w:lineRule="auto"/>
    </w:pPr>
    <w:rPr>
      <w:rFonts w:ascii="Calibri" w:hAnsi="Calibri"/>
      <w:szCs w:val="21"/>
    </w:rPr>
  </w:style>
  <w:style w:type="paragraph" w:styleId="5">
    <w:name w:val="endnote text"/>
    <w:basedOn w:val="1"/>
    <w:link w:val="23"/>
    <w:unhideWhenUsed/>
    <w:qFormat/>
    <w:uiPriority w:val="99"/>
    <w:pPr>
      <w:spacing w:after="0" w:line="240" w:lineRule="auto"/>
    </w:pPr>
    <w:rPr>
      <w:sz w:val="20"/>
      <w:szCs w:val="20"/>
    </w:rPr>
  </w:style>
  <w:style w:type="paragraph" w:styleId="6">
    <w:name w:val="footer"/>
    <w:basedOn w:val="1"/>
    <w:semiHidden/>
    <w:unhideWhenUsed/>
    <w:qFormat/>
    <w:uiPriority w:val="99"/>
    <w:pPr>
      <w:tabs>
        <w:tab w:val="center" w:pos="4153"/>
        <w:tab w:val="right" w:pos="8306"/>
      </w:tabs>
      <w:snapToGrid w:val="0"/>
    </w:pPr>
    <w:rPr>
      <w:sz w:val="18"/>
    </w:rPr>
  </w:style>
  <w:style w:type="paragraph" w:styleId="7">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pPr>
    <w:rPr>
      <w:sz w:val="18"/>
    </w:rPr>
  </w:style>
  <w:style w:type="paragraph" w:styleId="8">
    <w:name w:val="annotation subject"/>
    <w:basedOn w:val="3"/>
    <w:next w:val="3"/>
    <w:link w:val="21"/>
    <w:semiHidden/>
    <w:unhideWhenUsed/>
    <w:qFormat/>
    <w:uiPriority w:val="99"/>
    <w:rPr>
      <w:b/>
      <w:bCs/>
    </w:rPr>
  </w:style>
  <w:style w:type="table" w:styleId="10">
    <w:name w:val="Table Grid"/>
    <w:basedOn w:val="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endnote reference"/>
    <w:basedOn w:val="11"/>
    <w:semiHidden/>
    <w:unhideWhenUsed/>
    <w:qFormat/>
    <w:uiPriority w:val="99"/>
    <w:rPr>
      <w:vertAlign w:val="superscript"/>
    </w:rPr>
  </w:style>
  <w:style w:type="character" w:styleId="13">
    <w:name w:val="Hyperlink"/>
    <w:basedOn w:val="11"/>
    <w:unhideWhenUsed/>
    <w:qFormat/>
    <w:uiPriority w:val="99"/>
    <w:rPr>
      <w:color w:val="0563C1" w:themeColor="hyperlink"/>
      <w:u w:val="single"/>
      <w14:textFill>
        <w14:solidFill>
          <w14:schemeClr w14:val="hlink"/>
        </w14:solidFill>
      </w14:textFill>
    </w:rPr>
  </w:style>
  <w:style w:type="character" w:styleId="14">
    <w:name w:val="annotation reference"/>
    <w:basedOn w:val="11"/>
    <w:semiHidden/>
    <w:unhideWhenUsed/>
    <w:qFormat/>
    <w:uiPriority w:val="99"/>
    <w:rPr>
      <w:sz w:val="16"/>
      <w:szCs w:val="16"/>
    </w:rPr>
  </w:style>
  <w:style w:type="character" w:customStyle="1" w:styleId="15">
    <w:name w:val="Plain Text Char"/>
    <w:basedOn w:val="11"/>
    <w:link w:val="4"/>
    <w:qFormat/>
    <w:uiPriority w:val="99"/>
    <w:rPr>
      <w:rFonts w:ascii="Calibri" w:hAnsi="Calibri"/>
      <w:szCs w:val="21"/>
    </w:rPr>
  </w:style>
  <w:style w:type="paragraph" w:customStyle="1" w:styleId="16">
    <w:name w:val="EndNote Bibliography Title"/>
    <w:basedOn w:val="1"/>
    <w:link w:val="17"/>
    <w:qFormat/>
    <w:uiPriority w:val="0"/>
    <w:pPr>
      <w:spacing w:after="0"/>
      <w:jc w:val="center"/>
    </w:pPr>
    <w:rPr>
      <w:rFonts w:ascii="Calibri" w:hAnsi="Calibri" w:cs="Calibri"/>
      <w:lang w:val="en-US"/>
    </w:rPr>
  </w:style>
  <w:style w:type="character" w:customStyle="1" w:styleId="17">
    <w:name w:val="EndNote Bibliography Title Char"/>
    <w:basedOn w:val="15"/>
    <w:link w:val="16"/>
    <w:qFormat/>
    <w:uiPriority w:val="0"/>
    <w:rPr>
      <w:rFonts w:ascii="Calibri" w:hAnsi="Calibri" w:cs="Calibri"/>
      <w:szCs w:val="21"/>
      <w:lang w:val="en-US"/>
    </w:rPr>
  </w:style>
  <w:style w:type="paragraph" w:customStyle="1" w:styleId="18">
    <w:name w:val="EndNote Bibliography"/>
    <w:basedOn w:val="1"/>
    <w:link w:val="19"/>
    <w:qFormat/>
    <w:uiPriority w:val="0"/>
    <w:pPr>
      <w:spacing w:line="240" w:lineRule="auto"/>
    </w:pPr>
    <w:rPr>
      <w:rFonts w:ascii="Calibri" w:hAnsi="Calibri" w:cs="Calibri"/>
      <w:lang w:val="en-US"/>
    </w:rPr>
  </w:style>
  <w:style w:type="character" w:customStyle="1" w:styleId="19">
    <w:name w:val="EndNote Bibliography Char"/>
    <w:basedOn w:val="15"/>
    <w:link w:val="18"/>
    <w:qFormat/>
    <w:uiPriority w:val="0"/>
    <w:rPr>
      <w:rFonts w:ascii="Calibri" w:hAnsi="Calibri" w:cs="Calibri"/>
      <w:szCs w:val="21"/>
      <w:lang w:val="en-US"/>
    </w:rPr>
  </w:style>
  <w:style w:type="character" w:customStyle="1" w:styleId="20">
    <w:name w:val="Comment Text Char"/>
    <w:basedOn w:val="11"/>
    <w:link w:val="3"/>
    <w:qFormat/>
    <w:uiPriority w:val="99"/>
    <w:rPr>
      <w:sz w:val="20"/>
      <w:szCs w:val="20"/>
    </w:rPr>
  </w:style>
  <w:style w:type="character" w:customStyle="1" w:styleId="21">
    <w:name w:val="Comment Subject Char"/>
    <w:basedOn w:val="20"/>
    <w:link w:val="8"/>
    <w:semiHidden/>
    <w:qFormat/>
    <w:uiPriority w:val="99"/>
    <w:rPr>
      <w:b/>
      <w:bCs/>
      <w:sz w:val="20"/>
      <w:szCs w:val="20"/>
    </w:rPr>
  </w:style>
  <w:style w:type="table" w:customStyle="1" w:styleId="22">
    <w:name w:val="Plain Table 51"/>
    <w:basedOn w:val="9"/>
    <w:qFormat/>
    <w:uiPriority w:val="45"/>
    <w:tblStylePr w:type="firstRow">
      <w:rPr>
        <w:rFonts w:asciiTheme="majorHAnsi" w:hAnsiTheme="majorHAnsi" w:eastAsiaTheme="majorEastAsia" w:cstheme="majorBidi"/>
        <w:i/>
        <w:iCs/>
        <w:sz w:val="26"/>
      </w:rPr>
      <w:tcPr>
        <w:tcBorders>
          <w:bottom w:val="single" w:color="7E7E7E"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cPr>
        <w:tcBorders>
          <w:top w:val="single" w:color="7E7E7E"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cPr>
        <w:tcBorders>
          <w:right w:val="single" w:color="7E7E7E"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cPr>
        <w:tcBorders>
          <w:left w:val="single" w:color="7E7E7E" w:themeColor="text1" w:themeTint="80" w:sz="4" w:space="0"/>
        </w:tcBorders>
        <w:shd w:val="clear" w:color="auto" w:fill="FFFFFF" w:themeFill="background1"/>
      </w:tcPr>
    </w:tblStylePr>
    <w:tblStylePr w:type="band1Vert">
      <w:tcPr>
        <w:shd w:val="clear" w:color="auto" w:fill="F1F1F1" w:themeFill="background1" w:themeFillShade="F2"/>
      </w:tcPr>
    </w:tblStylePr>
    <w:tblStylePr w:type="band1Horz">
      <w:tcPr>
        <w:shd w:val="clear" w:color="auto" w:fill="F1F1F1" w:themeFill="background1" w:themeFillShade="F2"/>
      </w:tcPr>
    </w:tblStylePr>
    <w:tblStylePr w:type="neCell">
      <w:tcPr>
        <w:tcBorders>
          <w:left w:val="nil"/>
        </w:tcBorders>
      </w:tcPr>
    </w:tblStylePr>
    <w:tblStylePr w:type="nwCell">
      <w:tcPr>
        <w:tcBorders>
          <w:right w:val="nil"/>
        </w:tcBorders>
      </w:tcPr>
    </w:tblStylePr>
    <w:tblStylePr w:type="seCell">
      <w:tcPr>
        <w:tcBorders>
          <w:left w:val="nil"/>
        </w:tcBorders>
      </w:tcPr>
    </w:tblStylePr>
    <w:tblStylePr w:type="swCell">
      <w:tcPr>
        <w:tcBorders>
          <w:right w:val="nil"/>
        </w:tcBorders>
      </w:tcPr>
    </w:tblStylePr>
  </w:style>
  <w:style w:type="character" w:customStyle="1" w:styleId="23">
    <w:name w:val="Endnote Text Char"/>
    <w:basedOn w:val="11"/>
    <w:link w:val="5"/>
    <w:qFormat/>
    <w:uiPriority w:val="99"/>
    <w:rPr>
      <w:sz w:val="20"/>
      <w:szCs w:val="20"/>
    </w:rPr>
  </w:style>
  <w:style w:type="table" w:customStyle="1" w:styleId="24">
    <w:name w:val="Plain Table 31"/>
    <w:basedOn w:val="9"/>
    <w:qFormat/>
    <w:uiPriority w:val="43"/>
    <w:rPr>
      <w:sz w:val="22"/>
      <w:szCs w:val="22"/>
      <w:lang w:val="zh-CN"/>
    </w:rPr>
    <w:tblStylePr w:type="firstRow">
      <w:rPr>
        <w:b/>
        <w:bCs/>
        <w:caps/>
      </w:rPr>
      <w:tcPr>
        <w:tcBorders>
          <w:bottom w:val="single" w:color="7E7E7E" w:themeColor="text1" w:themeTint="80" w:sz="4" w:space="0"/>
        </w:tcBorders>
      </w:tcPr>
    </w:tblStylePr>
    <w:tblStylePr w:type="lastRow">
      <w:rPr>
        <w:b/>
        <w:bCs/>
        <w:caps/>
      </w:rPr>
      <w:tcPr>
        <w:tcBorders>
          <w:top w:val="nil"/>
        </w:tcBorders>
      </w:tcPr>
    </w:tblStylePr>
    <w:tblStylePr w:type="firstCol">
      <w:rPr>
        <w:b/>
        <w:bCs/>
        <w:caps/>
      </w:rPr>
      <w:tcPr>
        <w:tcBorders>
          <w:right w:val="single" w:color="7E7E7E" w:themeColor="text1" w:themeTint="80" w:sz="4" w:space="0"/>
        </w:tcBorders>
      </w:tcPr>
    </w:tblStylePr>
    <w:tblStylePr w:type="lastCol">
      <w:rPr>
        <w:b/>
        <w:bCs/>
        <w:caps/>
      </w:rPr>
      <w:tcPr>
        <w:tcBorders>
          <w:left w:val="nil"/>
        </w:tcBorders>
      </w:tcPr>
    </w:tblStylePr>
    <w:tblStylePr w:type="band1Vert">
      <w:tcPr>
        <w:shd w:val="clear" w:color="auto" w:fill="F1F1F1" w:themeFill="background1" w:themeFillShade="F2"/>
      </w:tcPr>
    </w:tblStylePr>
    <w:tblStylePr w:type="band1Horz">
      <w:tcPr>
        <w:shd w:val="clear" w:color="auto" w:fill="F1F1F1" w:themeFill="background1" w:themeFillShade="F2"/>
      </w:tcPr>
    </w:tblStylePr>
    <w:tblStylePr w:type="neCell">
      <w:tcPr>
        <w:tcBorders>
          <w:left w:val="nil"/>
        </w:tcBorders>
      </w:tcPr>
    </w:tblStylePr>
    <w:tblStylePr w:type="nwCell">
      <w:tcPr>
        <w:tcBorders>
          <w:right w:val="nil"/>
        </w:tcBorders>
      </w:tcPr>
    </w:tblStyle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66AC61-F48F-42F8-A4E2-CA2F42F8A93B}">
  <ds:schemaRefs/>
</ds:datastoreItem>
</file>

<file path=docProps/app.xml><?xml version="1.0" encoding="utf-8"?>
<Properties xmlns="http://schemas.openxmlformats.org/officeDocument/2006/extended-properties" xmlns:vt="http://schemas.openxmlformats.org/officeDocument/2006/docPropsVTypes">
  <Template>Normal</Template>
  <Pages>8</Pages>
  <Words>1167</Words>
  <Characters>7225</Characters>
  <Lines>240</Lines>
  <Paragraphs>67</Paragraphs>
  <TotalTime>12</TotalTime>
  <ScaleCrop>false</ScaleCrop>
  <LinksUpToDate>false</LinksUpToDate>
  <CharactersWithSpaces>8247</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2024-09-30T02:49:00Z</dcterms:created>
  <dc:creator>GYY</dc:creator>
  <cp:lastModifiedBy>leo</cp:lastModifiedBy>
  <cp:lastPrinted>2024-07-30T13:25:00Z</cp:lastPrinted>
  <dcterms:modified xsi:type="dcterms:W3CDTF">2024-11-02T06:49:39Z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be0d0100efe8ce7589b9932efd946494023acf8d6972c00140962ef69fee0b6f</vt:lpwstr>
  </property>
  <property fmtid="{D5CDD505-2E9C-101B-9397-08002B2CF9AE}" pid="3" name="KSOProductBuildVer">
    <vt:lpwstr>2052-12.1.0.18608</vt:lpwstr>
  </property>
  <property fmtid="{D5CDD505-2E9C-101B-9397-08002B2CF9AE}" pid="4" name="ICV">
    <vt:lpwstr>843A1F15F33645D78AFA25CB8B1E1BEB_13</vt:lpwstr>
  </property>
  <property fmtid="{D5CDD505-2E9C-101B-9397-08002B2CF9AE}" pid="5" name="GVData">
    <vt:lpwstr>ew0KICAiZG9jSUQiOiAiOGFhZDc4ZmEtNzVlOC00NjgxLWIwODctM2EwNjA2NmFiYWZhIg0KfQ==</vt:lpwstr>
  </property>
  <property fmtid="{D5CDD505-2E9C-101B-9397-08002B2CF9AE}" pid="6" name="GVData0">
    <vt:lpwstr>(end)</vt:lpwstr>
  </property>
</Properties>
</file>