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9D8ACE" w14:textId="384D8521" w:rsidR="008A686A" w:rsidRDefault="008A686A" w:rsidP="008A686A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Hlk51237965"/>
      <w:r w:rsidRPr="0026237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Additional File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3</w:t>
      </w:r>
      <w:r w:rsidRPr="0026237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F</w:t>
      </w:r>
      <w:r w:rsidRPr="0026237F">
        <w:rPr>
          <w:rFonts w:ascii="Times New Roman" w:hAnsi="Times New Roman" w:cs="Times New Roman"/>
          <w:sz w:val="24"/>
          <w:szCs w:val="24"/>
          <w:lang w:val="en-GB"/>
        </w:rPr>
        <w:t>requency distribution of the data for this study is included as additional data.</w:t>
      </w:r>
    </w:p>
    <w:p w14:paraId="32052B94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w:drawing>
          <wp:anchor distT="0" distB="0" distL="114300" distR="114300" simplePos="0" relativeHeight="251659264" behindDoc="0" locked="0" layoutInCell="1" allowOverlap="1" wp14:anchorId="062E2BAF" wp14:editId="344E9DF5">
            <wp:simplePos x="0" y="0"/>
            <wp:positionH relativeFrom="margin">
              <wp:posOffset>2933700</wp:posOffset>
            </wp:positionH>
            <wp:positionV relativeFrom="paragraph">
              <wp:posOffset>9525</wp:posOffset>
            </wp:positionV>
            <wp:extent cx="3028950" cy="2343150"/>
            <wp:effectExtent l="0" t="0" r="0" b="0"/>
            <wp:wrapNone/>
            <wp:docPr id="60" name="Chart 6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w:drawing>
          <wp:anchor distT="0" distB="0" distL="114300" distR="114300" simplePos="0" relativeHeight="251661312" behindDoc="0" locked="0" layoutInCell="1" allowOverlap="1" wp14:anchorId="470EA17C" wp14:editId="1755F7F4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2924175" cy="2333625"/>
            <wp:effectExtent l="0" t="0" r="9525" b="9525"/>
            <wp:wrapNone/>
            <wp:docPr id="61" name="Chart 6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65A449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555C3DFD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EC2F8F6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28D5DE58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2FBF9BCE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64C8EC66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0B21F899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14ABC81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58160050" wp14:editId="5F16F180">
            <wp:simplePos x="0" y="0"/>
            <wp:positionH relativeFrom="margin">
              <wp:posOffset>2924175</wp:posOffset>
            </wp:positionH>
            <wp:positionV relativeFrom="paragraph">
              <wp:posOffset>261620</wp:posOffset>
            </wp:positionV>
            <wp:extent cx="3038475" cy="2343150"/>
            <wp:effectExtent l="0" t="0" r="9525" b="0"/>
            <wp:wrapNone/>
            <wp:docPr id="62" name="Chart 6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3B9FAF" wp14:editId="2069AA6F">
                <wp:simplePos x="0" y="0"/>
                <wp:positionH relativeFrom="column">
                  <wp:posOffset>3419475</wp:posOffset>
                </wp:positionH>
                <wp:positionV relativeFrom="paragraph">
                  <wp:posOffset>48895</wp:posOffset>
                </wp:positionV>
                <wp:extent cx="114300" cy="142875"/>
                <wp:effectExtent l="0" t="38100" r="57150" b="28575"/>
                <wp:wrapNone/>
                <wp:docPr id="45" name="Straight Arrow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1428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FE5977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5" o:spid="_x0000_s1026" type="#_x0000_t32" style="position:absolute;margin-left:269.25pt;margin-top:3.85pt;width:9pt;height:11.25pt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" strokecolor="black [3213]">
                <v:stroke endarrow="block"/>
              </v:shape>
            </w:pict>
          </mc:Fallback>
        </mc:AlternateContent>
      </w: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0BC1E19" wp14:editId="1BDB5A49">
                <wp:simplePos x="0" y="0"/>
                <wp:positionH relativeFrom="column">
                  <wp:posOffset>447675</wp:posOffset>
                </wp:positionH>
                <wp:positionV relativeFrom="paragraph">
                  <wp:posOffset>29845</wp:posOffset>
                </wp:positionV>
                <wp:extent cx="114300" cy="142875"/>
                <wp:effectExtent l="0" t="38100" r="57150" b="28575"/>
                <wp:wrapNone/>
                <wp:docPr id="47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1428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C25D971" id="Straight Arrow Connector 47" o:spid="_x0000_s1026" type="#_x0000_t32" style="position:absolute;margin-left:35.25pt;margin-top:2.35pt;width:9pt;height:11.25pt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" strokecolor="black [3213]">
                <v:stroke endarrow="block"/>
              </v:shape>
            </w:pict>
          </mc:Fallback>
        </mc:AlternateContent>
      </w:r>
    </w:p>
    <w:p w14:paraId="1B2E802D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w:drawing>
          <wp:anchor distT="0" distB="0" distL="114300" distR="114300" simplePos="0" relativeHeight="251663360" behindDoc="0" locked="0" layoutInCell="1" allowOverlap="1" wp14:anchorId="492354A5" wp14:editId="6B732BA2">
            <wp:simplePos x="0" y="0"/>
            <wp:positionH relativeFrom="margin">
              <wp:align>left</wp:align>
            </wp:positionH>
            <wp:positionV relativeFrom="paragraph">
              <wp:posOffset>12065</wp:posOffset>
            </wp:positionV>
            <wp:extent cx="2933700" cy="2333625"/>
            <wp:effectExtent l="0" t="0" r="0" b="9525"/>
            <wp:wrapNone/>
            <wp:docPr id="63" name="Chart 6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F7F39F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0049FA39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1111FEB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9025196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6900E033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61A5F657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6E86470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0C61E7B2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C5DE30F" wp14:editId="78DC7E01">
                <wp:simplePos x="0" y="0"/>
                <wp:positionH relativeFrom="margin">
                  <wp:posOffset>3579495</wp:posOffset>
                </wp:positionH>
                <wp:positionV relativeFrom="paragraph">
                  <wp:posOffset>57785</wp:posOffset>
                </wp:positionV>
                <wp:extent cx="114300" cy="142875"/>
                <wp:effectExtent l="0" t="38100" r="57150" b="28575"/>
                <wp:wrapNone/>
                <wp:docPr id="40" name="Straight Arrow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1428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3A6F1F9" id="Straight Arrow Connector 40" o:spid="_x0000_s1026" type="#_x0000_t32" style="position:absolute;margin-left:281.85pt;margin-top:4.55pt;width:9pt;height:11.2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" strokecolor="black [3213]">
                <v:stroke endarrow="block"/>
                <w10:wrap anchorx="margin"/>
              </v:shape>
            </w:pict>
          </mc:Fallback>
        </mc:AlternateContent>
      </w: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DDAD81C" wp14:editId="0FA18BCF">
                <wp:simplePos x="0" y="0"/>
                <wp:positionH relativeFrom="column">
                  <wp:posOffset>533400</wp:posOffset>
                </wp:positionH>
                <wp:positionV relativeFrom="paragraph">
                  <wp:posOffset>52070</wp:posOffset>
                </wp:positionV>
                <wp:extent cx="114300" cy="142875"/>
                <wp:effectExtent l="0" t="38100" r="57150" b="28575"/>
                <wp:wrapNone/>
                <wp:docPr id="39" name="Straight Arrow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1428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A89EC44" id="Straight Arrow Connector 39" o:spid="_x0000_s1026" type="#_x0000_t32" style="position:absolute;margin-left:42pt;margin-top:4.1pt;width:9pt;height:11.2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" strokecolor="black [3213]">
                <v:stroke endarrow="block"/>
              </v:shape>
            </w:pict>
          </mc:Fallback>
        </mc:AlternateContent>
      </w:r>
    </w:p>
    <w:p w14:paraId="23024453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w:drawing>
          <wp:anchor distT="0" distB="0" distL="114300" distR="114300" simplePos="0" relativeHeight="251662336" behindDoc="0" locked="0" layoutInCell="1" allowOverlap="1" wp14:anchorId="437D2B50" wp14:editId="33F36EDC">
            <wp:simplePos x="0" y="0"/>
            <wp:positionH relativeFrom="margin">
              <wp:align>left</wp:align>
            </wp:positionH>
            <wp:positionV relativeFrom="paragraph">
              <wp:posOffset>25400</wp:posOffset>
            </wp:positionV>
            <wp:extent cx="2933700" cy="2333625"/>
            <wp:effectExtent l="0" t="0" r="0" b="9525"/>
            <wp:wrapNone/>
            <wp:docPr id="192" name="Chart 19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03E185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14EF7C18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27850DA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1CC29483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6FC82CD8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6D6D50B4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15BDFB82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4667648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  <w:r w:rsidRPr="0026237F">
        <w:rPr>
          <w:rFonts w:ascii="Times New Roman" w:hAnsi="Times New Roman" w:cs="Times New Roman"/>
          <w:noProof/>
          <w:sz w:val="20"/>
          <w:szCs w:val="20"/>
          <w:lang w:val="en-IN" w:eastAsia="en-IN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CF0BCC0" wp14:editId="5A85C885">
                <wp:simplePos x="0" y="0"/>
                <wp:positionH relativeFrom="column">
                  <wp:posOffset>571500</wp:posOffset>
                </wp:positionH>
                <wp:positionV relativeFrom="paragraph">
                  <wp:posOffset>50800</wp:posOffset>
                </wp:positionV>
                <wp:extent cx="114300" cy="142875"/>
                <wp:effectExtent l="0" t="38100" r="57150" b="28575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" cy="1428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5826F7F" id="Straight Arrow Connector 37" o:spid="_x0000_s1026" type="#_x0000_t32" style="position:absolute;margin-left:45pt;margin-top:4pt;width:9pt;height:11.25p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" strokecolor="black [3213]">
                <v:stroke endarrow="block"/>
              </v:shape>
            </w:pict>
          </mc:Fallback>
        </mc:AlternateContent>
      </w:r>
    </w:p>
    <w:p w14:paraId="59D469A4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4E5AF57" w14:textId="5D32CE97" w:rsidR="008A686A" w:rsidRPr="0026237F" w:rsidRDefault="008A686A" w:rsidP="008A686A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237F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4D4534">
        <w:rPr>
          <w:rFonts w:ascii="Times New Roman" w:hAnsi="Times New Roman" w:cs="Times New Roman"/>
          <w:b/>
          <w:sz w:val="24"/>
          <w:szCs w:val="24"/>
        </w:rPr>
        <w:t>S</w:t>
      </w:r>
      <w:bookmarkStart w:id="1" w:name="_GoBack"/>
      <w:bookmarkEnd w:id="1"/>
      <w:r w:rsidRPr="0026237F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26237F">
        <w:rPr>
          <w:rFonts w:ascii="Times New Roman" w:hAnsi="Times New Roman" w:cs="Times New Roman"/>
          <w:sz w:val="24"/>
          <w:szCs w:val="24"/>
        </w:rPr>
        <w:t xml:space="preserve">Frequency of distribution plots representing white rhinoceros serum samples tested with the individual iELISAs 3 months after they were vaccinated with two doses (4 weeks apart) of a commercial multi-component clostridial vaccine for cattle.  The cut-off values are indicated with an arrow on the x-axis.  </w:t>
      </w:r>
    </w:p>
    <w:p w14:paraId="3A8472A0" w14:textId="77777777" w:rsidR="008A686A" w:rsidRPr="0026237F" w:rsidRDefault="008A686A" w:rsidP="008A686A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2893BD39" w14:textId="77777777" w:rsidR="008A686A" w:rsidRPr="0026237F" w:rsidRDefault="008A686A" w:rsidP="008A686A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bookmarkEnd w:id="0"/>
    <w:p w14:paraId="7A23B9AC" w14:textId="77777777" w:rsidR="00D766E7" w:rsidRDefault="00D766E7"/>
    <w:sectPr w:rsidR="00D766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3A6F9D"/>
    <w:multiLevelType w:val="multilevel"/>
    <w:tmpl w:val="461ACA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853660C"/>
    <w:multiLevelType w:val="hybridMultilevel"/>
    <w:tmpl w:val="6E9A93EA"/>
    <w:lvl w:ilvl="0" w:tplc="1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185BE1"/>
    <w:multiLevelType w:val="multilevel"/>
    <w:tmpl w:val="9CE4714C"/>
    <w:lvl w:ilvl="0">
      <w:start w:val="1"/>
      <w:numFmt w:val="decimal"/>
      <w:pStyle w:val="Heading1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1134" w:hanging="1134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34" w:hanging="1134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134" w:hanging="1134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134" w:hanging="1134"/>
      </w:pPr>
      <w:rPr>
        <w:rFonts w:hint="default"/>
      </w:rPr>
    </w:lvl>
  </w:abstractNum>
  <w:abstractNum w:abstractNumId="3" w15:restartNumberingAfterBreak="0">
    <w:nsid w:val="57290A41"/>
    <w:multiLevelType w:val="hybridMultilevel"/>
    <w:tmpl w:val="1FB25FB8"/>
    <w:lvl w:ilvl="0" w:tplc="1C090005">
      <w:start w:val="1"/>
      <w:numFmt w:val="bullet"/>
      <w:lvlText w:val=""/>
      <w:lvlJc w:val="left"/>
      <w:pPr>
        <w:ind w:left="1713" w:hanging="360"/>
      </w:pPr>
      <w:rPr>
        <w:rFonts w:ascii="Wingdings" w:hAnsi="Wingdings" w:hint="default"/>
      </w:rPr>
    </w:lvl>
    <w:lvl w:ilvl="1" w:tplc="1C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" w15:restartNumberingAfterBreak="0">
    <w:nsid w:val="65387272"/>
    <w:multiLevelType w:val="hybridMultilevel"/>
    <w:tmpl w:val="F82AFEF2"/>
    <w:lvl w:ilvl="0" w:tplc="451E1C78">
      <w:start w:val="1"/>
      <w:numFmt w:val="lowerLetter"/>
      <w:pStyle w:val="Heading5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4"/>
  </w:num>
  <w:num w:numId="6">
    <w:abstractNumId w:val="2"/>
  </w:num>
  <w:num w:numId="7">
    <w:abstractNumId w:val="4"/>
  </w:num>
  <w:num w:numId="8">
    <w:abstractNumId w:val="3"/>
  </w:num>
  <w:num w:numId="9">
    <w:abstractNumId w:val="1"/>
  </w:num>
  <w:num w:numId="10">
    <w:abstractNumId w:val="0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686A"/>
    <w:rsid w:val="004D4534"/>
    <w:rsid w:val="008A686A"/>
    <w:rsid w:val="00D766E7"/>
    <w:rsid w:val="00DB2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87892B"/>
  <w15:chartTrackingRefBased/>
  <w15:docId w15:val="{66B3C265-BAC8-4810-B3E3-2656E4984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Z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686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aliases w:val="Design1"/>
    <w:basedOn w:val="Normal"/>
    <w:next w:val="Normal"/>
    <w:link w:val="Heading1Char"/>
    <w:autoRedefine/>
    <w:qFormat/>
    <w:rsid w:val="00DB2B5B"/>
    <w:pPr>
      <w:keepNext/>
      <w:widowControl w:val="0"/>
      <w:numPr>
        <w:numId w:val="6"/>
      </w:numPr>
      <w:spacing w:after="0" w:line="240" w:lineRule="auto"/>
      <w:outlineLvl w:val="0"/>
    </w:pPr>
    <w:rPr>
      <w:rFonts w:ascii="Verdana" w:eastAsiaTheme="majorEastAsia" w:hAnsi="Verdana" w:cstheme="majorBidi"/>
      <w:b/>
      <w:spacing w:val="-2"/>
      <w:sz w:val="20"/>
      <w:szCs w:val="20"/>
      <w:lang w:val="en-GB"/>
    </w:rPr>
  </w:style>
  <w:style w:type="paragraph" w:styleId="Heading2">
    <w:name w:val="heading 2"/>
    <w:aliases w:val="Design2"/>
    <w:basedOn w:val="Normal"/>
    <w:next w:val="Normal"/>
    <w:link w:val="Heading2Char"/>
    <w:autoRedefine/>
    <w:qFormat/>
    <w:rsid w:val="00DB2B5B"/>
    <w:pPr>
      <w:keepNext/>
      <w:keepLines/>
      <w:widowControl w:val="0"/>
      <w:numPr>
        <w:ilvl w:val="1"/>
        <w:numId w:val="6"/>
      </w:numPr>
      <w:spacing w:after="0" w:line="240" w:lineRule="auto"/>
      <w:jc w:val="both"/>
      <w:outlineLvl w:val="1"/>
    </w:pPr>
    <w:rPr>
      <w:rFonts w:ascii="Verdana" w:eastAsiaTheme="majorEastAsia" w:hAnsi="Verdana" w:cs="Arial"/>
      <w:sz w:val="20"/>
      <w:szCs w:val="24"/>
    </w:rPr>
  </w:style>
  <w:style w:type="paragraph" w:styleId="Heading3">
    <w:name w:val="heading 3"/>
    <w:aliases w:val="Design3"/>
    <w:basedOn w:val="Normal"/>
    <w:next w:val="Normal"/>
    <w:link w:val="Heading3Char"/>
    <w:autoRedefine/>
    <w:unhideWhenUsed/>
    <w:qFormat/>
    <w:rsid w:val="00DB2B5B"/>
    <w:pPr>
      <w:keepNext/>
      <w:widowControl w:val="0"/>
      <w:numPr>
        <w:ilvl w:val="2"/>
        <w:numId w:val="6"/>
      </w:numPr>
      <w:spacing w:after="0" w:line="240" w:lineRule="auto"/>
      <w:jc w:val="both"/>
      <w:outlineLvl w:val="2"/>
    </w:pPr>
    <w:rPr>
      <w:rFonts w:ascii="Verdana" w:eastAsiaTheme="majorEastAsia" w:hAnsi="Verdana" w:cstheme="majorBidi"/>
      <w:bCs/>
      <w:spacing w:val="-2"/>
      <w:sz w:val="20"/>
      <w:szCs w:val="26"/>
      <w:lang w:val="en-GB"/>
    </w:rPr>
  </w:style>
  <w:style w:type="paragraph" w:styleId="Heading4">
    <w:name w:val="heading 4"/>
    <w:aliases w:val="Design4"/>
    <w:basedOn w:val="Normal"/>
    <w:next w:val="Normal"/>
    <w:link w:val="Heading4Char"/>
    <w:autoRedefine/>
    <w:qFormat/>
    <w:rsid w:val="00DB2B5B"/>
    <w:pPr>
      <w:keepNext/>
      <w:widowControl w:val="0"/>
      <w:numPr>
        <w:ilvl w:val="3"/>
        <w:numId w:val="6"/>
      </w:numPr>
      <w:tabs>
        <w:tab w:val="center" w:pos="5387"/>
      </w:tabs>
      <w:spacing w:after="0" w:line="240" w:lineRule="auto"/>
      <w:jc w:val="both"/>
      <w:outlineLvl w:val="3"/>
    </w:pPr>
    <w:rPr>
      <w:rFonts w:ascii="Verdana" w:eastAsiaTheme="majorEastAsia" w:hAnsi="Verdana" w:cstheme="majorBidi"/>
      <w:snapToGrid w:val="0"/>
      <w:spacing w:val="-3"/>
      <w:sz w:val="20"/>
      <w:szCs w:val="20"/>
      <w:lang w:val="en-GB"/>
    </w:rPr>
  </w:style>
  <w:style w:type="paragraph" w:styleId="Heading5">
    <w:name w:val="heading 5"/>
    <w:aliases w:val="Design5"/>
    <w:basedOn w:val="Normal"/>
    <w:next w:val="Normal"/>
    <w:link w:val="Heading5Char"/>
    <w:autoRedefine/>
    <w:unhideWhenUsed/>
    <w:qFormat/>
    <w:rsid w:val="00DB2B5B"/>
    <w:pPr>
      <w:numPr>
        <w:numId w:val="7"/>
      </w:numPr>
      <w:spacing w:after="0" w:line="240" w:lineRule="auto"/>
      <w:jc w:val="both"/>
      <w:outlineLvl w:val="4"/>
    </w:pPr>
    <w:rPr>
      <w:rFonts w:ascii="Verdana" w:eastAsiaTheme="minorEastAsia" w:hAnsi="Verdana"/>
      <w:bCs/>
      <w:iCs/>
      <w:spacing w:val="-2"/>
      <w:sz w:val="20"/>
      <w:szCs w:val="26"/>
      <w:lang w:val="en-GB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DB2B5B"/>
    <w:pPr>
      <w:numPr>
        <w:ilvl w:val="5"/>
        <w:numId w:val="10"/>
      </w:numPr>
      <w:spacing w:before="240" w:after="60" w:line="240" w:lineRule="auto"/>
      <w:ind w:left="1134" w:hanging="1134"/>
      <w:outlineLvl w:val="5"/>
    </w:pPr>
    <w:rPr>
      <w:rFonts w:eastAsiaTheme="minorEastAsia"/>
      <w:b/>
      <w:bCs/>
      <w:spacing w:val="-2"/>
      <w:lang w:val="en-GB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DB2B5B"/>
    <w:pPr>
      <w:numPr>
        <w:ilvl w:val="6"/>
        <w:numId w:val="11"/>
      </w:numPr>
      <w:spacing w:before="240" w:after="60" w:line="240" w:lineRule="auto"/>
      <w:ind w:left="1134" w:hanging="1134"/>
      <w:outlineLvl w:val="6"/>
    </w:pPr>
    <w:rPr>
      <w:rFonts w:eastAsiaTheme="minorEastAsia"/>
      <w:spacing w:val="-2"/>
      <w:sz w:val="24"/>
      <w:szCs w:val="24"/>
      <w:lang w:val="en-GB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DB2B5B"/>
    <w:pPr>
      <w:numPr>
        <w:ilvl w:val="7"/>
        <w:numId w:val="4"/>
      </w:numPr>
      <w:spacing w:before="240" w:after="60" w:line="240" w:lineRule="auto"/>
      <w:outlineLvl w:val="7"/>
    </w:pPr>
    <w:rPr>
      <w:rFonts w:eastAsiaTheme="minorEastAsia"/>
      <w:i/>
      <w:iCs/>
      <w:spacing w:val="-2"/>
      <w:sz w:val="24"/>
      <w:szCs w:val="24"/>
      <w:lang w:val="en-GB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DB2B5B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  <w:spacing w:val="-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Design1 Char"/>
    <w:basedOn w:val="DefaultParagraphFont"/>
    <w:link w:val="Heading1"/>
    <w:rsid w:val="00DB2B5B"/>
    <w:rPr>
      <w:rFonts w:ascii="Verdana" w:eastAsiaTheme="majorEastAsia" w:hAnsi="Verdana" w:cstheme="majorBidi"/>
      <w:b/>
      <w:spacing w:val="-2"/>
      <w:lang w:val="en-GB"/>
    </w:rPr>
  </w:style>
  <w:style w:type="character" w:customStyle="1" w:styleId="Heading2Char">
    <w:name w:val="Heading 2 Char"/>
    <w:aliases w:val="Design2 Char"/>
    <w:basedOn w:val="DefaultParagraphFont"/>
    <w:link w:val="Heading2"/>
    <w:rsid w:val="00DB2B5B"/>
    <w:rPr>
      <w:rFonts w:ascii="Verdana" w:eastAsiaTheme="majorEastAsia" w:hAnsi="Verdana" w:cs="Arial"/>
      <w:szCs w:val="24"/>
    </w:rPr>
  </w:style>
  <w:style w:type="character" w:customStyle="1" w:styleId="Heading3Char">
    <w:name w:val="Heading 3 Char"/>
    <w:aliases w:val="Design3 Char"/>
    <w:basedOn w:val="DefaultParagraphFont"/>
    <w:link w:val="Heading3"/>
    <w:rsid w:val="00DB2B5B"/>
    <w:rPr>
      <w:rFonts w:ascii="Verdana" w:eastAsiaTheme="majorEastAsia" w:hAnsi="Verdana" w:cstheme="majorBidi"/>
      <w:bCs/>
      <w:spacing w:val="-2"/>
      <w:szCs w:val="26"/>
      <w:lang w:val="en-GB"/>
    </w:rPr>
  </w:style>
  <w:style w:type="character" w:customStyle="1" w:styleId="Heading4Char">
    <w:name w:val="Heading 4 Char"/>
    <w:aliases w:val="Design4 Char"/>
    <w:basedOn w:val="DefaultParagraphFont"/>
    <w:link w:val="Heading4"/>
    <w:rsid w:val="00DB2B5B"/>
    <w:rPr>
      <w:rFonts w:ascii="Verdana" w:eastAsiaTheme="majorEastAsia" w:hAnsi="Verdana" w:cstheme="majorBidi"/>
      <w:snapToGrid w:val="0"/>
      <w:spacing w:val="-3"/>
      <w:lang w:val="en-GB"/>
    </w:rPr>
  </w:style>
  <w:style w:type="character" w:customStyle="1" w:styleId="Heading5Char">
    <w:name w:val="Heading 5 Char"/>
    <w:aliases w:val="Design5 Char"/>
    <w:basedOn w:val="DefaultParagraphFont"/>
    <w:link w:val="Heading5"/>
    <w:rsid w:val="00DB2B5B"/>
    <w:rPr>
      <w:rFonts w:ascii="Verdana" w:eastAsiaTheme="minorEastAsia" w:hAnsi="Verdana" w:cstheme="minorBidi"/>
      <w:bCs/>
      <w:iCs/>
      <w:spacing w:val="-2"/>
      <w:szCs w:val="26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DB2B5B"/>
    <w:rPr>
      <w:rFonts w:asciiTheme="minorHAnsi" w:eastAsiaTheme="minorEastAsia" w:hAnsiTheme="minorHAnsi" w:cstheme="minorBidi"/>
      <w:b/>
      <w:bCs/>
      <w:spacing w:val="-2"/>
      <w:sz w:val="22"/>
      <w:szCs w:val="22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DB2B5B"/>
    <w:rPr>
      <w:rFonts w:asciiTheme="minorHAnsi" w:eastAsiaTheme="minorEastAsia" w:hAnsiTheme="minorHAnsi" w:cstheme="minorBidi"/>
      <w:spacing w:val="-2"/>
      <w:sz w:val="24"/>
      <w:szCs w:val="24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DB2B5B"/>
    <w:rPr>
      <w:rFonts w:asciiTheme="minorHAnsi" w:eastAsiaTheme="minorEastAsia" w:hAnsiTheme="minorHAnsi" w:cstheme="minorBidi"/>
      <w:i/>
      <w:iCs/>
      <w:spacing w:val="-2"/>
      <w:sz w:val="24"/>
      <w:szCs w:val="24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DB2B5B"/>
    <w:rPr>
      <w:rFonts w:asciiTheme="majorHAnsi" w:eastAsiaTheme="majorEastAsia" w:hAnsiTheme="majorHAnsi" w:cstheme="majorBidi"/>
      <w:spacing w:val="-2"/>
      <w:sz w:val="22"/>
      <w:szCs w:val="22"/>
      <w:lang w:val="en-GB"/>
    </w:rPr>
  </w:style>
  <w:style w:type="paragraph" w:styleId="Title">
    <w:name w:val="Title"/>
    <w:basedOn w:val="Normal"/>
    <w:next w:val="Normal"/>
    <w:link w:val="TitleChar"/>
    <w:qFormat/>
    <w:rsid w:val="00DB2B5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TitleChar">
    <w:name w:val="Title Char"/>
    <w:basedOn w:val="DefaultParagraphFont"/>
    <w:link w:val="Title"/>
    <w:rsid w:val="00DB2B5B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qFormat/>
    <w:rsid w:val="00DB2B5B"/>
    <w:pPr>
      <w:numPr>
        <w:ilvl w:val="1"/>
      </w:numPr>
      <w:spacing w:line="240" w:lineRule="auto"/>
    </w:pPr>
    <w:rPr>
      <w:rFonts w:eastAsiaTheme="minorEastAsia"/>
      <w:color w:val="5A5A5A" w:themeColor="text1" w:themeTint="A5"/>
      <w:spacing w:val="15"/>
      <w:lang w:val="en-GB"/>
    </w:rPr>
  </w:style>
  <w:style w:type="character" w:customStyle="1" w:styleId="SubtitleChar">
    <w:name w:val="Subtitle Char"/>
    <w:basedOn w:val="DefaultParagraphFont"/>
    <w:link w:val="Subtitle"/>
    <w:rsid w:val="00DB2B5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trong">
    <w:name w:val="Strong"/>
    <w:basedOn w:val="DefaultParagraphFont"/>
    <w:qFormat/>
    <w:rsid w:val="00DB2B5B"/>
    <w:rPr>
      <w:b/>
      <w:bCs/>
    </w:rPr>
  </w:style>
  <w:style w:type="character" w:styleId="Emphasis">
    <w:name w:val="Emphasis"/>
    <w:basedOn w:val="DefaultParagraphFont"/>
    <w:qFormat/>
    <w:rsid w:val="00DB2B5B"/>
    <w:rPr>
      <w:i/>
      <w:iCs/>
    </w:rPr>
  </w:style>
  <w:style w:type="paragraph" w:styleId="NoSpacing">
    <w:name w:val="No Spacing"/>
    <w:uiPriority w:val="1"/>
    <w:qFormat/>
    <w:rsid w:val="00DB2B5B"/>
    <w:rPr>
      <w:rFonts w:ascii="Arial" w:hAnsi="Arial"/>
      <w:spacing w:val="-2"/>
      <w:sz w:val="24"/>
      <w:lang w:val="en-GB"/>
    </w:rPr>
  </w:style>
  <w:style w:type="paragraph" w:styleId="ListParagraph">
    <w:name w:val="List Paragraph"/>
    <w:basedOn w:val="Normal"/>
    <w:uiPriority w:val="34"/>
    <w:qFormat/>
    <w:rsid w:val="00DB2B5B"/>
    <w:pPr>
      <w:spacing w:after="0" w:line="240" w:lineRule="auto"/>
      <w:ind w:left="720"/>
      <w:contextualSpacing/>
    </w:pPr>
    <w:rPr>
      <w:rFonts w:ascii="Arial" w:eastAsia="Times New Roman" w:hAnsi="Arial" w:cs="Times New Roman"/>
      <w:spacing w:val="-2"/>
      <w:sz w:val="24"/>
      <w:szCs w:val="20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DB2B5B"/>
    <w:pPr>
      <w:spacing w:before="200" w:line="240" w:lineRule="auto"/>
      <w:ind w:left="864" w:right="864"/>
      <w:jc w:val="center"/>
    </w:pPr>
    <w:rPr>
      <w:rFonts w:ascii="Arial" w:eastAsia="Times New Roman" w:hAnsi="Arial" w:cs="Times New Roman"/>
      <w:i/>
      <w:iCs/>
      <w:color w:val="404040" w:themeColor="text1" w:themeTint="BF"/>
      <w:spacing w:val="-2"/>
      <w:sz w:val="24"/>
      <w:szCs w:val="20"/>
      <w:lang w:val="en-GB"/>
    </w:rPr>
  </w:style>
  <w:style w:type="character" w:customStyle="1" w:styleId="QuoteChar">
    <w:name w:val="Quote Char"/>
    <w:basedOn w:val="DefaultParagraphFont"/>
    <w:link w:val="Quote"/>
    <w:uiPriority w:val="29"/>
    <w:rsid w:val="00DB2B5B"/>
    <w:rPr>
      <w:rFonts w:ascii="Arial" w:hAnsi="Arial"/>
      <w:i/>
      <w:iCs/>
      <w:color w:val="404040" w:themeColor="text1" w:themeTint="BF"/>
      <w:spacing w:val="-2"/>
      <w:sz w:val="24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2B5B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 w:line="240" w:lineRule="auto"/>
      <w:ind w:left="864" w:right="864"/>
      <w:jc w:val="center"/>
    </w:pPr>
    <w:rPr>
      <w:rFonts w:ascii="Arial" w:eastAsiaTheme="majorEastAsia" w:hAnsi="Arial" w:cstheme="majorBidi"/>
      <w:i/>
      <w:iCs/>
      <w:color w:val="4F81BD" w:themeColor="accent1"/>
      <w:spacing w:val="-2"/>
      <w:sz w:val="24"/>
      <w:szCs w:val="20"/>
      <w:lang w:val="en-GB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2B5B"/>
    <w:rPr>
      <w:rFonts w:ascii="Arial" w:eastAsiaTheme="majorEastAsia" w:hAnsi="Arial" w:cstheme="majorBidi"/>
      <w:i/>
      <w:iCs/>
      <w:color w:val="4F81BD" w:themeColor="accent1"/>
      <w:spacing w:val="-2"/>
      <w:sz w:val="24"/>
      <w:lang w:val="en-GB"/>
    </w:rPr>
  </w:style>
  <w:style w:type="character" w:styleId="SubtleEmphasis">
    <w:name w:val="Subtle Emphasis"/>
    <w:basedOn w:val="DefaultParagraphFont"/>
    <w:uiPriority w:val="19"/>
    <w:qFormat/>
    <w:rsid w:val="00DB2B5B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B2B5B"/>
    <w:rPr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DB2B5B"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DB2B5B"/>
    <w:rPr>
      <w:b/>
      <w:bCs/>
      <w:smallCaps/>
      <w:color w:val="4F81BD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DB2B5B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B2B5B"/>
    <w:pPr>
      <w:keepLines/>
      <w:widowControl/>
      <w:numPr>
        <w:numId w:val="0"/>
      </w:numPr>
      <w:spacing w:before="240"/>
      <w:outlineLvl w:val="9"/>
    </w:pPr>
    <w:rPr>
      <w:rFonts w:asciiTheme="majorHAnsi" w:hAnsiTheme="majorHAnsi"/>
      <w:b w:val="0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theme" Target="theme/theme1.xml"/><Relationship Id="rId5" Type="http://schemas.openxmlformats.org/officeDocument/2006/relationships/chart" Target="charts/chart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hart" Target="charts/chart5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ENTERPRISE\Angela%20Data\PhD_New\Results\Rhinovax%20evaluation\Frequency%20of%20distribution_Ch%204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ENTERPRISE\Angela%20Data\PhD_New\Results\Rhinovax%20evaluation\Frequency%20of%20distribution_Ch%204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ENTERPRISE\Angela%20Data\PhD_New\Results\Rhinovax%20evaluation\Frequency%20of%20distribution_Ch%204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ENTERPRISE\Angela%20Data\PhD_New\Results\Rhinovax%20evaluation\Frequency%20of%20distribution_Ch%204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\\ENTERPRISE\Angela%20Data\PhD_New\Results\Rhinovax%20evaluation\Frequency%20of%20distribution_Ch%204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100" i="1"/>
              <a:t>C. novyi</a:t>
            </a:r>
            <a:endParaRPr lang="en-US" sz="1100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45640238366431"/>
          <c:y val="0.14920551357487799"/>
          <c:w val="0.83872629128905996"/>
          <c:h val="0.54995740286562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Sheet1!$B$3</c:f>
              <c:strCache>
                <c:ptCount val="1"/>
                <c:pt idx="0">
                  <c:v>C. novyi - Registered cattle vaccine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cat>
            <c:strRef>
              <c:f>Sheet1!$A$4:$A$11</c:f>
              <c:strCache>
                <c:ptCount val="8"/>
                <c:pt idx="0">
                  <c:v>0.1-0.49</c:v>
                </c:pt>
                <c:pt idx="1">
                  <c:v>0.5-0.99</c:v>
                </c:pt>
                <c:pt idx="2">
                  <c:v>1.0-1.49</c:v>
                </c:pt>
                <c:pt idx="3">
                  <c:v>1.50-1.99</c:v>
                </c:pt>
                <c:pt idx="4">
                  <c:v>2.0-2.49</c:v>
                </c:pt>
                <c:pt idx="5">
                  <c:v>2.5-2.99</c:v>
                </c:pt>
                <c:pt idx="6">
                  <c:v>3.0-3.49</c:v>
                </c:pt>
                <c:pt idx="7">
                  <c:v>≥3.5</c:v>
                </c:pt>
              </c:strCache>
            </c:strRef>
          </c:cat>
          <c:val>
            <c:numRef>
              <c:f>Sheet1!$C$4:$C$11</c:f>
              <c:numCache>
                <c:formatCode>General</c:formatCode>
                <c:ptCount val="8"/>
                <c:pt idx="0">
                  <c:v>4.225352112676056</c:v>
                </c:pt>
                <c:pt idx="1">
                  <c:v>7.042253521126761</c:v>
                </c:pt>
                <c:pt idx="2">
                  <c:v>11.26760563380282</c:v>
                </c:pt>
                <c:pt idx="3">
                  <c:v>11.26760563380282</c:v>
                </c:pt>
                <c:pt idx="4">
                  <c:v>9.8591549295774694</c:v>
                </c:pt>
                <c:pt idx="5">
                  <c:v>4.225352112676056</c:v>
                </c:pt>
                <c:pt idx="6">
                  <c:v>2.816901408450704</c:v>
                </c:pt>
                <c:pt idx="7">
                  <c:v>49.295774647887328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29F-4C54-B1E4-58620397338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-473750944"/>
        <c:axId val="-473752576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Sheet1!$D$3</c15:sqref>
                        </c15:formulaRef>
                      </c:ext>
                    </c:extLst>
                    <c:strCache>
                      <c:ptCount val="1"/>
                      <c:pt idx="0">
                        <c:v>C. novyi - Rhinovax vaccine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Sheet1!$A$4:$A$11</c15:sqref>
                        </c15:formulaRef>
                      </c:ext>
                    </c:extLst>
                    <c:strCache>
                      <c:ptCount val="8"/>
                      <c:pt idx="0">
                        <c:v>0.1-0.49</c:v>
                      </c:pt>
                      <c:pt idx="1">
                        <c:v>0.5-0.99</c:v>
                      </c:pt>
                      <c:pt idx="2">
                        <c:v>1.0-1.49</c:v>
                      </c:pt>
                      <c:pt idx="3">
                        <c:v>1.50-1.99</c:v>
                      </c:pt>
                      <c:pt idx="4">
                        <c:v>2.0-2.49</c:v>
                      </c:pt>
                      <c:pt idx="5">
                        <c:v>2.5-2.99</c:v>
                      </c:pt>
                      <c:pt idx="6">
                        <c:v>3.0-3.49</c:v>
                      </c:pt>
                      <c:pt idx="7">
                        <c:v>≥3.5</c:v>
                      </c:pt>
                    </c:strCache>
                  </c:strRef>
                </c:cat>
                <c:val>
                  <c:numRef>
                    <c:extLst xmlns:c16r2="http://schemas.microsoft.com/office/drawing/2015/06/chart">
                      <c:ext uri="{02D57815-91ED-43cb-92C2-25804820EDAC}">
                        <c15:formulaRef>
                          <c15:sqref>Sheet1!$E$4:$E$11</c15:sqref>
                        </c15:formulaRef>
                      </c:ext>
                    </c:extLst>
                    <c:numCache>
                      <c:formatCode>General</c:formatCode>
                      <c:ptCount val="8"/>
                      <c:pt idx="0">
                        <c:v>0</c:v>
                      </c:pt>
                      <c:pt idx="1">
                        <c:v>0</c:v>
                      </c:pt>
                      <c:pt idx="2">
                        <c:v>9.5238095238095237</c:v>
                      </c:pt>
                      <c:pt idx="3">
                        <c:v>14.285714285714301</c:v>
                      </c:pt>
                      <c:pt idx="4">
                        <c:v>9.5238095238095237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66.666666666666643</c:v>
                      </c:pt>
                    </c:numCache>
                  </c:numRef>
                </c:val>
                <c:extLst xmlns:c16r2="http://schemas.microsoft.com/office/drawing/2015/06/chart">
                  <c:ext xmlns:c16="http://schemas.microsoft.com/office/drawing/2014/chart" uri="{C3380CC4-5D6E-409C-BE32-E72D297353CC}">
                    <c16:uniqueId val="{00000001-629F-4C54-B1E4-586203973380}"/>
                  </c:ext>
                </c:extLst>
              </c15:ser>
            </c15:filteredBarSeries>
          </c:ext>
        </c:extLst>
      </c:barChart>
      <c:catAx>
        <c:axId val="-47375094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0" i="0" baseline="0">
                    <a:effectLst/>
                  </a:rPr>
                  <a:t>Relative Units</a:t>
                </a:r>
                <a:endParaRPr lang="en-ZA" sz="1000">
                  <a:effectLst/>
                </a:endParaRP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473752576"/>
        <c:crosses val="autoZero"/>
        <c:auto val="1"/>
        <c:lblAlgn val="ctr"/>
        <c:lblOffset val="100"/>
        <c:noMultiLvlLbl val="0"/>
      </c:catAx>
      <c:valAx>
        <c:axId val="-4737525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Samples (%)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4737509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100" i="1"/>
              <a:t>C. sordellii</a:t>
            </a:r>
            <a:endParaRPr lang="en-ZA" sz="1100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63062863043759"/>
          <c:y val="0.18176099416144401"/>
          <c:w val="0.786539451298229"/>
          <c:h val="0.52019583266377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Sheet1!$L$3</c:f>
              <c:strCache>
                <c:ptCount val="1"/>
                <c:pt idx="0">
                  <c:v>C. sordellii - Registered cattle vaccine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cat>
            <c:strRef>
              <c:f>Sheet1!$K$4:$K$11</c:f>
              <c:strCache>
                <c:ptCount val="8"/>
                <c:pt idx="0">
                  <c:v>0.1-0.49</c:v>
                </c:pt>
                <c:pt idx="1">
                  <c:v>0.5-0.99</c:v>
                </c:pt>
                <c:pt idx="2">
                  <c:v>1.0-1.49</c:v>
                </c:pt>
                <c:pt idx="3">
                  <c:v>1.50-1.99</c:v>
                </c:pt>
                <c:pt idx="4">
                  <c:v>2.0-2.49</c:v>
                </c:pt>
                <c:pt idx="5">
                  <c:v>2.5-2.99</c:v>
                </c:pt>
                <c:pt idx="6">
                  <c:v>3.0-3.49</c:v>
                </c:pt>
                <c:pt idx="7">
                  <c:v>≥3.5</c:v>
                </c:pt>
              </c:strCache>
            </c:strRef>
          </c:cat>
          <c:val>
            <c:numRef>
              <c:f>Sheet1!$M$4:$M$11</c:f>
              <c:numCache>
                <c:formatCode>General</c:formatCode>
                <c:ptCount val="8"/>
                <c:pt idx="0">
                  <c:v>14.49275362318841</c:v>
                </c:pt>
                <c:pt idx="1">
                  <c:v>15.942028985507241</c:v>
                </c:pt>
                <c:pt idx="2">
                  <c:v>2.8985507246376812</c:v>
                </c:pt>
                <c:pt idx="3">
                  <c:v>0</c:v>
                </c:pt>
                <c:pt idx="4">
                  <c:v>1.449275362318841</c:v>
                </c:pt>
                <c:pt idx="5">
                  <c:v>0</c:v>
                </c:pt>
                <c:pt idx="6">
                  <c:v>0</c:v>
                </c:pt>
                <c:pt idx="7">
                  <c:v>65.217391304347899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A78-4336-BE0D-641E265C5E1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-473751488"/>
        <c:axId val="-473750400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Sheet1!$N$3</c15:sqref>
                        </c15:formulaRef>
                      </c:ext>
                    </c:extLst>
                    <c:strCache>
                      <c:ptCount val="1"/>
                      <c:pt idx="0">
                        <c:v>C. sordellii - Rhinovax vaccine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Sheet1!$K$4:$K$11</c15:sqref>
                        </c15:formulaRef>
                      </c:ext>
                    </c:extLst>
                    <c:strCache>
                      <c:ptCount val="8"/>
                      <c:pt idx="0">
                        <c:v>0.1-0.49</c:v>
                      </c:pt>
                      <c:pt idx="1">
                        <c:v>0.5-0.99</c:v>
                      </c:pt>
                      <c:pt idx="2">
                        <c:v>1.0-1.49</c:v>
                      </c:pt>
                      <c:pt idx="3">
                        <c:v>1.50-1.99</c:v>
                      </c:pt>
                      <c:pt idx="4">
                        <c:v>2.0-2.49</c:v>
                      </c:pt>
                      <c:pt idx="5">
                        <c:v>2.5-2.99</c:v>
                      </c:pt>
                      <c:pt idx="6">
                        <c:v>3.0-3.49</c:v>
                      </c:pt>
                      <c:pt idx="7">
                        <c:v>≥3.5</c:v>
                      </c:pt>
                    </c:strCache>
                  </c:strRef>
                </c:cat>
                <c:val>
                  <c:numRef>
                    <c:extLst xmlns:c16r2="http://schemas.microsoft.com/office/drawing/2015/06/chart">
                      <c:ext uri="{02D57815-91ED-43cb-92C2-25804820EDAC}">
                        <c15:formulaRef>
                          <c15:sqref>Sheet1!$O$4:$O$11</c15:sqref>
                        </c15:formulaRef>
                      </c:ext>
                    </c:extLst>
                    <c:numCache>
                      <c:formatCode>General</c:formatCode>
                      <c:ptCount val="8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100</c:v>
                      </c:pt>
                    </c:numCache>
                  </c:numRef>
                </c:val>
                <c:extLst xmlns:c16r2="http://schemas.microsoft.com/office/drawing/2015/06/chart">
                  <c:ext xmlns:c16="http://schemas.microsoft.com/office/drawing/2014/chart" uri="{C3380CC4-5D6E-409C-BE32-E72D297353CC}">
                    <c16:uniqueId val="{00000001-AA78-4336-BE0D-641E265C5E1F}"/>
                  </c:ext>
                </c:extLst>
              </c15:ser>
            </c15:filteredBarSeries>
          </c:ext>
        </c:extLst>
      </c:barChart>
      <c:catAx>
        <c:axId val="-47375148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Relative Units</a:t>
                </a:r>
                <a:endParaRPr lang="en-ZA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473750400"/>
        <c:crosses val="autoZero"/>
        <c:auto val="1"/>
        <c:lblAlgn val="ctr"/>
        <c:lblOffset val="100"/>
        <c:noMultiLvlLbl val="0"/>
      </c:catAx>
      <c:valAx>
        <c:axId val="-473750400"/>
        <c:scaling>
          <c:orientation val="minMax"/>
          <c:max val="105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Samples (%)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4737514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100" i="1"/>
              <a:t>C. chauvoei</a:t>
            </a:r>
            <a:endParaRPr lang="en-ZA" sz="1100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4616147903142199"/>
          <c:y val="0.18028465953950901"/>
          <c:w val="0.80966537490023704"/>
          <c:h val="0.5578759362396780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Sheet1!$G$3</c:f>
              <c:strCache>
                <c:ptCount val="1"/>
                <c:pt idx="0">
                  <c:v>C. chauvoei - Registered cattle vaccine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cat>
            <c:strRef>
              <c:f>Sheet1!$F$4:$F$13</c:f>
              <c:strCache>
                <c:ptCount val="10"/>
                <c:pt idx="0">
                  <c:v>0-9.9</c:v>
                </c:pt>
                <c:pt idx="1">
                  <c:v>10-19.9</c:v>
                </c:pt>
                <c:pt idx="2">
                  <c:v>20-29.9</c:v>
                </c:pt>
                <c:pt idx="3">
                  <c:v>30-39.9</c:v>
                </c:pt>
                <c:pt idx="4">
                  <c:v>40-49.9</c:v>
                </c:pt>
                <c:pt idx="5">
                  <c:v>50-59.9</c:v>
                </c:pt>
                <c:pt idx="6">
                  <c:v>60-69.9</c:v>
                </c:pt>
                <c:pt idx="7">
                  <c:v>70-79.9</c:v>
                </c:pt>
                <c:pt idx="8">
                  <c:v>80-89.9</c:v>
                </c:pt>
                <c:pt idx="9">
                  <c:v>90-100</c:v>
                </c:pt>
              </c:strCache>
            </c:strRef>
          </c:cat>
          <c:val>
            <c:numRef>
              <c:f>Sheet1!$H$4:$H$13</c:f>
              <c:numCache>
                <c:formatCode>General</c:formatCode>
                <c:ptCount val="10"/>
                <c:pt idx="0">
                  <c:v>24</c:v>
                </c:pt>
                <c:pt idx="1">
                  <c:v>32</c:v>
                </c:pt>
                <c:pt idx="2">
                  <c:v>14.66666666666667</c:v>
                </c:pt>
                <c:pt idx="3">
                  <c:v>9.3333333333333357</c:v>
                </c:pt>
                <c:pt idx="4">
                  <c:v>13.33333333333333</c:v>
                </c:pt>
                <c:pt idx="5">
                  <c:v>1.333333333333333</c:v>
                </c:pt>
                <c:pt idx="6">
                  <c:v>2.666666666666667</c:v>
                </c:pt>
                <c:pt idx="7">
                  <c:v>0</c:v>
                </c:pt>
                <c:pt idx="8">
                  <c:v>0</c:v>
                </c:pt>
                <c:pt idx="9">
                  <c:v>2.666666666666667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620-4589-BA37-A42F85CC827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-349062720"/>
        <c:axId val="-349062176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Sheet1!$I$3</c15:sqref>
                        </c15:formulaRef>
                      </c:ext>
                    </c:extLst>
                    <c:strCache>
                      <c:ptCount val="1"/>
                      <c:pt idx="0">
                        <c:v>C. chauvoei - Rhinovax vaccination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Sheet1!$F$4:$F$13</c15:sqref>
                        </c15:formulaRef>
                      </c:ext>
                    </c:extLst>
                    <c:strCache>
                      <c:ptCount val="10"/>
                      <c:pt idx="0">
                        <c:v>0-9.9</c:v>
                      </c:pt>
                      <c:pt idx="1">
                        <c:v>10-19.9</c:v>
                      </c:pt>
                      <c:pt idx="2">
                        <c:v>20-29.9</c:v>
                      </c:pt>
                      <c:pt idx="3">
                        <c:v>30-39.9</c:v>
                      </c:pt>
                      <c:pt idx="4">
                        <c:v>40-49.9</c:v>
                      </c:pt>
                      <c:pt idx="5">
                        <c:v>50-59.9</c:v>
                      </c:pt>
                      <c:pt idx="6">
                        <c:v>60-69.9</c:v>
                      </c:pt>
                      <c:pt idx="7">
                        <c:v>70-79.9</c:v>
                      </c:pt>
                      <c:pt idx="8">
                        <c:v>80-89.9</c:v>
                      </c:pt>
                      <c:pt idx="9">
                        <c:v>90-100</c:v>
                      </c:pt>
                    </c:strCache>
                  </c:strRef>
                </c:cat>
                <c:val>
                  <c:numRef>
                    <c:extLst xmlns:c16r2="http://schemas.microsoft.com/office/drawing/2015/06/chart">
                      <c:ext uri="{02D57815-91ED-43cb-92C2-25804820EDAC}">
                        <c15:formulaRef>
                          <c15:sqref>Sheet1!$J$4:$J$13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4.7619047619047619</c:v>
                      </c:pt>
                      <c:pt idx="4">
                        <c:v>14.285714285714301</c:v>
                      </c:pt>
                      <c:pt idx="5">
                        <c:v>9.5238095238095237</c:v>
                      </c:pt>
                      <c:pt idx="6">
                        <c:v>14.285714285714301</c:v>
                      </c:pt>
                      <c:pt idx="7">
                        <c:v>23.809523809523679</c:v>
                      </c:pt>
                      <c:pt idx="8">
                        <c:v>19.04761904761904</c:v>
                      </c:pt>
                      <c:pt idx="9">
                        <c:v>14.285714285714301</c:v>
                      </c:pt>
                    </c:numCache>
                  </c:numRef>
                </c:val>
                <c:extLst xmlns:c16r2="http://schemas.microsoft.com/office/drawing/2015/06/chart">
                  <c:ext xmlns:c16="http://schemas.microsoft.com/office/drawing/2014/chart" uri="{C3380CC4-5D6E-409C-BE32-E72D297353CC}">
                    <c16:uniqueId val="{00000001-9620-4589-BA37-A42F85CC827D}"/>
                  </c:ext>
                </c:extLst>
              </c15:ser>
            </c15:filteredBarSeries>
          </c:ext>
        </c:extLst>
      </c:barChart>
      <c:catAx>
        <c:axId val="-34906272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0" i="0" baseline="0">
                    <a:effectLst/>
                  </a:rPr>
                  <a:t>Relative Units</a:t>
                </a:r>
                <a:endParaRPr lang="en-ZA" sz="1000">
                  <a:effectLst/>
                </a:endParaRP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62176"/>
        <c:crosses val="autoZero"/>
        <c:auto val="1"/>
        <c:lblAlgn val="ctr"/>
        <c:lblOffset val="100"/>
        <c:noMultiLvlLbl val="0"/>
      </c:catAx>
      <c:valAx>
        <c:axId val="-3490621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Samples (%)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627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100" i="1"/>
              <a:t>C. perfringens </a:t>
            </a:r>
            <a:r>
              <a:rPr lang="en-US" sz="1100"/>
              <a:t>type A</a:t>
            </a:r>
            <a:endParaRPr lang="en-ZA" sz="1100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657101275953799"/>
          <c:y val="0.17812759119395799"/>
          <c:w val="0.804857688243515"/>
          <c:h val="0.5492836252611279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Sheet1!$V$3</c:f>
              <c:strCache>
                <c:ptCount val="1"/>
                <c:pt idx="0">
                  <c:v>C. perfringens type A - Registered cattle vaccine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cat>
            <c:strRef>
              <c:f>Sheet1!$U$4:$U$11</c:f>
              <c:strCache>
                <c:ptCount val="8"/>
                <c:pt idx="0">
                  <c:v>0.1-0.49</c:v>
                </c:pt>
                <c:pt idx="1">
                  <c:v>0.5-0.99</c:v>
                </c:pt>
                <c:pt idx="2">
                  <c:v>1.0-1.49</c:v>
                </c:pt>
                <c:pt idx="3">
                  <c:v>1.50-1.99</c:v>
                </c:pt>
                <c:pt idx="4">
                  <c:v>2.0-2.49</c:v>
                </c:pt>
                <c:pt idx="5">
                  <c:v>2.5-2.99</c:v>
                </c:pt>
                <c:pt idx="6">
                  <c:v>3.0-3.49</c:v>
                </c:pt>
                <c:pt idx="7">
                  <c:v>≥3.5</c:v>
                </c:pt>
              </c:strCache>
            </c:strRef>
          </c:cat>
          <c:val>
            <c:numRef>
              <c:f>Sheet1!$W$4:$W$11</c:f>
              <c:numCache>
                <c:formatCode>General</c:formatCode>
                <c:ptCount val="8"/>
                <c:pt idx="0">
                  <c:v>1.408450704225352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98.591549295774655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463-4A72-8128-98B8E021810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-349063264"/>
        <c:axId val="-349059456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Sheet1!$X$3</c15:sqref>
                        </c15:formulaRef>
                      </c:ext>
                    </c:extLst>
                    <c:strCache>
                      <c:ptCount val="1"/>
                      <c:pt idx="0">
                        <c:v>C. perfringens type A - Rhinovax vaccine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Sheet1!$U$4:$U$11</c15:sqref>
                        </c15:formulaRef>
                      </c:ext>
                    </c:extLst>
                    <c:strCache>
                      <c:ptCount val="8"/>
                      <c:pt idx="0">
                        <c:v>0.1-0.49</c:v>
                      </c:pt>
                      <c:pt idx="1">
                        <c:v>0.5-0.99</c:v>
                      </c:pt>
                      <c:pt idx="2">
                        <c:v>1.0-1.49</c:v>
                      </c:pt>
                      <c:pt idx="3">
                        <c:v>1.50-1.99</c:v>
                      </c:pt>
                      <c:pt idx="4">
                        <c:v>2.0-2.49</c:v>
                      </c:pt>
                      <c:pt idx="5">
                        <c:v>2.5-2.99</c:v>
                      </c:pt>
                      <c:pt idx="6">
                        <c:v>3.0-3.49</c:v>
                      </c:pt>
                      <c:pt idx="7">
                        <c:v>≥3.5</c:v>
                      </c:pt>
                    </c:strCache>
                  </c:strRef>
                </c:cat>
                <c:val>
                  <c:numRef>
                    <c:extLst xmlns:c16r2="http://schemas.microsoft.com/office/drawing/2015/06/chart">
                      <c:ext uri="{02D57815-91ED-43cb-92C2-25804820EDAC}">
                        <c15:formulaRef>
                          <c15:sqref>Sheet1!$Y$4:$Y$11</c15:sqref>
                        </c15:formulaRef>
                      </c:ext>
                    </c:extLst>
                    <c:numCache>
                      <c:formatCode>General</c:formatCode>
                      <c:ptCount val="8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100</c:v>
                      </c:pt>
                    </c:numCache>
                  </c:numRef>
                </c:val>
                <c:extLst xmlns:c16r2="http://schemas.microsoft.com/office/drawing/2015/06/chart">
                  <c:ext xmlns:c16="http://schemas.microsoft.com/office/drawing/2014/chart" uri="{C3380CC4-5D6E-409C-BE32-E72D297353CC}">
                    <c16:uniqueId val="{00000001-1463-4A72-8128-98B8E0218101}"/>
                  </c:ext>
                </c:extLst>
              </c15:ser>
            </c15:filteredBarSeries>
          </c:ext>
        </c:extLst>
      </c:barChart>
      <c:catAx>
        <c:axId val="-34906326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Relative Units</a:t>
                </a:r>
                <a:endParaRPr lang="en-ZA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59456"/>
        <c:crosses val="autoZero"/>
        <c:auto val="1"/>
        <c:lblAlgn val="ctr"/>
        <c:lblOffset val="100"/>
        <c:noMultiLvlLbl val="0"/>
      </c:catAx>
      <c:valAx>
        <c:axId val="-3490594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0" i="0" baseline="0">
                    <a:effectLst/>
                  </a:rPr>
                  <a:t>Samples (%)</a:t>
                </a:r>
                <a:endParaRPr lang="en-ZA" sz="1000">
                  <a:effectLst/>
                </a:endParaRP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632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100" i="1"/>
              <a:t>C. septicum</a:t>
            </a:r>
            <a:endParaRPr lang="en-ZA" sz="1100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8679507206242199"/>
          <c:y val="0.184583483081212"/>
          <c:w val="0.78461566215390599"/>
          <c:h val="0.5255978479868439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Sheet1!$Q$3</c:f>
              <c:strCache>
                <c:ptCount val="1"/>
                <c:pt idx="0">
                  <c:v>C. septicum - Registered cattle vaccine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cat>
            <c:strRef>
              <c:f>Sheet1!$P$4:$P$11</c:f>
              <c:strCache>
                <c:ptCount val="8"/>
                <c:pt idx="0">
                  <c:v>0.1-0.49</c:v>
                </c:pt>
                <c:pt idx="1">
                  <c:v>0.5-0.99</c:v>
                </c:pt>
                <c:pt idx="2">
                  <c:v>1.0-1.49</c:v>
                </c:pt>
                <c:pt idx="3">
                  <c:v>1.50-1.99</c:v>
                </c:pt>
                <c:pt idx="4">
                  <c:v>2.0-2.49</c:v>
                </c:pt>
                <c:pt idx="5">
                  <c:v>2.5-2.99</c:v>
                </c:pt>
                <c:pt idx="6">
                  <c:v>3.0-3.49</c:v>
                </c:pt>
                <c:pt idx="7">
                  <c:v>≥3.5</c:v>
                </c:pt>
              </c:strCache>
            </c:strRef>
          </c:cat>
          <c:val>
            <c:numRef>
              <c:f>Sheet1!$R$4:$R$11</c:f>
              <c:numCache>
                <c:formatCode>General</c:formatCode>
                <c:ptCount val="8"/>
                <c:pt idx="0">
                  <c:v>1.449275362318841</c:v>
                </c:pt>
                <c:pt idx="1">
                  <c:v>0</c:v>
                </c:pt>
                <c:pt idx="2">
                  <c:v>1.449275362318841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97.101449275362313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9E3-4FA8-87F1-8A424B43BA4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-349057280"/>
        <c:axId val="-349060000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Sheet1!$S$3</c15:sqref>
                        </c15:formulaRef>
                      </c:ext>
                    </c:extLst>
                    <c:strCache>
                      <c:ptCount val="1"/>
                      <c:pt idx="0">
                        <c:v>C. septicum - Rhinovax vaccine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Sheet1!$P$4:$P$11</c15:sqref>
                        </c15:formulaRef>
                      </c:ext>
                    </c:extLst>
                    <c:strCache>
                      <c:ptCount val="8"/>
                      <c:pt idx="0">
                        <c:v>0.1-0.49</c:v>
                      </c:pt>
                      <c:pt idx="1">
                        <c:v>0.5-0.99</c:v>
                      </c:pt>
                      <c:pt idx="2">
                        <c:v>1.0-1.49</c:v>
                      </c:pt>
                      <c:pt idx="3">
                        <c:v>1.50-1.99</c:v>
                      </c:pt>
                      <c:pt idx="4">
                        <c:v>2.0-2.49</c:v>
                      </c:pt>
                      <c:pt idx="5">
                        <c:v>2.5-2.99</c:v>
                      </c:pt>
                      <c:pt idx="6">
                        <c:v>3.0-3.49</c:v>
                      </c:pt>
                      <c:pt idx="7">
                        <c:v>≥3.5</c:v>
                      </c:pt>
                    </c:strCache>
                  </c:strRef>
                </c:cat>
                <c:val>
                  <c:numRef>
                    <c:extLst xmlns:c16r2="http://schemas.microsoft.com/office/drawing/2015/06/chart">
                      <c:ext uri="{02D57815-91ED-43cb-92C2-25804820EDAC}">
                        <c15:formulaRef>
                          <c15:sqref>Sheet1!$T$4:$T$11</c15:sqref>
                        </c15:formulaRef>
                      </c:ext>
                    </c:extLst>
                    <c:numCache>
                      <c:formatCode>General</c:formatCode>
                      <c:ptCount val="8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100</c:v>
                      </c:pt>
                    </c:numCache>
                  </c:numRef>
                </c:val>
                <c:extLst xmlns:c16r2="http://schemas.microsoft.com/office/drawing/2015/06/chart">
                  <c:ext xmlns:c16="http://schemas.microsoft.com/office/drawing/2014/chart" uri="{C3380CC4-5D6E-409C-BE32-E72D297353CC}">
                    <c16:uniqueId val="{00000001-A9E3-4FA8-87F1-8A424B43BA44}"/>
                  </c:ext>
                </c:extLst>
              </c15:ser>
            </c15:filteredBarSeries>
          </c:ext>
        </c:extLst>
      </c:barChart>
      <c:catAx>
        <c:axId val="-34905728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Relative Units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60000"/>
        <c:crosses val="autoZero"/>
        <c:auto val="1"/>
        <c:lblAlgn val="ctr"/>
        <c:lblOffset val="100"/>
        <c:noMultiLvlLbl val="0"/>
      </c:catAx>
      <c:valAx>
        <c:axId val="-3490600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0" i="0" baseline="0">
                    <a:effectLst/>
                  </a:rPr>
                  <a:t>Samples (%)</a:t>
                </a:r>
                <a:endParaRPr lang="en-ZA" sz="1000">
                  <a:effectLst/>
                </a:endParaRP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-34905728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391</Characters>
  <Application>Microsoft Office Word</Application>
  <DocSecurity>0</DocSecurity>
  <Lines>3</Lines>
  <Paragraphs>1</Paragraphs>
  <ScaleCrop>false</ScaleCrop>
  <Company/>
  <LinksUpToDate>false</LinksUpToDate>
  <CharactersWithSpaces>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Buys</dc:creator>
  <cp:keywords/>
  <dc:description/>
  <cp:lastModifiedBy>Arun Vennila G.</cp:lastModifiedBy>
  <cp:revision>2</cp:revision>
  <dcterms:created xsi:type="dcterms:W3CDTF">2020-09-17T10:27:00Z</dcterms:created>
  <dcterms:modified xsi:type="dcterms:W3CDTF">2020-09-22T13:59:00Z</dcterms:modified>
</cp:coreProperties>
</file>