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9DB" w:rsidRPr="00637483" w:rsidRDefault="00637483" w:rsidP="00637483">
      <w:pPr>
        <w:jc w:val="center"/>
        <w:rPr>
          <w:b/>
        </w:rPr>
      </w:pPr>
      <w:r w:rsidRPr="00637483">
        <w:rPr>
          <w:b/>
        </w:rPr>
        <w:t>Supplementary Information</w:t>
      </w:r>
    </w:p>
    <w:p w:rsidR="00637483" w:rsidRDefault="00637483"/>
    <w:p w:rsidR="00637483" w:rsidRPr="0054011B" w:rsidRDefault="00637483" w:rsidP="00637483">
      <w:pPr>
        <w:jc w:val="both"/>
      </w:pPr>
      <w:r>
        <w:rPr>
          <w:b/>
        </w:rPr>
        <w:t xml:space="preserve">Title: </w:t>
      </w:r>
      <w:r w:rsidR="00E76C12" w:rsidRPr="002E69E7">
        <w:t xml:space="preserve">Epidemiological cut-offs for Sensititre </w:t>
      </w:r>
      <w:r w:rsidR="00E76C12" w:rsidRPr="0054011B">
        <w:t xml:space="preserve">susceptibility testing </w:t>
      </w:r>
      <w:r w:rsidR="00E76C12">
        <w:t>of</w:t>
      </w:r>
      <w:r w:rsidR="00E76C12" w:rsidRPr="0054011B">
        <w:t xml:space="preserve"> </w:t>
      </w:r>
      <w:r w:rsidR="00E76C12" w:rsidRPr="00846B6D">
        <w:rPr>
          <w:i/>
        </w:rPr>
        <w:t>Mycobacterium tuberculosis</w:t>
      </w:r>
      <w:r w:rsidR="00E76C12" w:rsidRPr="0054011B">
        <w:t>: interpretive criteria cross validated with whole genome sequencing</w:t>
      </w:r>
    </w:p>
    <w:p w:rsidR="00637483" w:rsidRDefault="00637483" w:rsidP="00637483">
      <w:pPr>
        <w:jc w:val="both"/>
      </w:pPr>
    </w:p>
    <w:p w:rsidR="00637483" w:rsidRPr="0096293D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b/>
          <w:lang w:val="en-GB"/>
        </w:rPr>
      </w:pPr>
      <w:r>
        <w:rPr>
          <w:b/>
          <w:lang w:val="en-GB"/>
        </w:rPr>
        <w:t>Authors</w:t>
      </w:r>
      <w:r w:rsidRPr="0096293D">
        <w:rPr>
          <w:b/>
          <w:lang w:val="en-GB"/>
        </w:rPr>
        <w:t>:</w:t>
      </w:r>
    </w:p>
    <w:p w:rsidR="00637483" w:rsidRPr="0096293D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lang w:val="en-GB"/>
        </w:rPr>
      </w:pPr>
      <w:r w:rsidRPr="00420B49">
        <w:rPr>
          <w:lang w:val="en-GB"/>
        </w:rPr>
        <w:t>*Nazir A Ismail</w:t>
      </w:r>
      <w:r>
        <w:rPr>
          <w:vertAlign w:val="superscript"/>
          <w:lang w:val="en-GB"/>
        </w:rPr>
        <w:t>a,b,c</w:t>
      </w:r>
      <w:r>
        <w:rPr>
          <w:lang w:val="en-GB"/>
        </w:rPr>
        <w:t>, Farzana Ismail</w:t>
      </w:r>
      <w:r>
        <w:rPr>
          <w:vertAlign w:val="superscript"/>
          <w:lang w:val="en-GB"/>
        </w:rPr>
        <w:t>a,b</w:t>
      </w:r>
      <w:r>
        <w:rPr>
          <w:lang w:val="en-GB"/>
        </w:rPr>
        <w:t xml:space="preserve">, </w:t>
      </w:r>
      <w:r w:rsidRPr="00420B49">
        <w:rPr>
          <w:lang w:val="en-GB"/>
        </w:rPr>
        <w:t>Lavania Joseph</w:t>
      </w:r>
      <w:r>
        <w:rPr>
          <w:vertAlign w:val="superscript"/>
          <w:lang w:val="en-GB"/>
        </w:rPr>
        <w:t>a</w:t>
      </w:r>
      <w:r w:rsidRPr="00420B49">
        <w:rPr>
          <w:lang w:val="en-GB"/>
        </w:rPr>
        <w:t>, Netri</w:t>
      </w:r>
      <w:r>
        <w:rPr>
          <w:lang w:val="en-GB"/>
        </w:rPr>
        <w:t>cia</w:t>
      </w:r>
      <w:r w:rsidRPr="00420B49">
        <w:rPr>
          <w:lang w:val="en-GB"/>
        </w:rPr>
        <w:t xml:space="preserve"> Govender</w:t>
      </w:r>
      <w:r>
        <w:rPr>
          <w:vertAlign w:val="superscript"/>
          <w:lang w:val="en-GB"/>
        </w:rPr>
        <w:t>a</w:t>
      </w:r>
      <w:r w:rsidRPr="00420B49">
        <w:rPr>
          <w:lang w:val="en-GB"/>
        </w:rPr>
        <w:t>, Linsay Blows</w:t>
      </w:r>
      <w:r>
        <w:rPr>
          <w:vertAlign w:val="superscript"/>
          <w:lang w:val="en-GB"/>
        </w:rPr>
        <w:t>a</w:t>
      </w:r>
      <w:r w:rsidRPr="00420B49">
        <w:rPr>
          <w:lang w:val="en-GB"/>
        </w:rPr>
        <w:t xml:space="preserve">, </w:t>
      </w:r>
      <w:r>
        <w:rPr>
          <w:lang w:val="en-GB"/>
        </w:rPr>
        <w:t xml:space="preserve">, </w:t>
      </w:r>
      <w:r w:rsidRPr="00420B49">
        <w:rPr>
          <w:lang w:val="en-GB"/>
        </w:rPr>
        <w:t>Kon</w:t>
      </w:r>
      <w:r w:rsidRPr="00420B49">
        <w:rPr>
          <w:rFonts w:cstheme="minorHAnsi"/>
          <w:lang w:val="en-GB"/>
        </w:rPr>
        <w:t>é</w:t>
      </w:r>
      <w:r w:rsidRPr="00420B49">
        <w:rPr>
          <w:lang w:val="en-GB"/>
        </w:rPr>
        <w:t xml:space="preserve"> Kaniga</w:t>
      </w:r>
      <w:r>
        <w:rPr>
          <w:vertAlign w:val="superscript"/>
          <w:lang w:val="en-GB"/>
        </w:rPr>
        <w:t>d</w:t>
      </w:r>
      <w:r w:rsidRPr="00420B49">
        <w:rPr>
          <w:lang w:val="en-GB"/>
        </w:rPr>
        <w:t>, Shaheed V Omar</w:t>
      </w:r>
      <w:r>
        <w:rPr>
          <w:vertAlign w:val="superscript"/>
          <w:lang w:val="en-GB"/>
        </w:rPr>
        <w:t>a</w:t>
      </w:r>
    </w:p>
    <w:p w:rsidR="00637483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lang w:val="en-GB"/>
        </w:rPr>
      </w:pPr>
      <w:r>
        <w:rPr>
          <w:vertAlign w:val="superscript"/>
          <w:lang w:val="en-GB"/>
        </w:rPr>
        <w:t>a</w:t>
      </w:r>
      <w:r w:rsidRPr="00420B49">
        <w:rPr>
          <w:lang w:val="en-GB"/>
        </w:rPr>
        <w:t>National Institute for Communicable Diseases, Centre for Tuberculosis, Johannesburg, South Africa</w:t>
      </w:r>
    </w:p>
    <w:p w:rsidR="00637483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lang w:val="en-GB"/>
        </w:rPr>
      </w:pPr>
      <w:r>
        <w:rPr>
          <w:vertAlign w:val="superscript"/>
          <w:lang w:val="en-GB"/>
        </w:rPr>
        <w:t>b</w:t>
      </w:r>
      <w:r>
        <w:rPr>
          <w:lang w:val="en-GB"/>
        </w:rPr>
        <w:t>Department of Medical Microbiology, University of Pretoria, Pretoria, South Africa</w:t>
      </w:r>
    </w:p>
    <w:p w:rsidR="00637483" w:rsidRPr="00420B49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lang w:val="en-GB"/>
        </w:rPr>
      </w:pPr>
      <w:r>
        <w:rPr>
          <w:vertAlign w:val="superscript"/>
          <w:lang w:val="en-GB"/>
        </w:rPr>
        <w:t>c</w:t>
      </w:r>
      <w:r>
        <w:rPr>
          <w:lang w:val="en-GB"/>
        </w:rPr>
        <w:t>Department of Internal Medicine, University of Witwatersrand, Johannesburg, South Africa</w:t>
      </w:r>
    </w:p>
    <w:p w:rsidR="00637483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lang w:val="en-GB"/>
        </w:rPr>
      </w:pPr>
      <w:r>
        <w:rPr>
          <w:vertAlign w:val="superscript"/>
          <w:lang w:val="en-GB"/>
        </w:rPr>
        <w:t>d</w:t>
      </w:r>
      <w:r w:rsidRPr="00420B49">
        <w:rPr>
          <w:lang w:val="en-GB"/>
        </w:rPr>
        <w:t>Janssen Research &amp; Development, Titusville, NJ, United States of America</w:t>
      </w:r>
    </w:p>
    <w:p w:rsidR="00637483" w:rsidRPr="00555794" w:rsidRDefault="00637483" w:rsidP="00637483">
      <w:pPr>
        <w:autoSpaceDE w:val="0"/>
        <w:autoSpaceDN w:val="0"/>
        <w:adjustRightInd w:val="0"/>
        <w:spacing w:after="0" w:line="480" w:lineRule="auto"/>
        <w:jc w:val="both"/>
        <w:rPr>
          <w:lang w:val="en-GB"/>
        </w:rPr>
      </w:pP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>Corresponding author:</w:t>
      </w: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>Prof Nazir Ahmed Ismail</w:t>
      </w: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 xml:space="preserve">Centre for Tuberculosis, </w:t>
      </w:r>
      <w:r w:rsidRPr="00872E57">
        <w:rPr>
          <w:lang w:val="en-GB"/>
        </w:rPr>
        <w:t>National</w:t>
      </w:r>
      <w:r>
        <w:rPr>
          <w:lang w:val="en-GB"/>
        </w:rPr>
        <w:t xml:space="preserve"> </w:t>
      </w:r>
      <w:r w:rsidRPr="00872E57">
        <w:rPr>
          <w:lang w:val="en-GB"/>
        </w:rPr>
        <w:t>Institute for Communicable</w:t>
      </w:r>
      <w:r>
        <w:rPr>
          <w:lang w:val="en-GB"/>
        </w:rPr>
        <w:t xml:space="preserve"> </w:t>
      </w:r>
      <w:r w:rsidRPr="00872E57">
        <w:rPr>
          <w:lang w:val="en-GB"/>
        </w:rPr>
        <w:t xml:space="preserve">Diseases, </w:t>
      </w: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>A division of the National Health Laboratory Service</w:t>
      </w:r>
    </w:p>
    <w:p w:rsidR="00637483" w:rsidRDefault="00637483" w:rsidP="00637483">
      <w:pPr>
        <w:spacing w:after="0" w:line="480" w:lineRule="auto"/>
        <w:rPr>
          <w:lang w:val="en-GB"/>
        </w:rPr>
      </w:pPr>
      <w:r w:rsidRPr="00872E57">
        <w:rPr>
          <w:lang w:val="en-GB"/>
        </w:rPr>
        <w:t>1 Modderfontein Road,</w:t>
      </w:r>
      <w:r>
        <w:rPr>
          <w:lang w:val="en-GB"/>
        </w:rPr>
        <w:t xml:space="preserve"> </w:t>
      </w:r>
      <w:r w:rsidRPr="00872E57">
        <w:rPr>
          <w:lang w:val="en-GB"/>
        </w:rPr>
        <w:t>Sandringham,</w:t>
      </w:r>
      <w:r>
        <w:rPr>
          <w:lang w:val="en-GB"/>
        </w:rPr>
        <w:t xml:space="preserve"> </w:t>
      </w:r>
      <w:r w:rsidRPr="00872E57">
        <w:rPr>
          <w:lang w:val="en-GB"/>
        </w:rPr>
        <w:t>Johannesburg 2131, South Africa</w:t>
      </w: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>Office: +27-11-8855-321</w:t>
      </w: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>Cell: +27-82-6000-857</w:t>
      </w:r>
    </w:p>
    <w:p w:rsidR="00637483" w:rsidRDefault="00637483" w:rsidP="00637483">
      <w:pPr>
        <w:spacing w:after="0" w:line="480" w:lineRule="auto"/>
        <w:rPr>
          <w:lang w:val="en-GB"/>
        </w:rPr>
      </w:pPr>
      <w:r>
        <w:rPr>
          <w:lang w:val="en-GB"/>
        </w:rPr>
        <w:t xml:space="preserve">Email: </w:t>
      </w:r>
      <w:hyperlink r:id="rId4" w:history="1">
        <w:r w:rsidRPr="00CE5DB3">
          <w:rPr>
            <w:rStyle w:val="Hyperlink"/>
            <w:lang w:val="en-GB"/>
          </w:rPr>
          <w:t>naziri@nicd.ac.za</w:t>
        </w:r>
      </w:hyperlink>
      <w:r>
        <w:rPr>
          <w:lang w:val="en-GB"/>
        </w:rPr>
        <w:t xml:space="preserve"> </w:t>
      </w:r>
    </w:p>
    <w:p w:rsidR="00713502" w:rsidRDefault="00713502">
      <w:r>
        <w:br w:type="page"/>
      </w:r>
    </w:p>
    <w:p w:rsidR="003321EB" w:rsidRDefault="003321EB">
      <w:r w:rsidRPr="003321EB">
        <w:lastRenderedPageBreak/>
        <w:t xml:space="preserve">Table S1: Proportion of false susceptible results due to presence of RAVs applying the </w:t>
      </w:r>
      <w:r w:rsidR="009049C3" w:rsidRPr="009049C3">
        <w:rPr>
          <w:rFonts w:ascii="Calibri" w:eastAsia="Times New Roman" w:hAnsi="Calibri" w:cs="Calibri"/>
          <w:color w:val="000000"/>
          <w:lang w:eastAsia="en-ZA"/>
        </w:rPr>
        <w:t>ECV</w:t>
      </w:r>
      <w:r w:rsidR="009049C3" w:rsidRPr="009049C3">
        <w:rPr>
          <w:rFonts w:ascii="Calibri" w:eastAsia="Times New Roman" w:hAnsi="Calibri" w:cs="Calibri"/>
          <w:color w:val="000000"/>
          <w:vertAlign w:val="superscript"/>
          <w:lang w:eastAsia="en-ZA"/>
        </w:rPr>
        <w:t>99</w:t>
      </w:r>
    </w:p>
    <w:tbl>
      <w:tblPr>
        <w:tblW w:w="6911" w:type="dxa"/>
        <w:tblLook w:val="04A0" w:firstRow="1" w:lastRow="0" w:firstColumn="1" w:lastColumn="0" w:noHBand="0" w:noVBand="1"/>
      </w:tblPr>
      <w:tblGrid>
        <w:gridCol w:w="1391"/>
        <w:gridCol w:w="1380"/>
        <w:gridCol w:w="1380"/>
        <w:gridCol w:w="1380"/>
        <w:gridCol w:w="1380"/>
      </w:tblGrid>
      <w:tr w:rsidR="009049C3" w:rsidRPr="009049C3" w:rsidTr="009049C3">
        <w:trPr>
          <w:trHeight w:val="588"/>
        </w:trPr>
        <w:tc>
          <w:tcPr>
            <w:tcW w:w="13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Drug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9C3" w:rsidRPr="009049C3" w:rsidRDefault="009049C3" w:rsidP="00E76C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ECV</w:t>
            </w:r>
            <w:r w:rsidRPr="009049C3">
              <w:rPr>
                <w:rFonts w:ascii="Calibri" w:eastAsia="Times New Roman" w:hAnsi="Calibri" w:cs="Calibri"/>
                <w:color w:val="000000"/>
                <w:vertAlign w:val="superscript"/>
                <w:lang w:eastAsia="en-ZA"/>
              </w:rPr>
              <w:t>99</w:t>
            </w: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 xml:space="preserve"> (µg/m</w:t>
            </w:r>
            <w:r w:rsidR="00E76C12">
              <w:rPr>
                <w:rFonts w:ascii="Calibri" w:eastAsia="Times New Roman" w:hAnsi="Calibri" w:cs="Calibri"/>
                <w:color w:val="000000"/>
                <w:lang w:eastAsia="en-ZA"/>
              </w:rPr>
              <w:t>L</w:t>
            </w: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)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No. isolates with a RAV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No. false susceptible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% false susceptible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Rifampicin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0.25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321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Isoniazid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0.25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252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7%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Ethambutol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207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Levofloxacin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3%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Moxifloxacin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107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3%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Amikacin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53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Kanamycin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59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Capreomycin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53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Linezolid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0%</w:t>
            </w:r>
          </w:p>
        </w:tc>
      </w:tr>
      <w:tr w:rsidR="009049C3" w:rsidRPr="009049C3" w:rsidTr="009049C3">
        <w:trPr>
          <w:trHeight w:val="300"/>
        </w:trPr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Clofazimine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0.25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C3" w:rsidRPr="009049C3" w:rsidRDefault="009049C3" w:rsidP="009049C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ZA"/>
              </w:rPr>
            </w:pPr>
            <w:r w:rsidRPr="009049C3">
              <w:rPr>
                <w:rFonts w:ascii="Calibri" w:eastAsia="Times New Roman" w:hAnsi="Calibri" w:cs="Calibri"/>
                <w:color w:val="000000"/>
                <w:lang w:eastAsia="en-ZA"/>
              </w:rPr>
              <w:t>11%</w:t>
            </w:r>
          </w:p>
        </w:tc>
      </w:tr>
    </w:tbl>
    <w:p w:rsidR="009049C3" w:rsidRDefault="009049C3" w:rsidP="007B29DB">
      <w:pPr>
        <w:spacing w:after="0"/>
        <w:rPr>
          <w:sz w:val="18"/>
        </w:rPr>
      </w:pPr>
      <w:r w:rsidRPr="009049C3">
        <w:rPr>
          <w:rFonts w:ascii="Calibri" w:eastAsia="Times New Roman" w:hAnsi="Calibri" w:cs="Calibri"/>
          <w:color w:val="000000"/>
          <w:sz w:val="18"/>
          <w:lang w:eastAsia="en-ZA"/>
        </w:rPr>
        <w:t>ECV</w:t>
      </w:r>
      <w:r w:rsidRPr="009049C3">
        <w:rPr>
          <w:rFonts w:ascii="Calibri" w:eastAsia="Times New Roman" w:hAnsi="Calibri" w:cs="Calibri"/>
          <w:color w:val="000000"/>
          <w:sz w:val="18"/>
          <w:vertAlign w:val="superscript"/>
          <w:lang w:eastAsia="en-ZA"/>
        </w:rPr>
        <w:t xml:space="preserve">99: </w:t>
      </w:r>
      <w:r w:rsidRPr="009049C3">
        <w:rPr>
          <w:sz w:val="18"/>
        </w:rPr>
        <w:t>Epidemiological cut-off value (99%)</w:t>
      </w:r>
    </w:p>
    <w:p w:rsidR="009049C3" w:rsidRPr="009049C3" w:rsidRDefault="009049C3">
      <w:pPr>
        <w:rPr>
          <w:sz w:val="18"/>
        </w:rPr>
      </w:pPr>
      <w:r>
        <w:rPr>
          <w:sz w:val="18"/>
        </w:rPr>
        <w:t>RAV: Resistance associated variant</w:t>
      </w:r>
    </w:p>
    <w:p w:rsidR="007B29DB" w:rsidRDefault="007B29DB">
      <w:r>
        <w:br w:type="page"/>
      </w:r>
    </w:p>
    <w:p w:rsidR="007B29DB" w:rsidRDefault="007B29DB" w:rsidP="007B29DB">
      <w:pPr>
        <w:rPr>
          <w:rFonts w:ascii="Calibri" w:eastAsia="Times New Roman" w:hAnsi="Calibri" w:cs="Calibri"/>
          <w:color w:val="000000"/>
          <w:lang w:eastAsia="en-ZA"/>
        </w:rPr>
        <w:sectPr w:rsidR="007B29DB" w:rsidSect="007B29DB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7B29DB" w:rsidRDefault="007B29DB" w:rsidP="007B29DB">
      <w:pPr>
        <w:rPr>
          <w:rFonts w:ascii="Calibri" w:eastAsia="Times New Roman" w:hAnsi="Calibri" w:cs="Calibri"/>
          <w:color w:val="000000"/>
          <w:lang w:eastAsia="en-ZA"/>
        </w:rPr>
      </w:pPr>
      <w:r w:rsidRPr="007B29DB">
        <w:rPr>
          <w:rFonts w:ascii="Calibri" w:eastAsia="Times New Roman" w:hAnsi="Calibri" w:cs="Calibri"/>
          <w:color w:val="000000"/>
          <w:lang w:eastAsia="en-ZA"/>
        </w:rPr>
        <w:lastRenderedPageBreak/>
        <w:t>Table S2: Distribution of MICs and RAVs for selected drugs with mutation data</w:t>
      </w:r>
    </w:p>
    <w:p w:rsidR="00E76C12" w:rsidRDefault="00E76C12" w:rsidP="007B29DB">
      <w:pPr>
        <w:rPr>
          <w:rFonts w:ascii="Calibri" w:eastAsia="Times New Roman" w:hAnsi="Calibri" w:cs="Calibri"/>
          <w:color w:val="000000"/>
          <w:lang w:eastAsia="en-ZA"/>
        </w:rPr>
      </w:pPr>
      <w:r w:rsidRPr="00E76C12">
        <w:drawing>
          <wp:inline distT="0" distB="0" distL="0" distR="0">
            <wp:extent cx="8368145" cy="5137623"/>
            <wp:effectExtent l="0" t="0" r="0" b="635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7285" cy="5143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C12" w:rsidRPr="00E76C12" w:rsidRDefault="00E76C12" w:rsidP="00E76C12">
      <w:pPr>
        <w:rPr>
          <w:rFonts w:ascii="Calibri" w:eastAsia="Times New Roman" w:hAnsi="Calibri" w:cs="Calibri"/>
          <w:color w:val="000000"/>
          <w:sz w:val="18"/>
          <w:lang w:eastAsia="en-ZA"/>
        </w:rPr>
      </w:pPr>
      <w:r w:rsidRPr="00E76C12">
        <w:rPr>
          <w:rFonts w:ascii="Calibri" w:eastAsia="Times New Roman" w:hAnsi="Calibri" w:cs="Calibri"/>
          <w:color w:val="000000"/>
          <w:sz w:val="18"/>
          <w:lang w:eastAsia="en-ZA"/>
        </w:rPr>
        <w:t>* Negative (-) refers to upstream region from gene start</w:t>
      </w:r>
      <w:r w:rsidRPr="00E76C12">
        <w:rPr>
          <w:rFonts w:ascii="Calibri" w:eastAsia="Times New Roman" w:hAnsi="Calibri" w:cs="Calibri"/>
          <w:color w:val="000000"/>
          <w:sz w:val="18"/>
          <w:lang w:eastAsia="en-ZA"/>
        </w:rPr>
        <w:t xml:space="preserve">. </w:t>
      </w:r>
      <w:r w:rsidRPr="00E76C12">
        <w:rPr>
          <w:rFonts w:ascii="Calibri" w:eastAsia="Times New Roman" w:hAnsi="Calibri" w:cs="Calibri"/>
          <w:color w:val="000000"/>
          <w:sz w:val="18"/>
          <w:lang w:eastAsia="en-ZA"/>
        </w:rPr>
        <w:t>Green shading - drug susceptible MIC range</w:t>
      </w:r>
      <w:r w:rsidRPr="00E76C12">
        <w:rPr>
          <w:rFonts w:ascii="Calibri" w:eastAsia="Times New Roman" w:hAnsi="Calibri" w:cs="Calibri"/>
          <w:color w:val="000000"/>
          <w:sz w:val="18"/>
          <w:lang w:eastAsia="en-ZA"/>
        </w:rPr>
        <w:t>.</w:t>
      </w:r>
      <w:r>
        <w:rPr>
          <w:rFonts w:ascii="Calibri" w:eastAsia="Times New Roman" w:hAnsi="Calibri" w:cs="Calibri"/>
          <w:color w:val="000000"/>
          <w:sz w:val="18"/>
          <w:lang w:eastAsia="en-ZA"/>
        </w:rPr>
        <w:t xml:space="preserve"> </w:t>
      </w:r>
      <w:r w:rsidRPr="00E76C12">
        <w:rPr>
          <w:rFonts w:ascii="Calibri" w:eastAsia="Times New Roman" w:hAnsi="Calibri" w:cs="Calibri"/>
          <w:color w:val="000000"/>
          <w:sz w:val="18"/>
          <w:lang w:eastAsia="en-ZA"/>
        </w:rPr>
        <w:t>Blue shading - drug susceptible MIC range overlapping with RAVs for isoniazid</w:t>
      </w:r>
    </w:p>
    <w:p w:rsidR="00E95739" w:rsidRDefault="00E95739">
      <w:r w:rsidRPr="00E95739">
        <w:lastRenderedPageBreak/>
        <w:t>Table S3: Distribution of MICs and RAVs for moxifloxacin and levofloxacin with mutation data</w:t>
      </w:r>
    </w:p>
    <w:p w:rsidR="00E76C12" w:rsidRDefault="00E76C12">
      <w:r w:rsidRPr="00E76C12">
        <w:drawing>
          <wp:inline distT="0" distB="0" distL="0" distR="0">
            <wp:extent cx="8863330" cy="2599948"/>
            <wp:effectExtent l="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2599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9DB" w:rsidRPr="00A5549E" w:rsidRDefault="00E76C12">
      <w:pPr>
        <w:rPr>
          <w:sz w:val="18"/>
        </w:rPr>
      </w:pPr>
      <w:r>
        <w:rPr>
          <w:sz w:val="18"/>
        </w:rPr>
        <w:t xml:space="preserve">MIC: Minimum inhibitory concentration. </w:t>
      </w:r>
      <w:bookmarkStart w:id="0" w:name="_GoBack"/>
      <w:bookmarkEnd w:id="0"/>
      <w:r w:rsidR="00A5549E">
        <w:rPr>
          <w:sz w:val="18"/>
        </w:rPr>
        <w:t>RAV: Resistance associated variant</w:t>
      </w:r>
      <w:r w:rsidR="007B29DB">
        <w:br w:type="page"/>
      </w:r>
    </w:p>
    <w:p w:rsidR="007B29DB" w:rsidRDefault="007B29DB">
      <w:pPr>
        <w:sectPr w:rsidR="007B29DB" w:rsidSect="007B29DB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713502" w:rsidRDefault="00713502">
      <w:r w:rsidRPr="00713502">
        <w:rPr>
          <w:noProof/>
          <w:lang w:eastAsia="en-ZA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3322320</wp:posOffset>
            </wp:positionH>
            <wp:positionV relativeFrom="paragraph">
              <wp:posOffset>452120</wp:posOffset>
            </wp:positionV>
            <wp:extent cx="1958340" cy="922020"/>
            <wp:effectExtent l="0" t="0" r="381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5267841A" wp14:editId="455BF2B8">
            <wp:extent cx="5638800" cy="4832985"/>
            <wp:effectExtent l="0" t="0" r="0" b="5715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A5549E" w:rsidRDefault="00A5549E" w:rsidP="00A5549E">
      <w:r w:rsidRPr="00713502">
        <w:t>Figure S1: Wild-type ECV estimation using iterative non-linear regression on expanding subsets for rifampicin (N=65)</w:t>
      </w:r>
    </w:p>
    <w:p w:rsidR="00713502" w:rsidRDefault="00713502">
      <w:r>
        <w:br w:type="page"/>
      </w:r>
    </w:p>
    <w:p w:rsidR="00713502" w:rsidRDefault="00713502">
      <w:r w:rsidRPr="00713502">
        <w:rPr>
          <w:noProof/>
          <w:lang w:eastAsia="en-ZA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3375660</wp:posOffset>
            </wp:positionH>
            <wp:positionV relativeFrom="paragraph">
              <wp:posOffset>414020</wp:posOffset>
            </wp:positionV>
            <wp:extent cx="1958340" cy="922020"/>
            <wp:effectExtent l="0" t="0" r="381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6CB59DF8" wp14:editId="7F3A315C">
            <wp:extent cx="5638800" cy="4840605"/>
            <wp:effectExtent l="0" t="0" r="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A5549E" w:rsidRDefault="00A5549E" w:rsidP="00A5549E">
      <w:r w:rsidRPr="00713502">
        <w:t>Figure S</w:t>
      </w:r>
      <w:r>
        <w:t>2</w:t>
      </w:r>
      <w:r w:rsidRPr="00713502">
        <w:t>: Wild-type ECV estimation using iterative non-linear regression on expanding subsets for isoniazid (N=134)</w:t>
      </w:r>
    </w:p>
    <w:p w:rsidR="00713502" w:rsidRDefault="00713502"/>
    <w:p w:rsidR="00713502" w:rsidRDefault="00713502">
      <w:r>
        <w:br w:type="page"/>
      </w:r>
    </w:p>
    <w:p w:rsidR="00713502" w:rsidRDefault="00713502">
      <w:r w:rsidRPr="00713502">
        <w:rPr>
          <w:noProof/>
          <w:lang w:eastAsia="en-ZA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3406140</wp:posOffset>
            </wp:positionH>
            <wp:positionV relativeFrom="paragraph">
              <wp:posOffset>383540</wp:posOffset>
            </wp:positionV>
            <wp:extent cx="1958340" cy="922020"/>
            <wp:effectExtent l="0" t="0" r="381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3EF0DE15" wp14:editId="31E391B9">
            <wp:extent cx="5638800" cy="4825365"/>
            <wp:effectExtent l="0" t="0" r="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5549E" w:rsidRDefault="00A5549E" w:rsidP="00A5549E">
      <w:r w:rsidRPr="00713502">
        <w:t>Figure S</w:t>
      </w:r>
      <w:r>
        <w:t>3</w:t>
      </w:r>
      <w:r w:rsidRPr="00713502">
        <w:t>: Wild-type ECV estimation using iterative non-linear regression on expanding subsets for ethambutol (N=179)</w:t>
      </w:r>
    </w:p>
    <w:p w:rsidR="00713502" w:rsidRDefault="00713502"/>
    <w:p w:rsidR="008722C9" w:rsidRDefault="008722C9">
      <w:r>
        <w:br w:type="page"/>
      </w:r>
    </w:p>
    <w:p w:rsidR="008722C9" w:rsidRDefault="008722C9">
      <w:r w:rsidRPr="008722C9">
        <w:rPr>
          <w:noProof/>
          <w:lang w:eastAsia="en-ZA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3337560</wp:posOffset>
            </wp:positionH>
            <wp:positionV relativeFrom="paragraph">
              <wp:posOffset>391160</wp:posOffset>
            </wp:positionV>
            <wp:extent cx="1958340" cy="922020"/>
            <wp:effectExtent l="0" t="0" r="381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6CB6313B" wp14:editId="580A0318">
            <wp:extent cx="5638800" cy="4832985"/>
            <wp:effectExtent l="0" t="0" r="0" b="5715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A319B0" w:rsidRDefault="00A319B0" w:rsidP="00A319B0">
      <w:r w:rsidRPr="008722C9">
        <w:t>Figure S</w:t>
      </w:r>
      <w:r>
        <w:t>4</w:t>
      </w:r>
      <w:r w:rsidRPr="008722C9">
        <w:t>: Wild-type ECV estimation using iterative non-linear regression on expanding subsets for moxifloxacin (N=278)</w:t>
      </w:r>
    </w:p>
    <w:p w:rsidR="005C1284" w:rsidRDefault="008722C9">
      <w:r>
        <w:br w:type="page"/>
      </w:r>
      <w:r w:rsidR="00A319B0" w:rsidRPr="005C1284">
        <w:lastRenderedPageBreak/>
        <w:t xml:space="preserve"> </w:t>
      </w:r>
      <w:r w:rsidR="005C1284" w:rsidRPr="005C1284">
        <w:rPr>
          <w:noProof/>
          <w:lang w:eastAsia="en-ZA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3337560</wp:posOffset>
            </wp:positionH>
            <wp:positionV relativeFrom="paragraph">
              <wp:posOffset>414020</wp:posOffset>
            </wp:positionV>
            <wp:extent cx="1958340" cy="922020"/>
            <wp:effectExtent l="0" t="0" r="381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C1284">
        <w:rPr>
          <w:noProof/>
          <w:lang w:eastAsia="en-ZA"/>
        </w:rPr>
        <w:drawing>
          <wp:inline distT="0" distB="0" distL="0" distR="0" wp14:anchorId="6FF07287" wp14:editId="57BF1796">
            <wp:extent cx="5638800" cy="4825365"/>
            <wp:effectExtent l="0" t="0" r="0" b="0"/>
            <wp:docPr id="11" name="Chart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A319B0" w:rsidRDefault="00A319B0" w:rsidP="00A319B0">
      <w:r w:rsidRPr="005C1284">
        <w:t>Figure S</w:t>
      </w:r>
      <w:r>
        <w:t>5</w:t>
      </w:r>
      <w:r w:rsidRPr="005C1284">
        <w:t>: Wild-type ECV estimation using iterative non-linear regression on expanding subsets for levofloxacin (N=278)</w:t>
      </w:r>
    </w:p>
    <w:p w:rsidR="005C1284" w:rsidRDefault="005C1284">
      <w:r>
        <w:br w:type="page"/>
      </w:r>
    </w:p>
    <w:p w:rsidR="005C1284" w:rsidRDefault="005C1284">
      <w:r w:rsidRPr="005C1284">
        <w:rPr>
          <w:noProof/>
          <w:lang w:eastAsia="en-ZA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3390900</wp:posOffset>
            </wp:positionH>
            <wp:positionV relativeFrom="paragraph">
              <wp:posOffset>406400</wp:posOffset>
            </wp:positionV>
            <wp:extent cx="1958340" cy="922020"/>
            <wp:effectExtent l="0" t="0" r="381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72F7CD00" wp14:editId="03A5D506">
            <wp:extent cx="5638800" cy="4825365"/>
            <wp:effectExtent l="0" t="0" r="0" b="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A319B0" w:rsidRDefault="00A319B0" w:rsidP="00A319B0">
      <w:r w:rsidRPr="005C1284">
        <w:t>Figure S</w:t>
      </w:r>
      <w:r>
        <w:t>6</w:t>
      </w:r>
      <w:r w:rsidRPr="005C1284">
        <w:t>: Wild-type ECV estimation using iterative non-linear regress</w:t>
      </w:r>
      <w:r>
        <w:t>ion on expanding subsets for ami</w:t>
      </w:r>
      <w:r w:rsidRPr="005C1284">
        <w:t>kacin (N=263)</w:t>
      </w:r>
    </w:p>
    <w:p w:rsidR="005C1284" w:rsidRDefault="005C1284">
      <w:r>
        <w:br w:type="page"/>
      </w:r>
    </w:p>
    <w:p w:rsidR="005C1284" w:rsidRDefault="005C1284">
      <w:r w:rsidRPr="005C1284">
        <w:rPr>
          <w:noProof/>
          <w:lang w:eastAsia="en-ZA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3459480</wp:posOffset>
            </wp:positionH>
            <wp:positionV relativeFrom="paragraph">
              <wp:posOffset>307340</wp:posOffset>
            </wp:positionV>
            <wp:extent cx="1958340" cy="922020"/>
            <wp:effectExtent l="0" t="0" r="381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5185C284" wp14:editId="73DE7BE0">
            <wp:extent cx="5638800" cy="4832985"/>
            <wp:effectExtent l="0" t="0" r="0" b="5715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A319B0" w:rsidRDefault="00A319B0" w:rsidP="00A319B0">
      <w:r w:rsidRPr="005C1284">
        <w:t>Figure S</w:t>
      </w:r>
      <w:r>
        <w:t>7</w:t>
      </w:r>
      <w:r w:rsidRPr="005C1284">
        <w:t>: Wild-type ECV estimation using iterative non-linear regression on expanding subsets for kanamycin (N=263)</w:t>
      </w:r>
    </w:p>
    <w:p w:rsidR="005C1284" w:rsidRDefault="005C1284">
      <w:r>
        <w:br w:type="page"/>
      </w:r>
    </w:p>
    <w:p w:rsidR="005C1284" w:rsidRDefault="005C1284"/>
    <w:p w:rsidR="005C1284" w:rsidRDefault="005C1284">
      <w:r w:rsidRPr="005C1284">
        <w:rPr>
          <w:noProof/>
          <w:lang w:eastAsia="en-ZA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3451860</wp:posOffset>
            </wp:positionH>
            <wp:positionV relativeFrom="paragraph">
              <wp:posOffset>327025</wp:posOffset>
            </wp:positionV>
            <wp:extent cx="1958340" cy="922020"/>
            <wp:effectExtent l="0" t="0" r="381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159AEAC9" wp14:editId="425D255E">
            <wp:extent cx="5638800" cy="4840605"/>
            <wp:effectExtent l="0" t="0" r="0" b="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A319B0" w:rsidRDefault="00A319B0" w:rsidP="00A319B0">
      <w:r w:rsidRPr="005C1284">
        <w:t>Figure S</w:t>
      </w:r>
      <w:r>
        <w:t>8</w:t>
      </w:r>
      <w:r w:rsidRPr="005C1284">
        <w:t>: Wild-type ECV estimation using iterative non-linear regression on expanding subsets for capreomycin (N=263)</w:t>
      </w:r>
    </w:p>
    <w:p w:rsidR="003F7B5C" w:rsidRDefault="003F7B5C">
      <w:r>
        <w:br w:type="page"/>
      </w:r>
    </w:p>
    <w:p w:rsidR="003F7B5C" w:rsidRDefault="003F7B5C">
      <w:r w:rsidRPr="003F7B5C">
        <w:rPr>
          <w:noProof/>
          <w:lang w:eastAsia="en-ZA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3390900</wp:posOffset>
            </wp:positionH>
            <wp:positionV relativeFrom="paragraph">
              <wp:posOffset>345440</wp:posOffset>
            </wp:positionV>
            <wp:extent cx="1958340" cy="922020"/>
            <wp:effectExtent l="0" t="0" r="381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7FA5901A" wp14:editId="19262CA7">
            <wp:extent cx="5638800" cy="4832985"/>
            <wp:effectExtent l="0" t="0" r="0" b="5715"/>
            <wp:docPr id="20" name="Chart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AD14DC" w:rsidRDefault="00AD14DC" w:rsidP="00AD14DC">
      <w:r w:rsidRPr="003F7B5C">
        <w:t>Figure S</w:t>
      </w:r>
      <w:r>
        <w:t>9</w:t>
      </w:r>
      <w:r w:rsidRPr="003F7B5C">
        <w:t>: Wild-type ECV estimation using iterative non-linear regression on expanding subsets for clofazimine (N=272)</w:t>
      </w:r>
    </w:p>
    <w:p w:rsidR="003321EB" w:rsidRDefault="003321EB">
      <w:r>
        <w:br w:type="page"/>
      </w:r>
    </w:p>
    <w:p w:rsidR="00713502" w:rsidRDefault="00713502">
      <w:r w:rsidRPr="00713502">
        <w:rPr>
          <w:noProof/>
          <w:lang w:eastAsia="en-ZA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3406140</wp:posOffset>
            </wp:positionH>
            <wp:positionV relativeFrom="paragraph">
              <wp:posOffset>360680</wp:posOffset>
            </wp:positionV>
            <wp:extent cx="1958340" cy="922020"/>
            <wp:effectExtent l="0" t="0" r="381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ZA"/>
        </w:rPr>
        <w:drawing>
          <wp:inline distT="0" distB="0" distL="0" distR="0" wp14:anchorId="72D58938" wp14:editId="24F4588A">
            <wp:extent cx="5638800" cy="4825365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AD14DC" w:rsidRDefault="00AD14DC" w:rsidP="00AD14DC">
      <w:r w:rsidRPr="00713502">
        <w:t>Figure S1</w:t>
      </w:r>
      <w:r>
        <w:t>0</w:t>
      </w:r>
      <w:r w:rsidRPr="00713502">
        <w:t>: Wild-type ECV estimation using iterative non-linear regression on expanding subsets for linezolid (N=382)</w:t>
      </w:r>
    </w:p>
    <w:p w:rsidR="00713502" w:rsidRDefault="00713502"/>
    <w:sectPr w:rsidR="00713502" w:rsidSect="007B29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483"/>
    <w:rsid w:val="00022750"/>
    <w:rsid w:val="000B01F5"/>
    <w:rsid w:val="00223C0F"/>
    <w:rsid w:val="002432F3"/>
    <w:rsid w:val="003321EB"/>
    <w:rsid w:val="003F7B5C"/>
    <w:rsid w:val="005C1284"/>
    <w:rsid w:val="00637483"/>
    <w:rsid w:val="00713502"/>
    <w:rsid w:val="007B29DB"/>
    <w:rsid w:val="008722C9"/>
    <w:rsid w:val="009049C3"/>
    <w:rsid w:val="00A319B0"/>
    <w:rsid w:val="00A5549E"/>
    <w:rsid w:val="00AD14DC"/>
    <w:rsid w:val="00D812AF"/>
    <w:rsid w:val="00D91D69"/>
    <w:rsid w:val="00E76C12"/>
    <w:rsid w:val="00E95739"/>
    <w:rsid w:val="00F15AC5"/>
    <w:rsid w:val="00F54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B73D954"/>
  <w15:chartTrackingRefBased/>
  <w15:docId w15:val="{DD786EC5-ED6A-4159-9985-4A4FC66D6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3748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11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4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0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image" Target="media/image6.emf"/><Relationship Id="rId18" Type="http://schemas.openxmlformats.org/officeDocument/2006/relationships/chart" Target="charts/chart6.xm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0.emf"/><Relationship Id="rId7" Type="http://schemas.openxmlformats.org/officeDocument/2006/relationships/image" Target="media/image3.emf"/><Relationship Id="rId12" Type="http://schemas.openxmlformats.org/officeDocument/2006/relationships/chart" Target="charts/chart3.xml"/><Relationship Id="rId17" Type="http://schemas.openxmlformats.org/officeDocument/2006/relationships/image" Target="media/image8.emf"/><Relationship Id="rId25" Type="http://schemas.openxmlformats.org/officeDocument/2006/relationships/chart" Target="charts/chart10.xml"/><Relationship Id="rId2" Type="http://schemas.openxmlformats.org/officeDocument/2006/relationships/settings" Target="settings.xml"/><Relationship Id="rId16" Type="http://schemas.openxmlformats.org/officeDocument/2006/relationships/chart" Target="charts/chart5.xml"/><Relationship Id="rId20" Type="http://schemas.openxmlformats.org/officeDocument/2006/relationships/chart" Target="charts/chart7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5.emf"/><Relationship Id="rId24" Type="http://schemas.openxmlformats.org/officeDocument/2006/relationships/chart" Target="charts/chart9.xml"/><Relationship Id="rId5" Type="http://schemas.openxmlformats.org/officeDocument/2006/relationships/image" Target="media/image1.emf"/><Relationship Id="rId15" Type="http://schemas.openxmlformats.org/officeDocument/2006/relationships/image" Target="media/image7.emf"/><Relationship Id="rId23" Type="http://schemas.openxmlformats.org/officeDocument/2006/relationships/image" Target="media/image11.emf"/><Relationship Id="rId10" Type="http://schemas.openxmlformats.org/officeDocument/2006/relationships/chart" Target="charts/chart2.xml"/><Relationship Id="rId19" Type="http://schemas.openxmlformats.org/officeDocument/2006/relationships/image" Target="media/image9.emf"/><Relationship Id="rId4" Type="http://schemas.openxmlformats.org/officeDocument/2006/relationships/hyperlink" Target="mailto:naziri@nicd.ac.za" TargetMode="External"/><Relationship Id="rId9" Type="http://schemas.openxmlformats.org/officeDocument/2006/relationships/image" Target="media/image4.emf"/><Relationship Id="rId14" Type="http://schemas.openxmlformats.org/officeDocument/2006/relationships/chart" Target="charts/chart4.xml"/><Relationship Id="rId22" Type="http://schemas.openxmlformats.org/officeDocument/2006/relationships/chart" Target="charts/chart8.xm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naziri\Google%20Drive\Projects\BDQSurveillance\BP400\NatureScientific\ReviewerFeedback\SupplFigures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Entry'!$C$4:$C$24</c:f>
              <c:numCache>
                <c:formatCode>General</c:formatCode>
                <c:ptCount val="21"/>
                <c:pt idx="6">
                  <c:v>23</c:v>
                </c:pt>
                <c:pt idx="7">
                  <c:v>23</c:v>
                </c:pt>
                <c:pt idx="8">
                  <c:v>11</c:v>
                </c:pt>
                <c:pt idx="9">
                  <c:v>4</c:v>
                </c:pt>
                <c:pt idx="13">
                  <c:v>4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22F7-4F91-9064-F4DC8B26D347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Entry'!$F$4:$F$24</c:f>
              <c:numCache>
                <c:formatCode>General</c:formatCode>
                <c:ptCount val="21"/>
                <c:pt idx="0">
                  <c:v>3.5122051537567855E-111</c:v>
                </c:pt>
                <c:pt idx="1">
                  <c:v>2.2217642897652091E-77</c:v>
                </c:pt>
                <c:pt idx="2">
                  <c:v>1.0812537039659396E-49</c:v>
                </c:pt>
                <c:pt idx="3">
                  <c:v>4.1410020280076933E-28</c:v>
                </c:pt>
                <c:pt idx="4">
                  <c:v>1.3108547498461403E-12</c:v>
                </c:pt>
                <c:pt idx="5">
                  <c:v>3.9483445358158746E-3</c:v>
                </c:pt>
                <c:pt idx="6">
                  <c:v>22.995867107898643</c:v>
                </c:pt>
                <c:pt idx="7">
                  <c:v>22.99835085705444</c:v>
                </c:pt>
                <c:pt idx="8">
                  <c:v>3.9504816458446612E-3</c:v>
                </c:pt>
                <c:pt idx="9">
                  <c:v>1.3145040611561853E-12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#N/A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22F7-4F91-9064-F4DC8B26D3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Entry'!$C$4:$C$24</c:f>
              <c:numCache>
                <c:formatCode>General</c:formatCode>
                <c:ptCount val="21"/>
                <c:pt idx="7">
                  <c:v>4</c:v>
                </c:pt>
                <c:pt idx="8">
                  <c:v>22</c:v>
                </c:pt>
                <c:pt idx="9">
                  <c:v>133</c:v>
                </c:pt>
                <c:pt idx="10">
                  <c:v>179</c:v>
                </c:pt>
                <c:pt idx="11">
                  <c:v>39</c:v>
                </c:pt>
                <c:pt idx="12">
                  <c:v>5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1553-4C77-9294-421B10C0A471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Entry'!$F$4:$F$24</c:f>
              <c:numCache>
                <c:formatCode>General</c:formatCode>
                <c:ptCount val="21"/>
                <c:pt idx="0">
                  <c:v>6.7022659118758735E-34</c:v>
                </c:pt>
                <c:pt idx="1">
                  <c:v>9.1551646269897242E-27</c:v>
                </c:pt>
                <c:pt idx="2">
                  <c:v>1.9196506303832815E-20</c:v>
                </c:pt>
                <c:pt idx="3">
                  <c:v>6.204207564747766E-15</c:v>
                </c:pt>
                <c:pt idx="4">
                  <c:v>3.1097353477562611E-10</c:v>
                </c:pt>
                <c:pt idx="5">
                  <c:v>2.4405770136112773E-6</c:v>
                </c:pt>
                <c:pt idx="6">
                  <c:v>3.0468543357623154E-3</c:v>
                </c:pt>
                <c:pt idx="7">
                  <c:v>0.62173711555971634</c:v>
                </c:pt>
                <c:pt idx="8">
                  <c:v>21.719669671792044</c:v>
                </c:pt>
                <c:pt idx="9">
                  <c:v>139.03631638857411</c:v>
                </c:pt>
                <c:pt idx="10">
                  <c:v>174.05179460438438</c:v>
                </c:pt>
                <c:pt idx="11">
                  <c:v>43.048843344096269</c:v>
                </c:pt>
                <c:pt idx="12">
                  <c:v>1.9914432500476664</c:v>
                </c:pt>
                <c:pt idx="13">
                  <c:v>#N/A</c:v>
                </c:pt>
                <c:pt idx="14">
                  <c:v>#N/A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1553-4C77-9294-421B10C0A4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Entry'!$C$4:$C$24</c:f>
              <c:numCache>
                <c:formatCode>General</c:formatCode>
                <c:ptCount val="21"/>
                <c:pt idx="5">
                  <c:v>46</c:v>
                </c:pt>
                <c:pt idx="6">
                  <c:v>51</c:v>
                </c:pt>
                <c:pt idx="7">
                  <c:v>22</c:v>
                </c:pt>
                <c:pt idx="8">
                  <c:v>5</c:v>
                </c:pt>
                <c:pt idx="9">
                  <c:v>3</c:v>
                </c:pt>
                <c:pt idx="10">
                  <c:v>1</c:v>
                </c:pt>
                <c:pt idx="11">
                  <c:v>1</c:v>
                </c:pt>
                <c:pt idx="12">
                  <c:v>1</c:v>
                </c:pt>
                <c:pt idx="13">
                  <c:v>1</c:v>
                </c:pt>
                <c:pt idx="15">
                  <c:v>3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340C-49FB-AAEB-2E5955DB28EE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Entry'!$F$4:$F$24</c:f>
              <c:numCache>
                <c:formatCode>General</c:formatCode>
                <c:ptCount val="21"/>
                <c:pt idx="0">
                  <c:v>1.5185734885378145E-10</c:v>
                </c:pt>
                <c:pt idx="1">
                  <c:v>8.4433710539478896E-7</c:v>
                </c:pt>
                <c:pt idx="2">
                  <c:v>8.4048295417469285E-4</c:v>
                </c:pt>
                <c:pt idx="3">
                  <c:v>0.15342632455262706</c:v>
                </c:pt>
                <c:pt idx="4">
                  <c:v>5.3430593571535381</c:v>
                </c:pt>
                <c:pt idx="5">
                  <c:v>37.565444798292667</c:v>
                </c:pt>
                <c:pt idx="6">
                  <c:v>56.368857983680677</c:v>
                </c:pt>
                <c:pt idx="7">
                  <c:v>18.332396198517287</c:v>
                </c:pt>
                <c:pt idx="8">
                  <c:v>1.2428673640961989</c:v>
                </c:pt>
                <c:pt idx="9">
                  <c:v>1.6539207892293462E-2</c:v>
                </c:pt>
                <c:pt idx="10">
                  <c:v>4.1125125534335893E-5</c:v>
                </c:pt>
                <c:pt idx="11">
                  <c:v>1.8513830468691594E-8</c:v>
                </c:pt>
                <c:pt idx="12">
                  <c:v>1.4779288903810084E-12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340C-49FB-AAEB-2E5955DB28E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Entry'!$C$4:$C$24</c:f>
              <c:numCache>
                <c:formatCode>General</c:formatCode>
                <c:ptCount val="21"/>
                <c:pt idx="8">
                  <c:v>3</c:v>
                </c:pt>
                <c:pt idx="9">
                  <c:v>8</c:v>
                </c:pt>
                <c:pt idx="10">
                  <c:v>98</c:v>
                </c:pt>
                <c:pt idx="11">
                  <c:v>54</c:v>
                </c:pt>
                <c:pt idx="12">
                  <c:v>8</c:v>
                </c:pt>
                <c:pt idx="13">
                  <c:v>3</c:v>
                </c:pt>
                <c:pt idx="14">
                  <c:v>4</c:v>
                </c:pt>
                <c:pt idx="15">
                  <c:v>1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C2F0-4DF9-B745-50FACF8D9B48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Entry'!$F$4:$F$24</c:f>
              <c:numCache>
                <c:formatCode>General</c:formatCode>
                <c:ptCount val="21"/>
                <c:pt idx="0">
                  <c:v>2.0439983662683909E-76</c:v>
                </c:pt>
                <c:pt idx="1">
                  <c:v>1.4032511514691921E-61</c:v>
                </c:pt>
                <c:pt idx="2">
                  <c:v>2.4881190552693924E-48</c:v>
                </c:pt>
                <c:pt idx="3">
                  <c:v>1.1433466583445882E-36</c:v>
                </c:pt>
                <c:pt idx="4">
                  <c:v>1.3684575799120939E-26</c:v>
                </c:pt>
                <c:pt idx="5">
                  <c:v>4.2991383469311211E-18</c:v>
                </c:pt>
                <c:pt idx="6">
                  <c:v>3.5905398729842523E-11</c:v>
                </c:pt>
                <c:pt idx="7">
                  <c:v>8.1584733405933332E-6</c:v>
                </c:pt>
                <c:pt idx="8">
                  <c:v>5.290806001472196E-2</c:v>
                </c:pt>
                <c:pt idx="9">
                  <c:v>11.001352317273287</c:v>
                </c:pt>
                <c:pt idx="10">
                  <c:v>97.935633059009689</c:v>
                </c:pt>
                <c:pt idx="11">
                  <c:v>54.013804780493018</c:v>
                </c:pt>
                <c:pt idx="12">
                  <c:v>1.6127498446458048</c:v>
                </c:pt>
                <c:pt idx="13">
                  <c:v>1.7664284467002744E-3</c:v>
                </c:pt>
                <c:pt idx="14">
                  <c:v>5.8159145055469708E-8</c:v>
                </c:pt>
                <c:pt idx="15">
                  <c:v>5.6843418860808015E-14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C2F0-4DF9-B745-50FACF8D9B4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Entry'!$C$4:$C$24</c:f>
              <c:numCache>
                <c:formatCode>General</c:formatCode>
                <c:ptCount val="21"/>
                <c:pt idx="6">
                  <c:v>23</c:v>
                </c:pt>
                <c:pt idx="7">
                  <c:v>98</c:v>
                </c:pt>
                <c:pt idx="8">
                  <c:v>130</c:v>
                </c:pt>
                <c:pt idx="9">
                  <c:v>21</c:v>
                </c:pt>
                <c:pt idx="10">
                  <c:v>5</c:v>
                </c:pt>
                <c:pt idx="11">
                  <c:v>1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3747-4B2A-80DB-25CA0F60CA6D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Entry'!$F$4:$F$24</c:f>
              <c:numCache>
                <c:formatCode>General</c:formatCode>
                <c:ptCount val="21"/>
                <c:pt idx="0">
                  <c:v>9.4559377833342852E-21</c:v>
                </c:pt>
                <c:pt idx="1">
                  <c:v>3.6756251656155681E-15</c:v>
                </c:pt>
                <c:pt idx="2">
                  <c:v>2.1245672383285327E-10</c:v>
                </c:pt>
                <c:pt idx="3">
                  <c:v>1.8441902839761632E-6</c:v>
                </c:pt>
                <c:pt idx="4">
                  <c:v>2.4437091176925849E-3</c:v>
                </c:pt>
                <c:pt idx="5">
                  <c:v>0.50858811623051392</c:v>
                </c:pt>
                <c:pt idx="6">
                  <c:v>17.459890171293843</c:v>
                </c:pt>
                <c:pt idx="7">
                  <c:v>106.30461144374748</c:v>
                </c:pt>
                <c:pt idx="8">
                  <c:v>122.87803062945083</c:v>
                </c:pt>
                <c:pt idx="9">
                  <c:v>27.155985442228456</c:v>
                </c:pt>
                <c:pt idx="10">
                  <c:v>1.0792000837798241</c:v>
                </c:pt>
                <c:pt idx="11">
                  <c:v>7.1548415117490549E-3</c:v>
                </c:pt>
                <c:pt idx="12">
                  <c:v>#N/A</c:v>
                </c:pt>
                <c:pt idx="13">
                  <c:v>#N/A</c:v>
                </c:pt>
                <c:pt idx="14">
                  <c:v>#N/A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3747-4B2A-80DB-25CA0F60CA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Entry'!$C$4:$C$24</c:f>
              <c:numCache>
                <c:formatCode>General</c:formatCode>
                <c:ptCount val="21"/>
                <c:pt idx="7">
                  <c:v>15</c:v>
                </c:pt>
                <c:pt idx="8">
                  <c:v>111</c:v>
                </c:pt>
                <c:pt idx="9">
                  <c:v>113</c:v>
                </c:pt>
                <c:pt idx="10">
                  <c:v>35</c:v>
                </c:pt>
                <c:pt idx="11">
                  <c:v>2</c:v>
                </c:pt>
                <c:pt idx="12">
                  <c:v>2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204C-452D-B711-49796AC8CED8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'[1]Data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'[1]Data Entry'!$F$4:$F$24</c:f>
              <c:numCache>
                <c:formatCode>General</c:formatCode>
                <c:ptCount val="21"/>
                <c:pt idx="0">
                  <c:v>2.9933404252178318E-25</c:v>
                </c:pt>
                <c:pt idx="1">
                  <c:v>2.8081829341449137E-19</c:v>
                </c:pt>
                <c:pt idx="2">
                  <c:v>4.4664478635706146E-14</c:v>
                </c:pt>
                <c:pt idx="3">
                  <c:v>1.2118772617006932E-9</c:v>
                </c:pt>
                <c:pt idx="4">
                  <c:v>5.6637531773979367E-6</c:v>
                </c:pt>
                <c:pt idx="5">
                  <c:v>4.6318055623138727E-3</c:v>
                </c:pt>
                <c:pt idx="6">
                  <c:v>0.68070351847333621</c:v>
                </c:pt>
                <c:pt idx="7">
                  <c:v>18.779553765428989</c:v>
                </c:pt>
                <c:pt idx="8">
                  <c:v>103.34488375793057</c:v>
                </c:pt>
                <c:pt idx="9">
                  <c:v>119.74792517949135</c:v>
                </c:pt>
                <c:pt idx="10">
                  <c:v>29.38830540371606</c:v>
                </c:pt>
                <c:pt idx="11">
                  <c:v>1.4561580134267729</c:v>
                </c:pt>
                <c:pt idx="12">
                  <c:v>1.3688104696484515E-2</c:v>
                </c:pt>
                <c:pt idx="13">
                  <c:v>#N/A</c:v>
                </c:pt>
                <c:pt idx="14">
                  <c:v>#N/A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204C-452D-B711-49796AC8CED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'[6]Data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'[6]Data Entry'!$C$4:$C$24</c:f>
              <c:numCache>
                <c:formatCode>General</c:formatCode>
                <c:ptCount val="21"/>
                <c:pt idx="7">
                  <c:v>1</c:v>
                </c:pt>
                <c:pt idx="8">
                  <c:v>7</c:v>
                </c:pt>
                <c:pt idx="9">
                  <c:v>68</c:v>
                </c:pt>
                <c:pt idx="10">
                  <c:v>152</c:v>
                </c:pt>
                <c:pt idx="11">
                  <c:v>30</c:v>
                </c:pt>
                <c:pt idx="12">
                  <c:v>1</c:v>
                </c:pt>
                <c:pt idx="13">
                  <c:v>0</c:v>
                </c:pt>
                <c:pt idx="14">
                  <c:v>4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ABB2-4000-8C2F-A32F231D5541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'[6]Data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'[6]Data Entry'!$F$4:$F$24</c:f>
              <c:numCache>
                <c:formatCode>General</c:formatCode>
                <c:ptCount val="21"/>
                <c:pt idx="0">
                  <c:v>5.7095041977742635E-54</c:v>
                </c:pt>
                <c:pt idx="1">
                  <c:v>6.1549988381882822E-43</c:v>
                </c:pt>
                <c:pt idx="2">
                  <c:v>3.8190476495754927E-33</c:v>
                </c:pt>
                <c:pt idx="3">
                  <c:v>1.3693739150043881E-24</c:v>
                </c:pt>
                <c:pt idx="4">
                  <c:v>2.8544400347668775E-17</c:v>
                </c:pt>
                <c:pt idx="5">
                  <c:v>3.4917031910961187E-11</c:v>
                </c:pt>
                <c:pt idx="6">
                  <c:v>2.5469278341658233E-6</c:v>
                </c:pt>
                <c:pt idx="7">
                  <c:v>1.1415224287688779E-2</c:v>
                </c:pt>
                <c:pt idx="8">
                  <c:v>3.3473441523893923</c:v>
                </c:pt>
                <c:pt idx="9">
                  <c:v>73.548302576372976</c:v>
                </c:pt>
                <c:pt idx="10">
                  <c:v>150.29677044456668</c:v>
                </c:pt>
                <c:pt idx="11">
                  <c:v>31.286473088658028</c:v>
                </c:pt>
                <c:pt idx="12">
                  <c:v>0.55794835036550694</c:v>
                </c:pt>
                <c:pt idx="13">
                  <c:v>7.0090761357732845E-4</c:v>
                </c:pt>
                <c:pt idx="14">
                  <c:v>5.5954615163500421E-8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ABB2-4000-8C2F-A32F231D554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'[7]Data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'[7]Data Entry'!$C$4:$C$24</c:f>
              <c:numCache>
                <c:formatCode>General</c:formatCode>
                <c:ptCount val="21"/>
                <c:pt idx="8">
                  <c:v>2</c:v>
                </c:pt>
                <c:pt idx="9">
                  <c:v>7</c:v>
                </c:pt>
                <c:pt idx="10">
                  <c:v>37</c:v>
                </c:pt>
                <c:pt idx="11">
                  <c:v>132</c:v>
                </c:pt>
                <c:pt idx="12">
                  <c:v>66</c:v>
                </c:pt>
                <c:pt idx="13">
                  <c:v>9</c:v>
                </c:pt>
                <c:pt idx="14">
                  <c:v>6</c:v>
                </c:pt>
                <c:pt idx="15">
                  <c:v>4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BE35-4FE3-B32B-291C9A260CDC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'[7]Data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'[7]Data Entry'!$F$4:$F$24</c:f>
              <c:numCache>
                <c:formatCode>General</c:formatCode>
                <c:ptCount val="21"/>
                <c:pt idx="0">
                  <c:v>4.9219531669470635E-50</c:v>
                </c:pt>
                <c:pt idx="1">
                  <c:v>5.4155568431577234E-41</c:v>
                </c:pt>
                <c:pt idx="2">
                  <c:v>7.7638656114573139E-33</c:v>
                </c:pt>
                <c:pt idx="3">
                  <c:v>1.4538896967461818E-25</c:v>
                </c:pt>
                <c:pt idx="4">
                  <c:v>3.5688381106613014E-19</c:v>
                </c:pt>
                <c:pt idx="5">
                  <c:v>1.1542008554891611E-13</c:v>
                </c:pt>
                <c:pt idx="6">
                  <c:v>4.9566083337990467E-9</c:v>
                </c:pt>
                <c:pt idx="7">
                  <c:v>2.8624173296231778E-5</c:v>
                </c:pt>
                <c:pt idx="8">
                  <c:v>2.2720603041764788E-2</c:v>
                </c:pt>
                <c:pt idx="9">
                  <c:v>2.5783308029575438</c:v>
                </c:pt>
                <c:pt idx="10">
                  <c:v>44.759234102642544</c:v>
                </c:pt>
                <c:pt idx="11">
                  <c:v>130.04341241115165</c:v>
                </c:pt>
                <c:pt idx="12">
                  <c:v>66.833543729367591</c:v>
                </c:pt>
                <c:pt idx="13">
                  <c:v>5.8579104959331119</c:v>
                </c:pt>
                <c:pt idx="14">
                  <c:v>8.0118716816002689E-2</c:v>
                </c:pt>
                <c:pt idx="15">
                  <c:v>1.5867246330003582E-4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BE35-4FE3-B32B-291C9A260C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'[8]Data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'[8]Data Entry'!$C$4:$C$24</c:f>
              <c:numCache>
                <c:formatCode>General</c:formatCode>
                <c:ptCount val="21"/>
                <c:pt idx="9">
                  <c:v>4</c:v>
                </c:pt>
                <c:pt idx="10">
                  <c:v>36</c:v>
                </c:pt>
                <c:pt idx="11">
                  <c:v>165</c:v>
                </c:pt>
                <c:pt idx="12">
                  <c:v>50</c:v>
                </c:pt>
                <c:pt idx="13">
                  <c:v>4</c:v>
                </c:pt>
                <c:pt idx="14">
                  <c:v>4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035A-4269-AAA4-1EBB45BFEC92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'[8]Data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'[8]Data Entry'!$F$4:$F$24</c:f>
              <c:numCache>
                <c:formatCode>General</c:formatCode>
                <c:ptCount val="21"/>
                <c:pt idx="0">
                  <c:v>1.1290689868228889E-82</c:v>
                </c:pt>
                <c:pt idx="1">
                  <c:v>1.0768809679780869E-67</c:v>
                </c:pt>
                <c:pt idx="2">
                  <c:v>3.3823759615862463E-54</c:v>
                </c:pt>
                <c:pt idx="3">
                  <c:v>3.5077511453811822E-42</c:v>
                </c:pt>
                <c:pt idx="4">
                  <c:v>1.2056085100159979E-31</c:v>
                </c:pt>
                <c:pt idx="5">
                  <c:v>1.3808336883418278E-22</c:v>
                </c:pt>
                <c:pt idx="6">
                  <c:v>5.3156752465988748E-15</c:v>
                </c:pt>
                <c:pt idx="7">
                  <c:v>6.9777415096116725E-9</c:v>
                </c:pt>
                <c:pt idx="8">
                  <c:v>3.2079873640504573E-4</c:v>
                </c:pt>
                <c:pt idx="9">
                  <c:v>0.54676497362994825</c:v>
                </c:pt>
                <c:pt idx="10">
                  <c:v>39.648503428379961</c:v>
                </c:pt>
                <c:pt idx="11">
                  <c:v>164.71785798853082</c:v>
                </c:pt>
                <c:pt idx="12">
                  <c:v>50.132820352078483</c:v>
                </c:pt>
                <c:pt idx="13">
                  <c:v>0.90219117804065263</c:v>
                </c:pt>
                <c:pt idx="14">
                  <c:v>7.0409907175417175E-4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035A-4269-AAA4-1EBB45BFEC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9.7973053781089794E-2"/>
          <c:y val="4.7916764153572898E-2"/>
          <c:w val="0.87837910286494303"/>
          <c:h val="0.82083500332642301"/>
        </c:manualLayout>
      </c:layout>
      <c:lineChart>
        <c:grouping val="standard"/>
        <c:varyColors val="0"/>
        <c:ser>
          <c:idx val="1"/>
          <c:order val="0"/>
          <c:tx>
            <c:v>Raw Count</c:v>
          </c:tx>
          <c:spPr>
            <a:ln w="25400">
              <a:solidFill>
                <a:srgbClr val="FF0000"/>
              </a:solidFill>
              <a:prstDash val="solid"/>
            </a:ln>
          </c:spPr>
          <c:marker>
            <c:symbol val="triangle"/>
            <c:size val="5"/>
            <c:spPr>
              <a:solidFill>
                <a:srgbClr val="FF00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cat>
            <c:numRef>
              <c:f>'[9]Data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'[9]Data Entry'!$C$4:$C$24</c:f>
              <c:numCache>
                <c:formatCode>General</c:formatCode>
                <c:ptCount val="21"/>
                <c:pt idx="4">
                  <c:v>43</c:v>
                </c:pt>
                <c:pt idx="5">
                  <c:v>76</c:v>
                </c:pt>
                <c:pt idx="6">
                  <c:v>86</c:v>
                </c:pt>
                <c:pt idx="7">
                  <c:v>28</c:v>
                </c:pt>
                <c:pt idx="8">
                  <c:v>24</c:v>
                </c:pt>
                <c:pt idx="9">
                  <c:v>11</c:v>
                </c:pt>
                <c:pt idx="10">
                  <c:v>5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0-2171-4954-B6D1-70493D8A1904}"/>
            </c:ext>
          </c:extLst>
        </c:ser>
        <c:ser>
          <c:idx val="2"/>
          <c:order val="1"/>
          <c:tx>
            <c:v>Fitted</c:v>
          </c:tx>
          <c:spPr>
            <a:ln w="38100">
              <a:solidFill>
                <a:srgbClr val="33CCCC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33CCCC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cat>
            <c:numRef>
              <c:f>'[9]Data Entry'!$A$4:$A$24</c:f>
              <c:numCache>
                <c:formatCode>General</c:formatCode>
                <c:ptCount val="21"/>
                <c:pt idx="0">
                  <c:v>9.765625E-4</c:v>
                </c:pt>
                <c:pt idx="1">
                  <c:v>1.953125E-3</c:v>
                </c:pt>
                <c:pt idx="2">
                  <c:v>3.90625E-3</c:v>
                </c:pt>
                <c:pt idx="3">
                  <c:v>7.8125E-3</c:v>
                </c:pt>
                <c:pt idx="4">
                  <c:v>1.5625E-2</c:v>
                </c:pt>
                <c:pt idx="5">
                  <c:v>3.125E-2</c:v>
                </c:pt>
                <c:pt idx="6">
                  <c:v>6.25E-2</c:v>
                </c:pt>
                <c:pt idx="7">
                  <c:v>0.125</c:v>
                </c:pt>
                <c:pt idx="8">
                  <c:v>0.25</c:v>
                </c:pt>
                <c:pt idx="9">
                  <c:v>0.5</c:v>
                </c:pt>
                <c:pt idx="10">
                  <c:v>1</c:v>
                </c:pt>
                <c:pt idx="11">
                  <c:v>2</c:v>
                </c:pt>
                <c:pt idx="12">
                  <c:v>4</c:v>
                </c:pt>
                <c:pt idx="13">
                  <c:v>8</c:v>
                </c:pt>
                <c:pt idx="14">
                  <c:v>16</c:v>
                </c:pt>
                <c:pt idx="15">
                  <c:v>32</c:v>
                </c:pt>
                <c:pt idx="16">
                  <c:v>64</c:v>
                </c:pt>
                <c:pt idx="17">
                  <c:v>128</c:v>
                </c:pt>
                <c:pt idx="18">
                  <c:v>256</c:v>
                </c:pt>
                <c:pt idx="19">
                  <c:v>512</c:v>
                </c:pt>
                <c:pt idx="20">
                  <c:v>1024</c:v>
                </c:pt>
              </c:numCache>
            </c:numRef>
          </c:cat>
          <c:val>
            <c:numRef>
              <c:f>'[9]Data Entry'!$F$4:$F$24</c:f>
              <c:numCache>
                <c:formatCode>General</c:formatCode>
                <c:ptCount val="21"/>
                <c:pt idx="0">
                  <c:v>6.1455110647396275E-5</c:v>
                </c:pt>
                <c:pt idx="1">
                  <c:v>7.1486422417839932E-3</c:v>
                </c:pt>
                <c:pt idx="2">
                  <c:v>0.31319256494218706</c:v>
                </c:pt>
                <c:pt idx="3">
                  <c:v>5.2108244802767594</c:v>
                </c:pt>
                <c:pt idx="4">
                  <c:v>33.345074442975729</c:v>
                </c:pt>
                <c:pt idx="5">
                  <c:v>83.025812578280664</c:v>
                </c:pt>
                <c:pt idx="6">
                  <c:v>81.000970592848105</c:v>
                </c:pt>
                <c:pt idx="7">
                  <c:v>30.958133485735715</c:v>
                </c:pt>
                <c:pt idx="8">
                  <c:v>4.6013637136539103</c:v>
                </c:pt>
                <c:pt idx="9">
                  <c:v>0.26286792167303474</c:v>
                </c:pt>
                <c:pt idx="10">
                  <c:v>5.6991942636273052E-3</c:v>
                </c:pt>
                <c:pt idx="11">
                  <c:v>#N/A</c:v>
                </c:pt>
                <c:pt idx="12">
                  <c:v>#N/A</c:v>
                </c:pt>
                <c:pt idx="13">
                  <c:v>#N/A</c:v>
                </c:pt>
                <c:pt idx="14">
                  <c:v>#N/A</c:v>
                </c:pt>
                <c:pt idx="15">
                  <c:v>#N/A</c:v>
                </c:pt>
                <c:pt idx="16">
                  <c:v>#N/A</c:v>
                </c:pt>
                <c:pt idx="17">
                  <c:v>#N/A</c:v>
                </c:pt>
                <c:pt idx="18">
                  <c:v>#N/A</c:v>
                </c:pt>
                <c:pt idx="19">
                  <c:v>#N/A</c:v>
                </c:pt>
                <c:pt idx="20">
                  <c:v>#N/A</c:v>
                </c:pt>
              </c:numCache>
            </c:numRef>
          </c:val>
          <c:smooth val="1"/>
          <c:extLst>
            <c:ext xmlns:c16="http://schemas.microsoft.com/office/drawing/2014/chart" uri="{C3380CC4-5D6E-409C-BE32-E72D297353CC}">
              <c16:uniqueId val="{00000001-2171-4954-B6D1-70493D8A19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8654976"/>
        <c:axId val="218653056"/>
      </c:lineChart>
      <c:catAx>
        <c:axId val="2186549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[MIC]</a:t>
                </a:r>
              </a:p>
            </c:rich>
          </c:tx>
          <c:layout>
            <c:manualLayout>
              <c:xMode val="edge"/>
              <c:yMode val="edge"/>
              <c:x val="0.506757174729775"/>
              <c:y val="0.92083520677735797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-540000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3056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218653056"/>
        <c:scaling>
          <c:orientation val="minMax"/>
          <c:min val="0"/>
        </c:scaling>
        <c:delete val="0"/>
        <c:axPos val="l"/>
        <c:title>
          <c:tx>
            <c:rich>
              <a:bodyPr/>
              <a:lstStyle/>
              <a:p>
                <a:pPr>
                  <a:defRPr sz="1200" b="1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r>
                  <a:rPr lang="en-AU"/>
                  <a:t>Count</a:t>
                </a:r>
              </a:p>
            </c:rich>
          </c:tx>
          <c:layout>
            <c:manualLayout>
              <c:xMode val="edge"/>
              <c:yMode val="edge"/>
              <c:x val="8.4459529121629195E-3"/>
              <c:y val="0.412500839235106"/>
            </c:manualLayout>
          </c:layout>
          <c:overlay val="0"/>
          <c:spPr>
            <a:noFill/>
            <a:ln w="25400">
              <a:noFill/>
            </a:ln>
          </c:spPr>
        </c:title>
        <c:numFmt formatCode="General" sourceLinked="1"/>
        <c:majorTickMark val="out"/>
        <c:minorTickMark val="none"/>
        <c:tickLblPos val="nextTo"/>
        <c:spPr>
          <a:ln w="2540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0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en-US"/>
          </a:p>
        </c:txPr>
        <c:crossAx val="218654976"/>
        <c:crosses val="autoZero"/>
        <c:crossBetween val="between"/>
      </c:valAx>
      <c:spPr>
        <a:noFill/>
        <a:ln w="25400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126689293682444"/>
          <c:y val="7.0833477444412096E-2"/>
          <c:w val="0.16385148649596101"/>
          <c:h val="8.9583515591462395E-2"/>
        </c:manualLayout>
      </c:layout>
      <c:overlay val="0"/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rgbClr val="FFFFFF"/>
    </a:solidFill>
    <a:ln w="9525">
      <a:noFill/>
    </a:ln>
  </c:spPr>
  <c:txPr>
    <a:bodyPr/>
    <a:lstStyle/>
    <a:p>
      <a:pPr>
        <a:defRPr sz="5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14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Nazir Ismail</dc:creator>
  <cp:keywords/>
  <dc:description/>
  <cp:lastModifiedBy>Nazir Ismail</cp:lastModifiedBy>
  <cp:revision>12</cp:revision>
  <dcterms:created xsi:type="dcterms:W3CDTF">2019-06-04T10:40:00Z</dcterms:created>
  <dcterms:modified xsi:type="dcterms:W3CDTF">2019-12-22T14:37:00Z</dcterms:modified>
</cp:coreProperties>
</file>