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E3154" w14:textId="2FDD1456" w:rsidR="00AD5AA8" w:rsidRDefault="00D04A60">
      <w:r w:rsidRPr="00012F0A">
        <w:rPr>
          <w:rFonts w:ascii="Times New Roman" w:hAnsi="Times New Roman" w:cs="Times New Roman"/>
          <w:b/>
          <w:noProof/>
          <w:sz w:val="20"/>
          <w:szCs w:val="20"/>
          <w:lang w:eastAsia="en-ZA"/>
        </w:rPr>
        <w:drawing>
          <wp:inline distT="0" distB="0" distL="0" distR="0" wp14:anchorId="4F61FC0F" wp14:editId="7D0FBCF6">
            <wp:extent cx="5219700" cy="3522176"/>
            <wp:effectExtent l="0" t="0" r="0" b="2540"/>
            <wp:docPr id="2119662962" name="Picture 2119662962" descr="A close-up of a tes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9662962" name="Picture 1" descr="A close-up of a test&#10;&#10;Description automatically generated"/>
                    <pic:cNvPicPr/>
                  </pic:nvPicPr>
                  <pic:blipFill rotWithShape="1">
                    <a:blip r:embed="rId4"/>
                    <a:srcRect l="3058" t="1598" r="4143" b="4328"/>
                    <a:stretch/>
                  </pic:blipFill>
                  <pic:spPr bwMode="auto">
                    <a:xfrm>
                      <a:off x="0" y="0"/>
                      <a:ext cx="5223251" cy="35245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CF74C5" w14:textId="77777777" w:rsidR="00D04A60" w:rsidRPr="00D04A60" w:rsidRDefault="00D04A60" w:rsidP="00D04A60">
      <w:pPr>
        <w:spacing w:after="0" w:line="480" w:lineRule="auto"/>
        <w:jc w:val="both"/>
        <w:rPr>
          <w:rFonts w:ascii="Times New Roman" w:hAnsi="Times New Roman" w:cs="Times New Roman"/>
          <w:kern w:val="0"/>
          <w:sz w:val="20"/>
          <w:szCs w:val="20"/>
          <w14:ligatures w14:val="none"/>
        </w:rPr>
      </w:pPr>
      <w:r w:rsidRPr="00D04A60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>Supplementary figure 1</w:t>
      </w:r>
      <w:r w:rsidRPr="00D04A60">
        <w:rPr>
          <w:rFonts w:ascii="Times New Roman" w:hAnsi="Times New Roman" w:cs="Times New Roman"/>
          <w:kern w:val="0"/>
          <w:sz w:val="20"/>
          <w:szCs w:val="20"/>
          <w14:ligatures w14:val="none"/>
        </w:rPr>
        <w:t xml:space="preserve">: </w:t>
      </w:r>
      <w:r w:rsidRPr="00D04A60">
        <w:rPr>
          <w:rFonts w:ascii="Times New Roman" w:hAnsi="Times New Roman" w:cs="Times New Roman"/>
          <w:b/>
          <w:bCs/>
          <w:kern w:val="0"/>
          <w:sz w:val="20"/>
          <w:szCs w:val="20"/>
          <w14:ligatures w14:val="none"/>
        </w:rPr>
        <w:t>Agarose gel electrophoretogram showing the separate PR-RT and IN nested PCR results, respectively</w:t>
      </w:r>
      <w:r w:rsidRPr="00D04A60">
        <w:rPr>
          <w:rFonts w:ascii="Times New Roman" w:hAnsi="Times New Roman" w:cs="Times New Roman"/>
          <w:kern w:val="0"/>
          <w:sz w:val="20"/>
          <w:szCs w:val="20"/>
          <w14:ligatures w14:val="none"/>
        </w:rPr>
        <w:t>. Protease-reverse transcriptase (PR-RT) primers were designed and tested together with published integrase (IN) primers in separate nested PCR reactions to assess if they could amplify their target fragments. A. PR-RT was amplified as a 1.4kb fragment. B. IN was amplified as a 1kb fragment. DNA – deoxyribonucleic acid; kb – kilobase.</w:t>
      </w:r>
    </w:p>
    <w:p w14:paraId="4B276160" w14:textId="77777777" w:rsidR="00D04A60" w:rsidRDefault="00D04A60"/>
    <w:sectPr w:rsidR="00D04A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A60"/>
    <w:rsid w:val="00616C69"/>
    <w:rsid w:val="00AD5AA8"/>
    <w:rsid w:val="00D04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10A098F"/>
  <w15:chartTrackingRefBased/>
  <w15:docId w15:val="{DD3BB81A-AA55-45A9-AB1B-BDF219978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TL Fortuin</dc:creator>
  <cp:keywords/>
  <dc:description/>
  <cp:lastModifiedBy>Mr. TL Fortuin</cp:lastModifiedBy>
  <cp:revision>1</cp:revision>
  <dcterms:created xsi:type="dcterms:W3CDTF">2024-06-07T13:49:00Z</dcterms:created>
  <dcterms:modified xsi:type="dcterms:W3CDTF">2024-06-07T13:50:00Z</dcterms:modified>
</cp:coreProperties>
</file>