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B3CC4" w14:textId="77777777" w:rsidR="000C4C36" w:rsidRDefault="00A41FBA" w:rsidP="00732865">
      <w:pPr>
        <w:jc w:val="center"/>
      </w:pPr>
      <w:r w:rsidRPr="00A41FBA">
        <w:rPr>
          <w:noProof/>
          <w:lang w:val="fr-FR" w:eastAsia="fr-FR"/>
        </w:rPr>
        <w:drawing>
          <wp:inline distT="0" distB="0" distL="0" distR="0" wp14:anchorId="7B076DDB" wp14:editId="4E63F4AA">
            <wp:extent cx="4572000" cy="2743200"/>
            <wp:effectExtent l="0" t="0" r="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18754293" w14:textId="2CDC0CF4" w:rsidR="0046442C" w:rsidRDefault="0046442C" w:rsidP="007A3BE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Percentage cell viability of NEEAF against </w:t>
      </w:r>
      <w:proofErr w:type="spellStart"/>
      <w:r>
        <w:rPr>
          <w:rFonts w:ascii="Times New Roman" w:hAnsi="Times New Roman" w:cs="Times New Roman"/>
          <w:sz w:val="24"/>
          <w:szCs w:val="24"/>
        </w:rPr>
        <w:t>HelaGFP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cells at different concentrations (1-0.0078 mg/ml). Data expressed as mean values ± standard deviation (n=3) of three independent determinations. </w:t>
      </w:r>
    </w:p>
    <w:p w14:paraId="5076DCF4" w14:textId="77777777" w:rsidR="004F44E7" w:rsidRDefault="004F44E7" w:rsidP="00732865">
      <w:pPr>
        <w:jc w:val="center"/>
      </w:pPr>
    </w:p>
    <w:sectPr w:rsidR="004F44E7" w:rsidSect="000C4C36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1FBA"/>
    <w:rsid w:val="000C4C36"/>
    <w:rsid w:val="002E554A"/>
    <w:rsid w:val="00371A6F"/>
    <w:rsid w:val="004311B2"/>
    <w:rsid w:val="0046442C"/>
    <w:rsid w:val="004F44E7"/>
    <w:rsid w:val="00592DF1"/>
    <w:rsid w:val="005D2F14"/>
    <w:rsid w:val="006F1E95"/>
    <w:rsid w:val="00732865"/>
    <w:rsid w:val="00743415"/>
    <w:rsid w:val="00784902"/>
    <w:rsid w:val="007A3BE7"/>
    <w:rsid w:val="00A41FBA"/>
    <w:rsid w:val="00CD60AB"/>
    <w:rsid w:val="00DE693E"/>
    <w:rsid w:val="00F40991"/>
    <w:rsid w:val="00FC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C8ECD"/>
  <w15:docId w15:val="{F8511ABA-AB55-4D26-930B-7FBD506EE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4C3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41F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41F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Book2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fr-F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r>
              <a:rPr lang="en-US" sz="1400">
                <a:latin typeface="Times New Roman" panose="02020603050405020304" pitchFamily="18" charset="0"/>
                <a:cs typeface="Times New Roman" panose="02020603050405020304" pitchFamily="18" charset="0"/>
              </a:rPr>
              <a:t>IC</a:t>
            </a:r>
            <a:r>
              <a:rPr lang="en-US" sz="1400" baseline="-25000">
                <a:latin typeface="Times New Roman" panose="02020603050405020304" pitchFamily="18" charset="0"/>
                <a:cs typeface="Times New Roman" panose="02020603050405020304" pitchFamily="18" charset="0"/>
              </a:rPr>
              <a:t>50</a:t>
            </a:r>
            <a:r>
              <a:rPr lang="en-US" sz="1400">
                <a:latin typeface="Times New Roman" panose="02020603050405020304" pitchFamily="18" charset="0"/>
                <a:cs typeface="Times New Roman" panose="02020603050405020304" pitchFamily="18" charset="0"/>
              </a:rPr>
              <a:t>:</a:t>
            </a:r>
            <a:r>
              <a:rPr lang="en-US" sz="14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</a:t>
            </a:r>
            <a:r>
              <a:rPr lang="en-US" sz="1400" b="1" i="0" u="none" strike="noStrike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35.6 ± 4.23 µg/ml </a:t>
            </a:r>
            <a:endParaRPr lang="en-US" sz="14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1"/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15875">
              <a:solidFill>
                <a:schemeClr val="bg1">
                  <a:lumMod val="50000"/>
                </a:schemeClr>
              </a:solidFill>
              <a:prstDash val="sysDash"/>
            </a:ln>
          </c:spPr>
          <c:marker>
            <c:symbol val="diamond"/>
            <c:size val="7"/>
            <c:spPr>
              <a:solidFill>
                <a:schemeClr val="bg1">
                  <a:lumMod val="50000"/>
                </a:schemeClr>
              </a:solidFill>
              <a:ln>
                <a:solidFill>
                  <a:schemeClr val="bg1">
                    <a:lumMod val="50000"/>
                  </a:schemeClr>
                </a:solidFill>
              </a:ln>
            </c:spPr>
          </c:marker>
          <c:errBars>
            <c:errDir val="y"/>
            <c:errBarType val="both"/>
            <c:errValType val="cust"/>
            <c:noEndCap val="0"/>
            <c:plus>
              <c:numRef>
                <c:f>Sheet1!$D$24:$D$31</c:f>
                <c:numCache>
                  <c:formatCode>General</c:formatCode>
                  <c:ptCount val="8"/>
                  <c:pt idx="0">
                    <c:v>3.6199585632985705</c:v>
                  </c:pt>
                  <c:pt idx="1">
                    <c:v>6.1769032154740335</c:v>
                  </c:pt>
                  <c:pt idx="2">
                    <c:v>0.88342137926034958</c:v>
                  </c:pt>
                  <c:pt idx="3">
                    <c:v>2.5857365166105333</c:v>
                  </c:pt>
                  <c:pt idx="4">
                    <c:v>4.5150083056401922</c:v>
                  </c:pt>
                  <c:pt idx="5">
                    <c:v>0.4728636167016308</c:v>
                  </c:pt>
                  <c:pt idx="6">
                    <c:v>4.0427878170061469</c:v>
                  </c:pt>
                  <c:pt idx="7">
                    <c:v>3.9318697842120889</c:v>
                  </c:pt>
                </c:numCache>
              </c:numRef>
            </c:plus>
            <c:minus>
              <c:numRef>
                <c:f>Sheet1!$D$24:$D$31</c:f>
                <c:numCache>
                  <c:formatCode>General</c:formatCode>
                  <c:ptCount val="8"/>
                  <c:pt idx="0">
                    <c:v>3.6199585632985705</c:v>
                  </c:pt>
                  <c:pt idx="1">
                    <c:v>6.1769032154740335</c:v>
                  </c:pt>
                  <c:pt idx="2">
                    <c:v>0.88342137926034958</c:v>
                  </c:pt>
                  <c:pt idx="3">
                    <c:v>2.5857365166105333</c:v>
                  </c:pt>
                  <c:pt idx="4">
                    <c:v>4.5150083056401922</c:v>
                  </c:pt>
                  <c:pt idx="5">
                    <c:v>0.4728636167016308</c:v>
                  </c:pt>
                  <c:pt idx="6">
                    <c:v>4.0427878170061469</c:v>
                  </c:pt>
                  <c:pt idx="7">
                    <c:v>3.9318697842120889</c:v>
                  </c:pt>
                </c:numCache>
              </c:numRef>
            </c:minus>
          </c:errBars>
          <c:cat>
            <c:numRef>
              <c:f>Sheet1!$B$24:$B$31</c:f>
              <c:numCache>
                <c:formatCode>General</c:formatCode>
                <c:ptCount val="8"/>
                <c:pt idx="0">
                  <c:v>7.8000000000000014E-3</c:v>
                </c:pt>
                <c:pt idx="1">
                  <c:v>1.5599999999999998E-2</c:v>
                </c:pt>
                <c:pt idx="2">
                  <c:v>3.1300000000000001E-2</c:v>
                </c:pt>
                <c:pt idx="3">
                  <c:v>6.25E-2</c:v>
                </c:pt>
                <c:pt idx="4">
                  <c:v>0.125</c:v>
                </c:pt>
                <c:pt idx="5">
                  <c:v>0.25</c:v>
                </c:pt>
                <c:pt idx="6">
                  <c:v>0.5</c:v>
                </c:pt>
                <c:pt idx="7">
                  <c:v>1</c:v>
                </c:pt>
              </c:numCache>
            </c:numRef>
          </c:cat>
          <c:val>
            <c:numRef>
              <c:f>Sheet1!$C$24:$C$31</c:f>
              <c:numCache>
                <c:formatCode>General</c:formatCode>
                <c:ptCount val="8"/>
                <c:pt idx="0">
                  <c:v>85.04</c:v>
                </c:pt>
                <c:pt idx="1">
                  <c:v>64.586666666666673</c:v>
                </c:pt>
                <c:pt idx="2">
                  <c:v>42.606666666666641</c:v>
                </c:pt>
                <c:pt idx="3">
                  <c:v>36.626666666666658</c:v>
                </c:pt>
                <c:pt idx="4">
                  <c:v>28.040000000000003</c:v>
                </c:pt>
                <c:pt idx="5">
                  <c:v>23.320000000000004</c:v>
                </c:pt>
                <c:pt idx="6">
                  <c:v>15.493333333333334</c:v>
                </c:pt>
                <c:pt idx="7">
                  <c:v>13.090000000000002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D64-400B-A380-286FFDEAC5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5915008"/>
        <c:axId val="95954432"/>
      </c:lineChart>
      <c:catAx>
        <c:axId val="9591500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en-US" i="1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N.</a:t>
                </a:r>
                <a:r>
                  <a:rPr lang="en-US" i="1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exigua </a:t>
                </a:r>
                <a:r>
                  <a:rPr lang="en-US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ethyl acetate fraction (mg/ml)</a:t>
                </a:r>
                <a:endParaRPr lang="en-US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0.26143394575678042"/>
              <c:y val="0.88854148439778358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fr-FR"/>
          </a:p>
        </c:txPr>
        <c:crossAx val="95954432"/>
        <c:crosses val="autoZero"/>
        <c:auto val="1"/>
        <c:lblAlgn val="ctr"/>
        <c:lblOffset val="100"/>
        <c:noMultiLvlLbl val="0"/>
      </c:catAx>
      <c:valAx>
        <c:axId val="95954432"/>
        <c:scaling>
          <c:orientation val="minMax"/>
          <c:max val="10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en-US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%</a:t>
                </a:r>
                <a:r>
                  <a:rPr lang="en-US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Cell viability</a:t>
                </a:r>
                <a:endParaRPr lang="en-US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</c:title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fr-FR"/>
          </a:p>
        </c:txPr>
        <c:crossAx val="9591500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815</TotalTime>
  <Pages>1</Pages>
  <Words>30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 Beesoo</dc:creator>
  <cp:lastModifiedBy>yohan.louis@unimib.it</cp:lastModifiedBy>
  <cp:revision>6</cp:revision>
  <dcterms:created xsi:type="dcterms:W3CDTF">2020-10-09T15:31:00Z</dcterms:created>
  <dcterms:modified xsi:type="dcterms:W3CDTF">2023-08-17T09:10:00Z</dcterms:modified>
</cp:coreProperties>
</file>