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79C3" w:rsidRDefault="00DA79C3" w:rsidP="00DA79C3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3C64">
        <w:rPr>
          <w:rFonts w:ascii="Times New Roman" w:hAnsi="Times New Roman" w:cs="Times New Roman"/>
          <w:b/>
          <w:sz w:val="24"/>
          <w:szCs w:val="24"/>
        </w:rPr>
        <w:t>Table S</w:t>
      </w:r>
      <w:r w:rsidR="003262A3">
        <w:rPr>
          <w:rFonts w:ascii="Times New Roman" w:hAnsi="Times New Roman" w:cs="Times New Roman"/>
          <w:b/>
          <w:sz w:val="24"/>
          <w:szCs w:val="24"/>
        </w:rPr>
        <w:t>3</w:t>
      </w:r>
      <w:r w:rsidRPr="00C53C64">
        <w:rPr>
          <w:rFonts w:ascii="Times New Roman" w:hAnsi="Times New Roman" w:cs="Times New Roman"/>
          <w:b/>
          <w:sz w:val="24"/>
          <w:szCs w:val="24"/>
        </w:rPr>
        <w:t xml:space="preserve">. Sensitivity analysis for numbers of deaths showing key variables altered in analysis, 2005-2008 and 2013 </w:t>
      </w:r>
    </w:p>
    <w:p w:rsidR="00DA79C3" w:rsidRPr="00C53C64" w:rsidRDefault="00DA79C3" w:rsidP="00DA79C3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025"/>
        <w:gridCol w:w="1800"/>
        <w:gridCol w:w="1525"/>
      </w:tblGrid>
      <w:tr w:rsidR="003262A3" w:rsidRPr="00C53C64" w:rsidTr="003262A3">
        <w:tc>
          <w:tcPr>
            <w:tcW w:w="60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62A3" w:rsidRPr="00C53C64" w:rsidRDefault="003262A3" w:rsidP="00AF222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C53C64">
              <w:rPr>
                <w:rFonts w:ascii="Times New Roman" w:hAnsi="Times New Roman"/>
                <w:b/>
                <w:sz w:val="24"/>
                <w:szCs w:val="24"/>
              </w:rPr>
              <w:t>Key variables altered in analysis</w:t>
            </w:r>
          </w:p>
        </w:tc>
        <w:tc>
          <w:tcPr>
            <w:tcW w:w="33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62A3" w:rsidRPr="00C53C64" w:rsidRDefault="003262A3" w:rsidP="00AF2226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53C64">
              <w:rPr>
                <w:rFonts w:ascii="Times New Roman" w:hAnsi="Times New Roman"/>
                <w:b/>
                <w:sz w:val="24"/>
                <w:szCs w:val="24"/>
              </w:rPr>
              <w:t>Number of deaths</w:t>
            </w:r>
          </w:p>
        </w:tc>
      </w:tr>
      <w:tr w:rsidR="003262A3" w:rsidRPr="00C53C64" w:rsidTr="003262A3">
        <w:tc>
          <w:tcPr>
            <w:tcW w:w="60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A79C3" w:rsidRPr="00C53C64" w:rsidRDefault="00DA79C3" w:rsidP="00AF222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A79C3" w:rsidRPr="00C53C64" w:rsidRDefault="00DA79C3" w:rsidP="00AF2226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53C64">
              <w:rPr>
                <w:rFonts w:ascii="Times New Roman" w:hAnsi="Times New Roman"/>
                <w:b/>
                <w:sz w:val="24"/>
                <w:szCs w:val="24"/>
              </w:rPr>
              <w:t>2005-2008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A79C3" w:rsidRPr="00C53C64" w:rsidRDefault="00DA79C3" w:rsidP="00AF2226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53C64">
              <w:rPr>
                <w:rFonts w:ascii="Times New Roman" w:hAnsi="Times New Roman"/>
                <w:b/>
                <w:sz w:val="24"/>
                <w:szCs w:val="24"/>
              </w:rPr>
              <w:t>2012-2013</w:t>
            </w:r>
          </w:p>
        </w:tc>
      </w:tr>
      <w:tr w:rsidR="003262A3" w:rsidRPr="00C53C64" w:rsidTr="003262A3">
        <w:trPr>
          <w:trHeight w:val="602"/>
        </w:trPr>
        <w:tc>
          <w:tcPr>
            <w:tcW w:w="602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3262A3" w:rsidRPr="00C53C64" w:rsidRDefault="003262A3" w:rsidP="003262A3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360" w:lineRule="auto"/>
              <w:ind w:left="284" w:hanging="284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Base numbers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3262A3" w:rsidRPr="00C53C64" w:rsidRDefault="003262A3" w:rsidP="003262A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5000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3262A3" w:rsidRPr="00C53C64" w:rsidRDefault="003262A3" w:rsidP="003262A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1900</w:t>
            </w:r>
          </w:p>
        </w:tc>
      </w:tr>
      <w:tr w:rsidR="003262A3" w:rsidRPr="00C53C64" w:rsidTr="003262A3">
        <w:trPr>
          <w:trHeight w:val="720"/>
        </w:trPr>
        <w:tc>
          <w:tcPr>
            <w:tcW w:w="60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2A3" w:rsidRPr="00C53C64" w:rsidRDefault="003262A3" w:rsidP="003262A3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360" w:lineRule="auto"/>
              <w:ind w:left="284" w:hanging="284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Community death rates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62A3" w:rsidRPr="00C53C64" w:rsidRDefault="003262A3" w:rsidP="003262A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3700</w:t>
            </w:r>
          </w:p>
        </w:tc>
        <w:tc>
          <w:tcPr>
            <w:tcW w:w="15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62A3" w:rsidRPr="00C53C64" w:rsidRDefault="003262A3" w:rsidP="003262A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1600</w:t>
            </w:r>
          </w:p>
        </w:tc>
      </w:tr>
      <w:tr w:rsidR="003262A3" w:rsidRPr="00C53C64" w:rsidTr="003262A3">
        <w:trPr>
          <w:trHeight w:val="665"/>
        </w:trPr>
        <w:tc>
          <w:tcPr>
            <w:tcW w:w="60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2A3" w:rsidRPr="00C53C64" w:rsidRDefault="003262A3" w:rsidP="003262A3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360" w:lineRule="auto"/>
              <w:ind w:left="284" w:hanging="284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Altered blood culturing estimates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62A3" w:rsidRPr="00C53C64" w:rsidRDefault="003262A3" w:rsidP="003262A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2500</w:t>
            </w:r>
          </w:p>
        </w:tc>
        <w:tc>
          <w:tcPr>
            <w:tcW w:w="15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62A3" w:rsidRPr="00C53C64" w:rsidRDefault="003262A3" w:rsidP="003262A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850</w:t>
            </w:r>
          </w:p>
        </w:tc>
      </w:tr>
      <w:tr w:rsidR="003262A3" w:rsidRPr="00C53C64" w:rsidTr="003262A3">
        <w:trPr>
          <w:trHeight w:val="620"/>
        </w:trPr>
        <w:tc>
          <w:tcPr>
            <w:tcW w:w="60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2A3" w:rsidRPr="00C53C64" w:rsidRDefault="003262A3" w:rsidP="003262A3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360" w:lineRule="auto"/>
              <w:ind w:left="284" w:hanging="284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NBP/BPP VAR ratio of 11:1 with 1.89 adjustment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62A3" w:rsidRPr="00C53C64" w:rsidRDefault="003262A3" w:rsidP="003262A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4500</w:t>
            </w:r>
          </w:p>
        </w:tc>
        <w:tc>
          <w:tcPr>
            <w:tcW w:w="15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62A3" w:rsidRPr="00C53C64" w:rsidRDefault="003262A3" w:rsidP="003262A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1700</w:t>
            </w:r>
          </w:p>
        </w:tc>
      </w:tr>
      <w:tr w:rsidR="003262A3" w:rsidRPr="00C53C64" w:rsidTr="003262A3">
        <w:trPr>
          <w:trHeight w:val="530"/>
        </w:trPr>
        <w:tc>
          <w:tcPr>
            <w:tcW w:w="60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2A3" w:rsidRPr="00C53C64" w:rsidRDefault="003262A3" w:rsidP="003262A3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360" w:lineRule="auto"/>
              <w:ind w:left="284" w:hanging="284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NBP/BPP VAR ratio of 7.6:1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62A3" w:rsidRPr="00C53C64" w:rsidRDefault="003262A3" w:rsidP="003262A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3400</w:t>
            </w:r>
          </w:p>
        </w:tc>
        <w:tc>
          <w:tcPr>
            <w:tcW w:w="15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62A3" w:rsidRPr="00C53C64" w:rsidRDefault="003262A3" w:rsidP="003262A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1200</w:t>
            </w:r>
          </w:p>
        </w:tc>
      </w:tr>
      <w:tr w:rsidR="00DA79C3" w:rsidRPr="00C53C64" w:rsidTr="003262A3">
        <w:trPr>
          <w:trHeight w:val="746"/>
        </w:trPr>
        <w:tc>
          <w:tcPr>
            <w:tcW w:w="60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A79C3" w:rsidRPr="00C53C64" w:rsidRDefault="00DA79C3" w:rsidP="003262A3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360" w:lineRule="auto"/>
              <w:ind w:left="284" w:hanging="284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Altered NBP calculations with separate HIV estimates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A79C3" w:rsidRPr="00C53C64" w:rsidRDefault="00DA79C3" w:rsidP="00DA79C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11900</w:t>
            </w:r>
          </w:p>
        </w:tc>
        <w:tc>
          <w:tcPr>
            <w:tcW w:w="15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A79C3" w:rsidRPr="00C53C64" w:rsidRDefault="00DA79C3" w:rsidP="00DA79C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1500</w:t>
            </w:r>
          </w:p>
        </w:tc>
      </w:tr>
      <w:tr w:rsidR="00DA79C3" w:rsidRPr="00C53C64" w:rsidTr="003262A3">
        <w:tc>
          <w:tcPr>
            <w:tcW w:w="60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A79C3" w:rsidRPr="00C53C64" w:rsidDel="00084F88" w:rsidRDefault="00DA79C3" w:rsidP="003262A3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360" w:lineRule="auto"/>
              <w:ind w:left="284" w:hanging="284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Adjusted case fatality ratio for BPP to NBP from Gambia study (3:1 ratio)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A79C3" w:rsidRPr="00C53C64" w:rsidDel="00084F88" w:rsidRDefault="00DA79C3" w:rsidP="00DA79C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7600</w:t>
            </w:r>
          </w:p>
        </w:tc>
        <w:tc>
          <w:tcPr>
            <w:tcW w:w="15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A79C3" w:rsidRPr="00C53C64" w:rsidDel="00084F88" w:rsidRDefault="00DA79C3" w:rsidP="00DA79C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3300</w:t>
            </w:r>
          </w:p>
        </w:tc>
      </w:tr>
      <w:tr w:rsidR="00DA79C3" w:rsidRPr="00C53C64" w:rsidTr="003262A3">
        <w:tc>
          <w:tcPr>
            <w:tcW w:w="60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DA79C3" w:rsidRPr="00C53C64" w:rsidRDefault="00DA79C3" w:rsidP="003262A3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360" w:lineRule="auto"/>
              <w:ind w:left="284" w:hanging="284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Adjusted case fatality ratio for BPP to NBP from Kenya study (5:1 ratio)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A79C3" w:rsidRPr="00C53C64" w:rsidRDefault="00DA79C3" w:rsidP="00DA79C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6900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A79C3" w:rsidRPr="00C53C64" w:rsidRDefault="00DA79C3" w:rsidP="00DA79C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2100</w:t>
            </w:r>
          </w:p>
        </w:tc>
      </w:tr>
    </w:tbl>
    <w:p w:rsidR="00DA79C3" w:rsidRPr="00C53C64" w:rsidRDefault="00DA79C3" w:rsidP="003262A3">
      <w:pPr>
        <w:autoSpaceDE w:val="0"/>
        <w:autoSpaceDN w:val="0"/>
        <w:adjustRightInd w:val="0"/>
        <w:spacing w:before="120" w:after="0" w:line="360" w:lineRule="auto"/>
        <w:rPr>
          <w:rFonts w:ascii="Times New Roman" w:hAnsi="Times New Roman" w:cs="Times New Roman"/>
          <w:sz w:val="20"/>
          <w:szCs w:val="20"/>
        </w:rPr>
      </w:pPr>
      <w:r w:rsidRPr="00C53C64">
        <w:rPr>
          <w:rFonts w:ascii="Times New Roman" w:hAnsi="Times New Roman" w:cs="Times New Roman"/>
          <w:sz w:val="20"/>
          <w:szCs w:val="20"/>
        </w:rPr>
        <w:t>NBP = non-bacteraemic pneumococcal pneumonia; BPP = bacteraemic pneumococcal pneumonia</w:t>
      </w:r>
    </w:p>
    <w:p w:rsidR="009A5F30" w:rsidRDefault="00B42419"/>
    <w:sectPr w:rsidR="009A5F3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E5D53"/>
    <w:multiLevelType w:val="hybridMultilevel"/>
    <w:tmpl w:val="B6B48D8C"/>
    <w:lvl w:ilvl="0" w:tplc="1C090011">
      <w:numFmt w:val="decimal"/>
      <w:lvlText w:val="%1)"/>
      <w:lvlJc w:val="left"/>
      <w:pPr>
        <w:ind w:left="45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-2520" w:hanging="360"/>
      </w:pPr>
    </w:lvl>
    <w:lvl w:ilvl="2" w:tplc="1C09001B" w:tentative="1">
      <w:start w:val="1"/>
      <w:numFmt w:val="lowerRoman"/>
      <w:lvlText w:val="%3."/>
      <w:lvlJc w:val="right"/>
      <w:pPr>
        <w:ind w:left="-1800" w:hanging="180"/>
      </w:pPr>
    </w:lvl>
    <w:lvl w:ilvl="3" w:tplc="1C09000F" w:tentative="1">
      <w:start w:val="1"/>
      <w:numFmt w:val="decimal"/>
      <w:lvlText w:val="%4."/>
      <w:lvlJc w:val="left"/>
      <w:pPr>
        <w:ind w:left="-1080" w:hanging="360"/>
      </w:pPr>
    </w:lvl>
    <w:lvl w:ilvl="4" w:tplc="1C090019" w:tentative="1">
      <w:start w:val="1"/>
      <w:numFmt w:val="lowerLetter"/>
      <w:lvlText w:val="%5."/>
      <w:lvlJc w:val="left"/>
      <w:pPr>
        <w:ind w:left="-360" w:hanging="360"/>
      </w:pPr>
    </w:lvl>
    <w:lvl w:ilvl="5" w:tplc="1C09001B" w:tentative="1">
      <w:start w:val="1"/>
      <w:numFmt w:val="lowerRoman"/>
      <w:lvlText w:val="%6."/>
      <w:lvlJc w:val="right"/>
      <w:pPr>
        <w:ind w:left="360" w:hanging="180"/>
      </w:pPr>
    </w:lvl>
    <w:lvl w:ilvl="6" w:tplc="1C09000F" w:tentative="1">
      <w:start w:val="1"/>
      <w:numFmt w:val="decimal"/>
      <w:lvlText w:val="%7."/>
      <w:lvlJc w:val="left"/>
      <w:pPr>
        <w:ind w:left="1080" w:hanging="360"/>
      </w:pPr>
    </w:lvl>
    <w:lvl w:ilvl="7" w:tplc="1C090019" w:tentative="1">
      <w:start w:val="1"/>
      <w:numFmt w:val="lowerLetter"/>
      <w:lvlText w:val="%8."/>
      <w:lvlJc w:val="left"/>
      <w:pPr>
        <w:ind w:left="1800" w:hanging="360"/>
      </w:pPr>
    </w:lvl>
    <w:lvl w:ilvl="8" w:tplc="1C09001B" w:tentative="1">
      <w:start w:val="1"/>
      <w:numFmt w:val="lowerRoman"/>
      <w:lvlText w:val="%9."/>
      <w:lvlJc w:val="right"/>
      <w:pPr>
        <w:ind w:left="2520" w:hanging="180"/>
      </w:pPr>
    </w:lvl>
  </w:abstractNum>
  <w:abstractNum w:abstractNumId="1">
    <w:nsid w:val="67F84FB9"/>
    <w:multiLevelType w:val="hybridMultilevel"/>
    <w:tmpl w:val="41B41D80"/>
    <w:lvl w:ilvl="0" w:tplc="1C090011"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79C3"/>
    <w:rsid w:val="000D6DC0"/>
    <w:rsid w:val="003262A3"/>
    <w:rsid w:val="00A51F2E"/>
    <w:rsid w:val="00B42419"/>
    <w:rsid w:val="00DA7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79C3"/>
    <w:pPr>
      <w:spacing w:after="200" w:line="276" w:lineRule="auto"/>
    </w:pPr>
    <w:rPr>
      <w:rFonts w:eastAsiaTheme="minorEastAsia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DA79C3"/>
    <w:pPr>
      <w:ind w:left="720"/>
      <w:contextualSpacing/>
    </w:pPr>
  </w:style>
  <w:style w:type="table" w:styleId="TableGrid">
    <w:name w:val="Table Grid"/>
    <w:basedOn w:val="TableNormal"/>
    <w:uiPriority w:val="99"/>
    <w:rsid w:val="00DA79C3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A79C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79C3"/>
    <w:rPr>
      <w:rFonts w:ascii="Segoe UI" w:eastAsiaTheme="minorEastAsia" w:hAnsi="Segoe UI" w:cs="Segoe UI"/>
      <w:sz w:val="18"/>
      <w:szCs w:val="18"/>
      <w:lang w:val="en-Z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79C3"/>
    <w:pPr>
      <w:spacing w:after="200" w:line="276" w:lineRule="auto"/>
    </w:pPr>
    <w:rPr>
      <w:rFonts w:eastAsiaTheme="minorEastAsia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DA79C3"/>
    <w:pPr>
      <w:ind w:left="720"/>
      <w:contextualSpacing/>
    </w:pPr>
  </w:style>
  <w:style w:type="table" w:styleId="TableGrid">
    <w:name w:val="Table Grid"/>
    <w:basedOn w:val="TableNormal"/>
    <w:uiPriority w:val="99"/>
    <w:rsid w:val="00DA79C3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A79C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79C3"/>
    <w:rPr>
      <w:rFonts w:ascii="Segoe UI" w:eastAsiaTheme="minorEastAsia" w:hAnsi="Segoe UI" w:cs="Segoe UI"/>
      <w:sz w:val="18"/>
      <w:szCs w:val="18"/>
      <w:lang w:val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105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Claire von Mollendorf</dc:creator>
  <cp:lastModifiedBy>User</cp:lastModifiedBy>
  <cp:revision>2</cp:revision>
  <dcterms:created xsi:type="dcterms:W3CDTF">2017-08-23T07:43:00Z</dcterms:created>
  <dcterms:modified xsi:type="dcterms:W3CDTF">2017-08-23T07:43:00Z</dcterms:modified>
</cp:coreProperties>
</file>