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A3D454" w14:textId="6F09E969" w:rsidR="006D6BFE" w:rsidRPr="00AE70B4" w:rsidRDefault="006D6BFE" w:rsidP="00AE70B4">
      <w:pPr>
        <w:spacing w:line="360" w:lineRule="auto"/>
        <w:rPr>
          <w:rFonts w:ascii="Times New Roman" w:hAnsi="Times New Roman" w:cs="Times New Roman"/>
          <w:b/>
          <w:bCs/>
          <w:sz w:val="24"/>
          <w:szCs w:val="24"/>
        </w:rPr>
      </w:pPr>
      <w:r w:rsidRPr="00AE70B4">
        <w:rPr>
          <w:rFonts w:ascii="Times New Roman" w:hAnsi="Times New Roman" w:cs="Times New Roman"/>
          <w:b/>
          <w:bCs/>
          <w:sz w:val="24"/>
          <w:szCs w:val="24"/>
        </w:rPr>
        <w:t xml:space="preserve">Meta-regression analyses and </w:t>
      </w:r>
      <w:r w:rsidR="00442D79" w:rsidRPr="00AE70B4">
        <w:rPr>
          <w:rFonts w:ascii="Times New Roman" w:hAnsi="Times New Roman" w:cs="Times New Roman"/>
          <w:b/>
          <w:bCs/>
          <w:sz w:val="24"/>
          <w:szCs w:val="24"/>
        </w:rPr>
        <w:t>moderators</w:t>
      </w:r>
      <w:r w:rsidRPr="00AE70B4">
        <w:rPr>
          <w:rFonts w:ascii="Times New Roman" w:hAnsi="Times New Roman" w:cs="Times New Roman"/>
          <w:b/>
          <w:bCs/>
          <w:sz w:val="24"/>
          <w:szCs w:val="24"/>
        </w:rPr>
        <w:t xml:space="preserve"> of Astrovirus </w:t>
      </w:r>
      <w:r w:rsidR="00D518B0" w:rsidRPr="00AE70B4">
        <w:rPr>
          <w:rFonts w:ascii="Times New Roman" w:hAnsi="Times New Roman" w:cs="Times New Roman"/>
          <w:b/>
          <w:bCs/>
          <w:sz w:val="24"/>
          <w:szCs w:val="24"/>
        </w:rPr>
        <w:t>p</w:t>
      </w:r>
      <w:r w:rsidRPr="00AE70B4">
        <w:rPr>
          <w:rFonts w:ascii="Times New Roman" w:hAnsi="Times New Roman" w:cs="Times New Roman"/>
          <w:b/>
          <w:bCs/>
          <w:sz w:val="24"/>
          <w:szCs w:val="24"/>
        </w:rPr>
        <w:t>ositive</w:t>
      </w:r>
    </w:p>
    <w:p w14:paraId="5C75B672" w14:textId="77777777" w:rsidR="00AE70B4" w:rsidRPr="00AE70B4" w:rsidRDefault="00AE70B4" w:rsidP="00AE70B4">
      <w:pPr>
        <w:pStyle w:val="HTMLPreformatted"/>
        <w:shd w:val="clear" w:color="auto" w:fill="FFFFFF"/>
        <w:wordWrap w:val="0"/>
        <w:spacing w:line="360" w:lineRule="auto"/>
        <w:jc w:val="both"/>
        <w:rPr>
          <w:rFonts w:ascii="Times New Roman" w:hAnsi="Times New Roman" w:cs="Times New Roman"/>
          <w:color w:val="000000" w:themeColor="text1"/>
          <w:sz w:val="24"/>
          <w:szCs w:val="24"/>
        </w:rPr>
      </w:pPr>
      <w:r w:rsidRPr="00AE70B4">
        <w:rPr>
          <w:rFonts w:ascii="Times New Roman" w:hAnsi="Times New Roman" w:cs="Times New Roman"/>
          <w:color w:val="000000" w:themeColor="text1"/>
          <w:sz w:val="24"/>
          <w:szCs w:val="24"/>
        </w:rPr>
        <w:t xml:space="preserve">The exploratory meta-regression analyses demonstrated that year between studies (estimate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 xml:space="preserve">0.0124, 95% CI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 xml:space="preserve">0.08 to 0.05, z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 xml:space="preserve">0.34, p = 0.72), sample size (estimate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 xml:space="preserve">0.001, 95% CI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 xml:space="preserve">0.002 to 0.001, z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 xml:space="preserve">1.11, p = 0.26), age band (estimate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 xml:space="preserve">0.37, 95% CI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 xml:space="preserve">1.71 to 0.97, z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0.53, p = 0.34). Based on the statistical output, we can conclude that both years of study publication, sample size, and age band is not significant moderator, which is also supported by the insignificant regression coefficient. This suggests that they did not moderate the variability in astrovirus prevalence at the study level.</w:t>
      </w:r>
    </w:p>
    <w:p w14:paraId="3CDE4B02" w14:textId="77777777" w:rsidR="00036A49" w:rsidRPr="00AE70B4" w:rsidRDefault="00036A49" w:rsidP="00AE70B4">
      <w:pPr>
        <w:autoSpaceDE w:val="0"/>
        <w:autoSpaceDN w:val="0"/>
        <w:adjustRightInd w:val="0"/>
        <w:spacing w:after="0" w:line="360" w:lineRule="auto"/>
        <w:jc w:val="both"/>
        <w:rPr>
          <w:rFonts w:ascii="Times New Roman" w:hAnsi="Times New Roman" w:cs="Times New Roman"/>
          <w:kern w:val="0"/>
          <w:sz w:val="24"/>
          <w:szCs w:val="24"/>
        </w:rPr>
      </w:pPr>
    </w:p>
    <w:p w14:paraId="189A28F7" w14:textId="0B03B5EA" w:rsidR="00C65DAA" w:rsidRPr="00AE70B4" w:rsidRDefault="00C65DAA" w:rsidP="00AE70B4">
      <w:pPr>
        <w:spacing w:line="360" w:lineRule="auto"/>
        <w:rPr>
          <w:rFonts w:ascii="Times New Roman" w:hAnsi="Times New Roman" w:cs="Times New Roman"/>
          <w:b/>
          <w:bCs/>
          <w:sz w:val="24"/>
          <w:szCs w:val="24"/>
        </w:rPr>
      </w:pPr>
      <w:r w:rsidRPr="00AE70B4">
        <w:rPr>
          <w:rFonts w:ascii="Times New Roman" w:hAnsi="Times New Roman" w:cs="Times New Roman"/>
          <w:b/>
          <w:bCs/>
          <w:sz w:val="24"/>
          <w:szCs w:val="24"/>
        </w:rPr>
        <w:t xml:space="preserve">Meta-regression analyses and </w:t>
      </w:r>
      <w:r w:rsidR="00442D79" w:rsidRPr="00AE70B4">
        <w:rPr>
          <w:rFonts w:ascii="Times New Roman" w:hAnsi="Times New Roman" w:cs="Times New Roman"/>
          <w:b/>
          <w:bCs/>
          <w:sz w:val="24"/>
          <w:szCs w:val="24"/>
        </w:rPr>
        <w:t>moderators</w:t>
      </w:r>
      <w:r w:rsidRPr="00AE70B4">
        <w:rPr>
          <w:rFonts w:ascii="Times New Roman" w:hAnsi="Times New Roman" w:cs="Times New Roman"/>
          <w:b/>
          <w:bCs/>
          <w:sz w:val="24"/>
          <w:szCs w:val="24"/>
        </w:rPr>
        <w:t xml:space="preserve"> of Adenovirus positive</w:t>
      </w:r>
    </w:p>
    <w:p w14:paraId="14CD8360" w14:textId="77777777" w:rsidR="00AE70B4" w:rsidRPr="00AE70B4" w:rsidRDefault="00AE70B4" w:rsidP="00AE70B4">
      <w:pPr>
        <w:pStyle w:val="HTMLPreformatted"/>
        <w:shd w:val="clear" w:color="auto" w:fill="FFFFFF"/>
        <w:wordWrap w:val="0"/>
        <w:spacing w:line="360" w:lineRule="auto"/>
        <w:jc w:val="both"/>
        <w:rPr>
          <w:rFonts w:ascii="Times New Roman" w:hAnsi="Times New Roman" w:cs="Times New Roman"/>
          <w:color w:val="000000" w:themeColor="text1"/>
          <w:sz w:val="24"/>
          <w:szCs w:val="24"/>
        </w:rPr>
      </w:pPr>
      <w:r w:rsidRPr="00AE70B4">
        <w:rPr>
          <w:rFonts w:ascii="Times New Roman" w:hAnsi="Times New Roman" w:cs="Times New Roman"/>
          <w:color w:val="000000" w:themeColor="text1"/>
          <w:sz w:val="24"/>
          <w:szCs w:val="24"/>
        </w:rPr>
        <w:t xml:space="preserve">The exploratory meta-regression analyses demonstrated that year between studies (estimate = 0.07, 95% CI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 xml:space="preserve">0.009 to 0.161, z = </w:t>
      </w:r>
      <w:r w:rsidRPr="00AE70B4">
        <w:rPr>
          <w:rFonts w:ascii="Times New Roman" w:eastAsia="AdvTT887faa2e+22" w:hAnsi="Times New Roman" w:cs="Times New Roman"/>
          <w:color w:val="000000" w:themeColor="text1"/>
          <w:sz w:val="24"/>
          <w:szCs w:val="24"/>
        </w:rPr>
        <w:t>1</w:t>
      </w:r>
      <w:r w:rsidRPr="00AE70B4">
        <w:rPr>
          <w:rFonts w:ascii="Times New Roman" w:hAnsi="Times New Roman" w:cs="Times New Roman"/>
          <w:color w:val="000000" w:themeColor="text1"/>
          <w:sz w:val="24"/>
          <w:szCs w:val="24"/>
        </w:rPr>
        <w:t xml:space="preserve">.75, p = 0.08), sample size (estimate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 xml:space="preserve">0.001, 95% CI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 xml:space="preserve">0.003 to 0.0006, z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 xml:space="preserve">1.26, p = 0.209), age band (estimate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 xml:space="preserve">1.01, 95% CI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 xml:space="preserve">2.54 to 0.51, z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1.30, p = 0.34). Based on the statistical output, we can conclude that both years of study publication, sample size, and age band is not significant moderator, which is also supported by the insignificant regression coefficient. This suggests that they did not moderate the variability in adenovirus prevalence at the study level.</w:t>
      </w:r>
    </w:p>
    <w:p w14:paraId="4D542727" w14:textId="77777777" w:rsidR="00C65DAA" w:rsidRPr="00AE70B4" w:rsidRDefault="00C65DAA" w:rsidP="00AE70B4">
      <w:pPr>
        <w:autoSpaceDE w:val="0"/>
        <w:autoSpaceDN w:val="0"/>
        <w:adjustRightInd w:val="0"/>
        <w:spacing w:after="0" w:line="360" w:lineRule="auto"/>
        <w:jc w:val="both"/>
        <w:rPr>
          <w:rFonts w:ascii="Times New Roman" w:hAnsi="Times New Roman" w:cs="Times New Roman"/>
          <w:color w:val="FF0000"/>
          <w:kern w:val="0"/>
          <w:sz w:val="24"/>
          <w:szCs w:val="24"/>
        </w:rPr>
      </w:pPr>
    </w:p>
    <w:p w14:paraId="39F0CE93" w14:textId="7F3E61AC" w:rsidR="00C65DAA" w:rsidRPr="00AE70B4" w:rsidRDefault="00C65DAA" w:rsidP="00AE70B4">
      <w:pPr>
        <w:spacing w:line="360" w:lineRule="auto"/>
        <w:rPr>
          <w:rFonts w:ascii="Times New Roman" w:hAnsi="Times New Roman" w:cs="Times New Roman"/>
          <w:b/>
          <w:bCs/>
          <w:sz w:val="24"/>
          <w:szCs w:val="24"/>
        </w:rPr>
      </w:pPr>
      <w:r w:rsidRPr="00AE70B4">
        <w:rPr>
          <w:rFonts w:ascii="Times New Roman" w:hAnsi="Times New Roman" w:cs="Times New Roman"/>
          <w:b/>
          <w:bCs/>
          <w:sz w:val="24"/>
          <w:szCs w:val="24"/>
        </w:rPr>
        <w:t xml:space="preserve">Meta-regression analyses and </w:t>
      </w:r>
      <w:r w:rsidR="00442D79" w:rsidRPr="00AE70B4">
        <w:rPr>
          <w:rFonts w:ascii="Times New Roman" w:hAnsi="Times New Roman" w:cs="Times New Roman"/>
          <w:b/>
          <w:bCs/>
          <w:sz w:val="24"/>
          <w:szCs w:val="24"/>
        </w:rPr>
        <w:t>moderators</w:t>
      </w:r>
      <w:r w:rsidRPr="00AE70B4">
        <w:rPr>
          <w:rFonts w:ascii="Times New Roman" w:hAnsi="Times New Roman" w:cs="Times New Roman"/>
          <w:b/>
          <w:bCs/>
          <w:sz w:val="24"/>
          <w:szCs w:val="24"/>
        </w:rPr>
        <w:t xml:space="preserve"> of Norovirus positive</w:t>
      </w:r>
    </w:p>
    <w:p w14:paraId="52B74CB8" w14:textId="7D048BF4" w:rsidR="00BA77F7" w:rsidRDefault="00AE70B4" w:rsidP="00AE70B4">
      <w:pPr>
        <w:autoSpaceDE w:val="0"/>
        <w:autoSpaceDN w:val="0"/>
        <w:adjustRightInd w:val="0"/>
        <w:spacing w:after="0" w:line="360" w:lineRule="auto"/>
        <w:jc w:val="both"/>
        <w:rPr>
          <w:rFonts w:ascii="Times New Roman" w:hAnsi="Times New Roman" w:cs="Times New Roman"/>
          <w:color w:val="000000" w:themeColor="text1"/>
          <w:sz w:val="24"/>
          <w:szCs w:val="24"/>
        </w:rPr>
      </w:pPr>
      <w:r w:rsidRPr="00AE70B4">
        <w:rPr>
          <w:rFonts w:ascii="Times New Roman" w:hAnsi="Times New Roman" w:cs="Times New Roman"/>
          <w:color w:val="000000" w:themeColor="text1"/>
          <w:kern w:val="0"/>
          <w:sz w:val="24"/>
          <w:szCs w:val="24"/>
        </w:rPr>
        <w:t xml:space="preserve">The exploratory meta-regression analyses demonstrated that year between studies (estimate = </w:t>
      </w:r>
      <w:r w:rsidRPr="00AE70B4">
        <w:rPr>
          <w:rFonts w:ascii="Times New Roman" w:eastAsia="AdvTT887faa2e+22" w:hAnsi="Times New Roman" w:cs="Times New Roman"/>
          <w:color w:val="000000" w:themeColor="text1"/>
          <w:kern w:val="0"/>
          <w:sz w:val="24"/>
          <w:szCs w:val="24"/>
        </w:rPr>
        <w:t>−</w:t>
      </w:r>
      <w:r w:rsidRPr="00AE70B4">
        <w:rPr>
          <w:rFonts w:ascii="Times New Roman" w:hAnsi="Times New Roman" w:cs="Times New Roman"/>
          <w:color w:val="000000" w:themeColor="text1"/>
          <w:kern w:val="0"/>
          <w:sz w:val="24"/>
          <w:szCs w:val="24"/>
        </w:rPr>
        <w:t xml:space="preserve">0.03, 95% CI = </w:t>
      </w:r>
      <w:r w:rsidRPr="00AE70B4">
        <w:rPr>
          <w:rFonts w:ascii="Times New Roman" w:eastAsia="AdvTT887faa2e+22" w:hAnsi="Times New Roman" w:cs="Times New Roman"/>
          <w:color w:val="000000" w:themeColor="text1"/>
          <w:kern w:val="0"/>
          <w:sz w:val="24"/>
          <w:szCs w:val="24"/>
        </w:rPr>
        <w:t>−</w:t>
      </w:r>
      <w:r w:rsidRPr="00AE70B4">
        <w:rPr>
          <w:rFonts w:ascii="Times New Roman" w:hAnsi="Times New Roman" w:cs="Times New Roman"/>
          <w:color w:val="000000" w:themeColor="text1"/>
          <w:kern w:val="0"/>
          <w:sz w:val="24"/>
          <w:szCs w:val="24"/>
        </w:rPr>
        <w:t xml:space="preserve">0.09 to 0.03, z = </w:t>
      </w:r>
      <w:r w:rsidRPr="00AE70B4">
        <w:rPr>
          <w:rFonts w:ascii="Times New Roman" w:eastAsia="AdvTT887faa2e+22" w:hAnsi="Times New Roman" w:cs="Times New Roman"/>
          <w:color w:val="000000" w:themeColor="text1"/>
          <w:kern w:val="0"/>
          <w:sz w:val="24"/>
          <w:szCs w:val="24"/>
        </w:rPr>
        <w:t>−1</w:t>
      </w:r>
      <w:r w:rsidRPr="00AE70B4">
        <w:rPr>
          <w:rFonts w:ascii="Times New Roman" w:hAnsi="Times New Roman" w:cs="Times New Roman"/>
          <w:color w:val="000000" w:themeColor="text1"/>
          <w:kern w:val="0"/>
          <w:sz w:val="24"/>
          <w:szCs w:val="24"/>
        </w:rPr>
        <w:t xml:space="preserve">.12, p = 0.26), sample size (estimate = </w:t>
      </w:r>
      <w:r w:rsidRPr="00AE70B4">
        <w:rPr>
          <w:rFonts w:ascii="Times New Roman" w:eastAsia="AdvTT887faa2e+22" w:hAnsi="Times New Roman" w:cs="Times New Roman"/>
          <w:color w:val="000000" w:themeColor="text1"/>
          <w:kern w:val="0"/>
          <w:sz w:val="24"/>
          <w:szCs w:val="24"/>
        </w:rPr>
        <w:t>−</w:t>
      </w:r>
      <w:r w:rsidRPr="00AE70B4">
        <w:rPr>
          <w:rFonts w:ascii="Times New Roman" w:hAnsi="Times New Roman" w:cs="Times New Roman"/>
          <w:color w:val="000000" w:themeColor="text1"/>
          <w:kern w:val="0"/>
          <w:sz w:val="24"/>
          <w:szCs w:val="24"/>
        </w:rPr>
        <w:t xml:space="preserve">0.001, 95% CI = </w:t>
      </w:r>
      <w:r w:rsidRPr="00AE70B4">
        <w:rPr>
          <w:rFonts w:ascii="Times New Roman" w:eastAsia="AdvTT887faa2e+22" w:hAnsi="Times New Roman" w:cs="Times New Roman"/>
          <w:color w:val="000000" w:themeColor="text1"/>
          <w:kern w:val="0"/>
          <w:sz w:val="24"/>
          <w:szCs w:val="24"/>
        </w:rPr>
        <w:t>−</w:t>
      </w:r>
      <w:r w:rsidRPr="00AE70B4">
        <w:rPr>
          <w:rFonts w:ascii="Times New Roman" w:hAnsi="Times New Roman" w:cs="Times New Roman"/>
          <w:color w:val="000000" w:themeColor="text1"/>
          <w:kern w:val="0"/>
          <w:sz w:val="24"/>
          <w:szCs w:val="24"/>
        </w:rPr>
        <w:t xml:space="preserve">0.002 to </w:t>
      </w:r>
      <w:r w:rsidRPr="00AE70B4">
        <w:rPr>
          <w:rFonts w:ascii="Times New Roman" w:eastAsia="AdvTT887faa2e+22" w:hAnsi="Times New Roman" w:cs="Times New Roman"/>
          <w:color w:val="000000" w:themeColor="text1"/>
          <w:kern w:val="0"/>
          <w:sz w:val="24"/>
          <w:szCs w:val="24"/>
        </w:rPr>
        <w:t>−</w:t>
      </w:r>
      <w:r w:rsidRPr="00AE70B4">
        <w:rPr>
          <w:rFonts w:ascii="Times New Roman" w:hAnsi="Times New Roman" w:cs="Times New Roman"/>
          <w:color w:val="000000" w:themeColor="text1"/>
          <w:kern w:val="0"/>
          <w:sz w:val="24"/>
          <w:szCs w:val="24"/>
        </w:rPr>
        <w:t xml:space="preserve">0.0001, z = </w:t>
      </w:r>
      <w:r w:rsidRPr="00AE70B4">
        <w:rPr>
          <w:rFonts w:ascii="Times New Roman" w:eastAsia="AdvTT887faa2e+22" w:hAnsi="Times New Roman" w:cs="Times New Roman"/>
          <w:color w:val="000000" w:themeColor="text1"/>
          <w:kern w:val="0"/>
          <w:sz w:val="24"/>
          <w:szCs w:val="24"/>
        </w:rPr>
        <w:t>−</w:t>
      </w:r>
      <w:r w:rsidRPr="00AE70B4">
        <w:rPr>
          <w:rFonts w:ascii="Times New Roman" w:hAnsi="Times New Roman" w:cs="Times New Roman"/>
          <w:color w:val="000000" w:themeColor="text1"/>
          <w:kern w:val="0"/>
          <w:sz w:val="24"/>
          <w:szCs w:val="24"/>
        </w:rPr>
        <w:t xml:space="preserve">2.18, p = 0.03), age band (estimate = </w:t>
      </w:r>
      <w:r w:rsidRPr="00AE70B4">
        <w:rPr>
          <w:rFonts w:ascii="Times New Roman" w:eastAsia="AdvTT887faa2e+22" w:hAnsi="Times New Roman" w:cs="Times New Roman"/>
          <w:color w:val="000000" w:themeColor="text1"/>
          <w:kern w:val="0"/>
          <w:sz w:val="24"/>
          <w:szCs w:val="24"/>
        </w:rPr>
        <w:t>−0</w:t>
      </w:r>
      <w:r w:rsidRPr="00AE70B4">
        <w:rPr>
          <w:rFonts w:ascii="Times New Roman" w:hAnsi="Times New Roman" w:cs="Times New Roman"/>
          <w:color w:val="000000" w:themeColor="text1"/>
          <w:kern w:val="0"/>
          <w:sz w:val="24"/>
          <w:szCs w:val="24"/>
        </w:rPr>
        <w:t xml:space="preserve">.03, 95% CI = </w:t>
      </w:r>
      <w:r w:rsidRPr="00AE70B4">
        <w:rPr>
          <w:rFonts w:ascii="Times New Roman" w:eastAsia="AdvTT887faa2e+22" w:hAnsi="Times New Roman" w:cs="Times New Roman"/>
          <w:color w:val="000000" w:themeColor="text1"/>
          <w:kern w:val="0"/>
          <w:sz w:val="24"/>
          <w:szCs w:val="24"/>
        </w:rPr>
        <w:t>−</w:t>
      </w:r>
      <w:r w:rsidRPr="00AE70B4">
        <w:rPr>
          <w:rFonts w:ascii="Times New Roman" w:hAnsi="Times New Roman" w:cs="Times New Roman"/>
          <w:color w:val="000000" w:themeColor="text1"/>
          <w:kern w:val="0"/>
          <w:sz w:val="24"/>
          <w:szCs w:val="24"/>
        </w:rPr>
        <w:t xml:space="preserve">1.01 to 0.96, z = </w:t>
      </w:r>
      <w:r w:rsidRPr="00AE70B4">
        <w:rPr>
          <w:rFonts w:ascii="Times New Roman" w:eastAsia="AdvTT887faa2e+22" w:hAnsi="Times New Roman" w:cs="Times New Roman"/>
          <w:color w:val="000000" w:themeColor="text1"/>
          <w:kern w:val="0"/>
          <w:sz w:val="24"/>
          <w:szCs w:val="24"/>
        </w:rPr>
        <w:t>−</w:t>
      </w:r>
      <w:r w:rsidRPr="00AE70B4">
        <w:rPr>
          <w:rFonts w:ascii="Times New Roman" w:hAnsi="Times New Roman" w:cs="Times New Roman"/>
          <w:color w:val="000000" w:themeColor="text1"/>
          <w:kern w:val="0"/>
          <w:sz w:val="24"/>
          <w:szCs w:val="24"/>
        </w:rPr>
        <w:t xml:space="preserve">0.05, p = 0.96). </w:t>
      </w:r>
      <w:r w:rsidRPr="00AE70B4">
        <w:rPr>
          <w:rFonts w:ascii="Times New Roman" w:hAnsi="Times New Roman" w:cs="Times New Roman"/>
          <w:color w:val="000000" w:themeColor="text1"/>
          <w:sz w:val="24"/>
          <w:szCs w:val="24"/>
        </w:rPr>
        <w:t xml:space="preserve">Based on the statistical output, we can conclude that both years of study publication and the age band is not significant moderator, which is also supported by the insignificant regression coefficient. This suggests that they did not </w:t>
      </w:r>
      <w:r w:rsidRPr="00AE70B4">
        <w:rPr>
          <w:rFonts w:ascii="Times New Roman" w:hAnsi="Times New Roman" w:cs="Times New Roman"/>
          <w:color w:val="000000" w:themeColor="text1"/>
          <w:kern w:val="0"/>
          <w:sz w:val="24"/>
          <w:szCs w:val="24"/>
        </w:rPr>
        <w:t xml:space="preserve">moderate the variability in norovirus prevalence at the study level. On the other hand, </w:t>
      </w:r>
      <w:r w:rsidRPr="00AE70B4">
        <w:rPr>
          <w:rFonts w:ascii="Times New Roman" w:hAnsi="Times New Roman" w:cs="Times New Roman"/>
          <w:color w:val="000000" w:themeColor="text1"/>
          <w:sz w:val="24"/>
          <w:szCs w:val="24"/>
        </w:rPr>
        <w:t xml:space="preserve">the results of the </w:t>
      </w:r>
      <w:r w:rsidRPr="00AE70B4">
        <w:rPr>
          <w:rFonts w:ascii="Times New Roman" w:hAnsi="Times New Roman" w:cs="Times New Roman"/>
          <w:color w:val="000000" w:themeColor="text1"/>
          <w:kern w:val="0"/>
          <w:sz w:val="24"/>
          <w:szCs w:val="24"/>
        </w:rPr>
        <w:t>sample size</w:t>
      </w:r>
      <w:r w:rsidRPr="00AE70B4">
        <w:rPr>
          <w:rFonts w:ascii="Times New Roman" w:hAnsi="Times New Roman" w:cs="Times New Roman"/>
          <w:color w:val="000000" w:themeColor="text1"/>
          <w:sz w:val="24"/>
          <w:szCs w:val="24"/>
        </w:rPr>
        <w:t xml:space="preserve"> test of moderators as well as the significant slope estimate conform to the statistical output interpretation of the association between sample size and the observed effect sizes.</w:t>
      </w:r>
    </w:p>
    <w:p w14:paraId="327A1876" w14:textId="77777777" w:rsidR="00F721E1" w:rsidRPr="00AE70B4" w:rsidRDefault="00F721E1" w:rsidP="00AE70B4">
      <w:pPr>
        <w:autoSpaceDE w:val="0"/>
        <w:autoSpaceDN w:val="0"/>
        <w:adjustRightInd w:val="0"/>
        <w:spacing w:after="0" w:line="360" w:lineRule="auto"/>
        <w:jc w:val="both"/>
        <w:rPr>
          <w:rFonts w:ascii="Times New Roman" w:hAnsi="Times New Roman" w:cs="Times New Roman"/>
          <w:color w:val="FF0000"/>
          <w:sz w:val="24"/>
          <w:szCs w:val="24"/>
        </w:rPr>
      </w:pPr>
    </w:p>
    <w:p w14:paraId="5DCBFBC0" w14:textId="0FB6976A" w:rsidR="00BA77F7" w:rsidRPr="00AE70B4" w:rsidRDefault="00BA77F7" w:rsidP="00AE70B4">
      <w:pPr>
        <w:spacing w:line="360" w:lineRule="auto"/>
        <w:rPr>
          <w:rFonts w:ascii="Times New Roman" w:hAnsi="Times New Roman" w:cs="Times New Roman"/>
          <w:b/>
          <w:bCs/>
          <w:sz w:val="24"/>
          <w:szCs w:val="24"/>
        </w:rPr>
      </w:pPr>
      <w:r w:rsidRPr="00AE70B4">
        <w:rPr>
          <w:rFonts w:ascii="Times New Roman" w:hAnsi="Times New Roman" w:cs="Times New Roman"/>
          <w:b/>
          <w:bCs/>
          <w:sz w:val="24"/>
          <w:szCs w:val="24"/>
        </w:rPr>
        <w:t xml:space="preserve">Meta-regression analyses and </w:t>
      </w:r>
      <w:r w:rsidR="00442D79" w:rsidRPr="00AE70B4">
        <w:rPr>
          <w:rFonts w:ascii="Times New Roman" w:hAnsi="Times New Roman" w:cs="Times New Roman"/>
          <w:b/>
          <w:bCs/>
          <w:sz w:val="24"/>
          <w:szCs w:val="24"/>
        </w:rPr>
        <w:t>moderators</w:t>
      </w:r>
      <w:r w:rsidRPr="00AE70B4">
        <w:rPr>
          <w:rFonts w:ascii="Times New Roman" w:hAnsi="Times New Roman" w:cs="Times New Roman"/>
          <w:b/>
          <w:bCs/>
          <w:sz w:val="24"/>
          <w:szCs w:val="24"/>
        </w:rPr>
        <w:t xml:space="preserve"> of Rotavirus positive</w:t>
      </w:r>
    </w:p>
    <w:p w14:paraId="1272C28B" w14:textId="042884CE" w:rsidR="00BA77F7" w:rsidRPr="00AE70B4" w:rsidRDefault="00AE70B4" w:rsidP="00AE70B4">
      <w:pPr>
        <w:spacing w:line="360" w:lineRule="auto"/>
        <w:jc w:val="both"/>
        <w:rPr>
          <w:rFonts w:ascii="Times New Roman" w:hAnsi="Times New Roman" w:cs="Times New Roman"/>
          <w:b/>
          <w:bCs/>
          <w:color w:val="000000" w:themeColor="text1"/>
          <w:sz w:val="24"/>
          <w:szCs w:val="24"/>
        </w:rPr>
      </w:pPr>
      <w:r w:rsidRPr="00AE70B4">
        <w:rPr>
          <w:rFonts w:ascii="Times New Roman" w:hAnsi="Times New Roman" w:cs="Times New Roman"/>
          <w:color w:val="000000" w:themeColor="text1"/>
          <w:kern w:val="0"/>
          <w:sz w:val="24"/>
          <w:szCs w:val="24"/>
        </w:rPr>
        <w:lastRenderedPageBreak/>
        <w:t xml:space="preserve">The exploratory meta-regression analyses demonstrated that year between studies (estimate = 0.02, 95% CI = </w:t>
      </w:r>
      <w:r w:rsidRPr="00AE70B4">
        <w:rPr>
          <w:rFonts w:ascii="Times New Roman" w:eastAsia="AdvTT887faa2e+22" w:hAnsi="Times New Roman" w:cs="Times New Roman"/>
          <w:color w:val="000000" w:themeColor="text1"/>
          <w:kern w:val="0"/>
          <w:sz w:val="24"/>
          <w:szCs w:val="24"/>
        </w:rPr>
        <w:t>−</w:t>
      </w:r>
      <w:r w:rsidRPr="00AE70B4">
        <w:rPr>
          <w:rFonts w:ascii="Times New Roman" w:hAnsi="Times New Roman" w:cs="Times New Roman"/>
          <w:color w:val="000000" w:themeColor="text1"/>
          <w:kern w:val="0"/>
          <w:sz w:val="24"/>
          <w:szCs w:val="24"/>
        </w:rPr>
        <w:t xml:space="preserve">0.03 to 0.07, z = </w:t>
      </w:r>
      <w:r w:rsidRPr="00AE70B4">
        <w:rPr>
          <w:rFonts w:ascii="Times New Roman" w:eastAsia="AdvTT887faa2e+22" w:hAnsi="Times New Roman" w:cs="Times New Roman"/>
          <w:color w:val="000000" w:themeColor="text1"/>
          <w:kern w:val="0"/>
          <w:sz w:val="24"/>
          <w:szCs w:val="24"/>
        </w:rPr>
        <w:t>0</w:t>
      </w:r>
      <w:r w:rsidRPr="00AE70B4">
        <w:rPr>
          <w:rFonts w:ascii="Times New Roman" w:hAnsi="Times New Roman" w:cs="Times New Roman"/>
          <w:color w:val="000000" w:themeColor="text1"/>
          <w:kern w:val="0"/>
          <w:sz w:val="24"/>
          <w:szCs w:val="24"/>
        </w:rPr>
        <w:t xml:space="preserve">.77, p = 0.44), sample size (estimate = </w:t>
      </w:r>
      <w:r w:rsidRPr="00AE70B4">
        <w:rPr>
          <w:rFonts w:ascii="Times New Roman" w:eastAsia="AdvTT887faa2e+22" w:hAnsi="Times New Roman" w:cs="Times New Roman"/>
          <w:color w:val="000000" w:themeColor="text1"/>
          <w:kern w:val="0"/>
          <w:sz w:val="24"/>
          <w:szCs w:val="24"/>
        </w:rPr>
        <w:t>−</w:t>
      </w:r>
      <w:r w:rsidRPr="00AE70B4">
        <w:rPr>
          <w:rFonts w:ascii="Times New Roman" w:hAnsi="Times New Roman" w:cs="Times New Roman"/>
          <w:color w:val="000000" w:themeColor="text1"/>
          <w:kern w:val="0"/>
          <w:sz w:val="24"/>
          <w:szCs w:val="24"/>
        </w:rPr>
        <w:t xml:space="preserve">0.002, 95% CI = </w:t>
      </w:r>
      <w:r w:rsidRPr="00AE70B4">
        <w:rPr>
          <w:rFonts w:ascii="Times New Roman" w:eastAsia="AdvTT887faa2e+22" w:hAnsi="Times New Roman" w:cs="Times New Roman"/>
          <w:color w:val="000000" w:themeColor="text1"/>
          <w:kern w:val="0"/>
          <w:sz w:val="24"/>
          <w:szCs w:val="24"/>
        </w:rPr>
        <w:t>−</w:t>
      </w:r>
      <w:r w:rsidRPr="00AE70B4">
        <w:rPr>
          <w:rFonts w:ascii="Times New Roman" w:hAnsi="Times New Roman" w:cs="Times New Roman"/>
          <w:color w:val="000000" w:themeColor="text1"/>
          <w:kern w:val="0"/>
          <w:sz w:val="24"/>
          <w:szCs w:val="24"/>
        </w:rPr>
        <w:t xml:space="preserve">0.001 to 0.0009, z = </w:t>
      </w:r>
      <w:r w:rsidRPr="00AE70B4">
        <w:rPr>
          <w:rFonts w:ascii="Times New Roman" w:eastAsia="AdvTT887faa2e+22" w:hAnsi="Times New Roman" w:cs="Times New Roman"/>
          <w:color w:val="000000" w:themeColor="text1"/>
          <w:kern w:val="0"/>
          <w:sz w:val="24"/>
          <w:szCs w:val="24"/>
        </w:rPr>
        <w:t>−</w:t>
      </w:r>
      <w:r w:rsidRPr="00AE70B4">
        <w:rPr>
          <w:rFonts w:ascii="Times New Roman" w:hAnsi="Times New Roman" w:cs="Times New Roman"/>
          <w:color w:val="000000" w:themeColor="text1"/>
          <w:kern w:val="0"/>
          <w:sz w:val="24"/>
          <w:szCs w:val="24"/>
        </w:rPr>
        <w:t xml:space="preserve">0.38, p = 0.71), age band (estimate = </w:t>
      </w:r>
      <w:r w:rsidRPr="00AE70B4">
        <w:rPr>
          <w:rFonts w:ascii="Times New Roman" w:eastAsia="AdvTT887faa2e+22" w:hAnsi="Times New Roman" w:cs="Times New Roman"/>
          <w:color w:val="000000" w:themeColor="text1"/>
          <w:kern w:val="0"/>
          <w:sz w:val="24"/>
          <w:szCs w:val="24"/>
        </w:rPr>
        <w:t>−</w:t>
      </w:r>
      <w:r w:rsidRPr="00AE70B4">
        <w:rPr>
          <w:rFonts w:ascii="Times New Roman" w:hAnsi="Times New Roman" w:cs="Times New Roman"/>
          <w:color w:val="000000" w:themeColor="text1"/>
          <w:kern w:val="0"/>
          <w:sz w:val="24"/>
          <w:szCs w:val="24"/>
        </w:rPr>
        <w:t xml:space="preserve">0.12, 95% CI = </w:t>
      </w:r>
      <w:r w:rsidRPr="00AE70B4">
        <w:rPr>
          <w:rFonts w:ascii="Times New Roman" w:eastAsia="AdvTT887faa2e+22" w:hAnsi="Times New Roman" w:cs="Times New Roman"/>
          <w:color w:val="000000" w:themeColor="text1"/>
          <w:kern w:val="0"/>
          <w:sz w:val="24"/>
          <w:szCs w:val="24"/>
        </w:rPr>
        <w:t>−</w:t>
      </w:r>
      <w:r w:rsidRPr="00AE70B4">
        <w:rPr>
          <w:rFonts w:ascii="Times New Roman" w:hAnsi="Times New Roman" w:cs="Times New Roman"/>
          <w:color w:val="000000" w:themeColor="text1"/>
          <w:kern w:val="0"/>
          <w:sz w:val="24"/>
          <w:szCs w:val="24"/>
        </w:rPr>
        <w:t xml:space="preserve">1.14 to 0.89, z = </w:t>
      </w:r>
      <w:r w:rsidRPr="00AE70B4">
        <w:rPr>
          <w:rFonts w:ascii="Times New Roman" w:eastAsia="AdvTT887faa2e+22" w:hAnsi="Times New Roman" w:cs="Times New Roman"/>
          <w:color w:val="000000" w:themeColor="text1"/>
          <w:kern w:val="0"/>
          <w:sz w:val="24"/>
          <w:szCs w:val="24"/>
        </w:rPr>
        <w:t>−</w:t>
      </w:r>
      <w:r w:rsidRPr="00AE70B4">
        <w:rPr>
          <w:rFonts w:ascii="Times New Roman" w:hAnsi="Times New Roman" w:cs="Times New Roman"/>
          <w:color w:val="000000" w:themeColor="text1"/>
          <w:kern w:val="0"/>
          <w:sz w:val="24"/>
          <w:szCs w:val="24"/>
        </w:rPr>
        <w:t xml:space="preserve">0.23, p = 0.82). </w:t>
      </w:r>
      <w:r w:rsidRPr="00AE70B4">
        <w:rPr>
          <w:rFonts w:ascii="Times New Roman" w:hAnsi="Times New Roman" w:cs="Times New Roman"/>
          <w:color w:val="000000" w:themeColor="text1"/>
          <w:sz w:val="24"/>
          <w:szCs w:val="24"/>
        </w:rPr>
        <w:t xml:space="preserve">Based on the statistical output, we can conclude that both years of study publication, sample size, and age band is not significant moderator, which is also supported by the insignificant regression coefficient. This suggests that they did not </w:t>
      </w:r>
      <w:r w:rsidRPr="00AE70B4">
        <w:rPr>
          <w:rFonts w:ascii="Times New Roman" w:hAnsi="Times New Roman" w:cs="Times New Roman"/>
          <w:color w:val="000000" w:themeColor="text1"/>
          <w:kern w:val="0"/>
          <w:sz w:val="24"/>
          <w:szCs w:val="24"/>
        </w:rPr>
        <w:t>moderate the variability in rotavirus prevalence at the study level.</w:t>
      </w:r>
    </w:p>
    <w:p w14:paraId="0B6D47D2" w14:textId="7DD27901" w:rsidR="00BA77F7" w:rsidRPr="00AE70B4" w:rsidRDefault="00BA77F7" w:rsidP="00AE70B4">
      <w:pPr>
        <w:spacing w:line="360" w:lineRule="auto"/>
        <w:rPr>
          <w:rFonts w:ascii="Times New Roman" w:hAnsi="Times New Roman" w:cs="Times New Roman"/>
          <w:b/>
          <w:bCs/>
          <w:sz w:val="24"/>
          <w:szCs w:val="24"/>
        </w:rPr>
      </w:pPr>
      <w:r w:rsidRPr="00AE70B4">
        <w:rPr>
          <w:rFonts w:ascii="Times New Roman" w:hAnsi="Times New Roman" w:cs="Times New Roman"/>
          <w:b/>
          <w:bCs/>
          <w:sz w:val="24"/>
          <w:szCs w:val="24"/>
        </w:rPr>
        <w:t xml:space="preserve">Meta-regression analyses and </w:t>
      </w:r>
      <w:r w:rsidR="00442D79" w:rsidRPr="00AE70B4">
        <w:rPr>
          <w:rFonts w:ascii="Times New Roman" w:hAnsi="Times New Roman" w:cs="Times New Roman"/>
          <w:b/>
          <w:bCs/>
          <w:sz w:val="24"/>
          <w:szCs w:val="24"/>
        </w:rPr>
        <w:t>moderators</w:t>
      </w:r>
      <w:r w:rsidRPr="00AE70B4">
        <w:rPr>
          <w:rFonts w:ascii="Times New Roman" w:hAnsi="Times New Roman" w:cs="Times New Roman"/>
          <w:b/>
          <w:bCs/>
          <w:sz w:val="24"/>
          <w:szCs w:val="24"/>
        </w:rPr>
        <w:t xml:space="preserve"> of Sapovirus positive</w:t>
      </w:r>
    </w:p>
    <w:p w14:paraId="63E64371" w14:textId="77777777" w:rsidR="00AE70B4" w:rsidRPr="00AE70B4" w:rsidRDefault="00AE70B4" w:rsidP="00AE70B4">
      <w:pPr>
        <w:pStyle w:val="HTMLPreformatted"/>
        <w:shd w:val="clear" w:color="auto" w:fill="FFFFFF"/>
        <w:wordWrap w:val="0"/>
        <w:spacing w:line="360" w:lineRule="auto"/>
        <w:jc w:val="both"/>
        <w:rPr>
          <w:rFonts w:ascii="Times New Roman" w:hAnsi="Times New Roman" w:cs="Times New Roman"/>
          <w:color w:val="000000" w:themeColor="text1"/>
          <w:sz w:val="24"/>
          <w:szCs w:val="24"/>
        </w:rPr>
      </w:pPr>
      <w:r w:rsidRPr="00AE70B4">
        <w:rPr>
          <w:rFonts w:ascii="Times New Roman" w:hAnsi="Times New Roman" w:cs="Times New Roman"/>
          <w:color w:val="000000" w:themeColor="text1"/>
          <w:sz w:val="24"/>
          <w:szCs w:val="24"/>
        </w:rPr>
        <w:t xml:space="preserve">The exploratory meta-regression analyses demonstrated that year between studies (estimate = 0.05, 95% CI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 xml:space="preserve">0.06 to 0.17, z = </w:t>
      </w:r>
      <w:r w:rsidRPr="00AE70B4">
        <w:rPr>
          <w:rFonts w:ascii="Times New Roman" w:eastAsia="AdvTT887faa2e+22" w:hAnsi="Times New Roman" w:cs="Times New Roman"/>
          <w:color w:val="000000" w:themeColor="text1"/>
          <w:sz w:val="24"/>
          <w:szCs w:val="24"/>
        </w:rPr>
        <w:t>0</w:t>
      </w:r>
      <w:r w:rsidRPr="00AE70B4">
        <w:rPr>
          <w:rFonts w:ascii="Times New Roman" w:hAnsi="Times New Roman" w:cs="Times New Roman"/>
          <w:color w:val="000000" w:themeColor="text1"/>
          <w:sz w:val="24"/>
          <w:szCs w:val="24"/>
        </w:rPr>
        <w:t>.86, p = 0.39), sample size</w:t>
      </w:r>
      <w:r w:rsidRPr="00AE70B4">
        <w:rPr>
          <w:rFonts w:ascii="Times New Roman" w:hAnsi="Times New Roman" w:cs="Times New Roman"/>
          <w:b/>
          <w:bCs/>
          <w:color w:val="000000" w:themeColor="text1"/>
          <w:sz w:val="24"/>
          <w:szCs w:val="24"/>
        </w:rPr>
        <w:t xml:space="preserve"> (</w:t>
      </w:r>
      <w:r w:rsidRPr="00AE70B4">
        <w:rPr>
          <w:rFonts w:ascii="Times New Roman" w:hAnsi="Times New Roman" w:cs="Times New Roman"/>
          <w:color w:val="000000" w:themeColor="text1"/>
          <w:sz w:val="24"/>
          <w:szCs w:val="24"/>
        </w:rPr>
        <w:t xml:space="preserve">estimate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 xml:space="preserve">0.002, 95% CI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 xml:space="preserve">0.004 to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 xml:space="preserve">0.0001, z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2.05, p = 0.04),</w:t>
      </w:r>
      <w:r w:rsidRPr="00AE70B4">
        <w:rPr>
          <w:rFonts w:ascii="Times New Roman" w:hAnsi="Times New Roman" w:cs="Times New Roman"/>
          <w:b/>
          <w:bCs/>
          <w:color w:val="000000" w:themeColor="text1"/>
          <w:sz w:val="24"/>
          <w:szCs w:val="24"/>
        </w:rPr>
        <w:t xml:space="preserve"> </w:t>
      </w:r>
      <w:r w:rsidRPr="00AE70B4">
        <w:rPr>
          <w:rFonts w:ascii="Times New Roman" w:hAnsi="Times New Roman" w:cs="Times New Roman"/>
          <w:color w:val="000000" w:themeColor="text1"/>
          <w:sz w:val="24"/>
          <w:szCs w:val="24"/>
        </w:rPr>
        <w:t xml:space="preserve">age band (estimate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 xml:space="preserve">1.65, 95% CI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 xml:space="preserve">3.44 to 0.144, z = </w:t>
      </w:r>
      <w:r w:rsidRPr="00AE70B4">
        <w:rPr>
          <w:rFonts w:ascii="Times New Roman" w:eastAsia="AdvTT887faa2e+22" w:hAnsi="Times New Roman" w:cs="Times New Roman"/>
          <w:color w:val="000000" w:themeColor="text1"/>
          <w:sz w:val="24"/>
          <w:szCs w:val="24"/>
        </w:rPr>
        <w:t>−</w:t>
      </w:r>
      <w:r w:rsidRPr="00AE70B4">
        <w:rPr>
          <w:rFonts w:ascii="Times New Roman" w:hAnsi="Times New Roman" w:cs="Times New Roman"/>
          <w:color w:val="000000" w:themeColor="text1"/>
          <w:sz w:val="24"/>
          <w:szCs w:val="24"/>
        </w:rPr>
        <w:t>1.80, p = 0.07)</w:t>
      </w:r>
      <w:r w:rsidRPr="00AE70B4">
        <w:rPr>
          <w:rFonts w:ascii="Times New Roman" w:hAnsi="Times New Roman" w:cs="Times New Roman"/>
          <w:b/>
          <w:bCs/>
          <w:color w:val="000000" w:themeColor="text1"/>
          <w:sz w:val="24"/>
          <w:szCs w:val="24"/>
        </w:rPr>
        <w:t>.</w:t>
      </w:r>
      <w:r w:rsidRPr="00AE70B4">
        <w:rPr>
          <w:rFonts w:ascii="Times New Roman" w:hAnsi="Times New Roman" w:cs="Times New Roman"/>
          <w:color w:val="000000" w:themeColor="text1"/>
          <w:sz w:val="24"/>
          <w:szCs w:val="24"/>
        </w:rPr>
        <w:t xml:space="preserve"> Based on the statistical output, we can conclude that both years of study publication and the age band is not significant moderator, which is also supported by the insignificant regression coefficient. This suggests that they did not moderate the variability in sapovirus prevalence at the study level. On the other hand, the results of the sample size test of moderators as well as the significant slope estimate conform to the statistical output interpretation of the association between sample size and the observed effect sizes.</w:t>
      </w:r>
    </w:p>
    <w:p w14:paraId="71D88E00" w14:textId="77777777" w:rsidR="00BA77F7" w:rsidRDefault="00BA77F7" w:rsidP="00AE70B4">
      <w:pPr>
        <w:autoSpaceDE w:val="0"/>
        <w:autoSpaceDN w:val="0"/>
        <w:adjustRightInd w:val="0"/>
        <w:spacing w:after="0" w:line="360" w:lineRule="auto"/>
        <w:jc w:val="both"/>
        <w:rPr>
          <w:rFonts w:ascii="Times New Roman" w:hAnsi="Times New Roman" w:cs="Times New Roman"/>
          <w:color w:val="FF0000"/>
          <w:kern w:val="0"/>
          <w:sz w:val="24"/>
          <w:szCs w:val="24"/>
        </w:rPr>
      </w:pPr>
    </w:p>
    <w:p w14:paraId="2BF4421D" w14:textId="77777777" w:rsidR="00AD2852" w:rsidRDefault="00AD2852" w:rsidP="00AE70B4">
      <w:pPr>
        <w:autoSpaceDE w:val="0"/>
        <w:autoSpaceDN w:val="0"/>
        <w:adjustRightInd w:val="0"/>
        <w:spacing w:after="0" w:line="360" w:lineRule="auto"/>
        <w:jc w:val="both"/>
        <w:rPr>
          <w:rFonts w:ascii="Times New Roman" w:hAnsi="Times New Roman" w:cs="Times New Roman"/>
          <w:color w:val="FF0000"/>
          <w:kern w:val="0"/>
          <w:sz w:val="24"/>
          <w:szCs w:val="24"/>
        </w:rPr>
      </w:pPr>
    </w:p>
    <w:p w14:paraId="549924CE" w14:textId="77777777" w:rsidR="00AD2852" w:rsidRPr="00AE70B4" w:rsidRDefault="00AD2852" w:rsidP="00AE70B4">
      <w:pPr>
        <w:autoSpaceDE w:val="0"/>
        <w:autoSpaceDN w:val="0"/>
        <w:adjustRightInd w:val="0"/>
        <w:spacing w:after="0" w:line="360" w:lineRule="auto"/>
        <w:jc w:val="both"/>
        <w:rPr>
          <w:rFonts w:ascii="Times New Roman" w:hAnsi="Times New Roman" w:cs="Times New Roman"/>
          <w:color w:val="FF0000"/>
          <w:kern w:val="0"/>
          <w:sz w:val="24"/>
          <w:szCs w:val="24"/>
        </w:rPr>
      </w:pPr>
      <w:bookmarkStart w:id="0" w:name="_GoBack"/>
      <w:bookmarkEnd w:id="0"/>
    </w:p>
    <w:sectPr w:rsidR="00AD2852" w:rsidRPr="00AE70B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dvTT887faa2e+22">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jE2NTM1NTQxNTcxMbNU0lEKTi0uzszPAykwrAUANjfmPiwAAAA="/>
  </w:docVars>
  <w:rsids>
    <w:rsidRoot w:val="00036A49"/>
    <w:rsid w:val="00036A49"/>
    <w:rsid w:val="000F23A3"/>
    <w:rsid w:val="00170CA7"/>
    <w:rsid w:val="003266B3"/>
    <w:rsid w:val="003D7622"/>
    <w:rsid w:val="00414BD6"/>
    <w:rsid w:val="00442D79"/>
    <w:rsid w:val="0045500B"/>
    <w:rsid w:val="004D2699"/>
    <w:rsid w:val="00643E9C"/>
    <w:rsid w:val="006D6BFE"/>
    <w:rsid w:val="00810C2D"/>
    <w:rsid w:val="00AD2852"/>
    <w:rsid w:val="00AE70B4"/>
    <w:rsid w:val="00BA77F7"/>
    <w:rsid w:val="00C65DAA"/>
    <w:rsid w:val="00D518B0"/>
    <w:rsid w:val="00DD4AB3"/>
    <w:rsid w:val="00F545EC"/>
    <w:rsid w:val="00F721E1"/>
    <w:rsid w:val="00F910F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D74236"/>
  <w15:chartTrackingRefBased/>
  <w15:docId w15:val="{1AEC6B69-BC43-4373-964B-E966F5C550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unhideWhenUsed/>
    <w:rsid w:val="00036A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14:ligatures w14:val="none"/>
    </w:rPr>
  </w:style>
  <w:style w:type="character" w:customStyle="1" w:styleId="HTMLPreformattedChar">
    <w:name w:val="HTML Preformatted Char"/>
    <w:basedOn w:val="DefaultParagraphFont"/>
    <w:link w:val="HTMLPreformatted"/>
    <w:uiPriority w:val="99"/>
    <w:rsid w:val="00036A49"/>
    <w:rPr>
      <w:rFonts w:ascii="Courier New" w:eastAsia="Times New Roman" w:hAnsi="Courier New" w:cs="Courier New"/>
      <w:kern w:val="0"/>
      <w:sz w:val="20"/>
      <w:szCs w:val="20"/>
      <w14:ligatures w14:val="none"/>
    </w:rPr>
  </w:style>
  <w:style w:type="character" w:customStyle="1" w:styleId="gnd-iwgdh3b">
    <w:name w:val="gnd-iwgdh3b"/>
    <w:basedOn w:val="DefaultParagraphFont"/>
    <w:rsid w:val="00036A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801473">
      <w:bodyDiv w:val="1"/>
      <w:marLeft w:val="0"/>
      <w:marRight w:val="0"/>
      <w:marTop w:val="0"/>
      <w:marBottom w:val="0"/>
      <w:divBdr>
        <w:top w:val="none" w:sz="0" w:space="0" w:color="auto"/>
        <w:left w:val="none" w:sz="0" w:space="0" w:color="auto"/>
        <w:bottom w:val="none" w:sz="0" w:space="0" w:color="auto"/>
        <w:right w:val="none" w:sz="0" w:space="0" w:color="auto"/>
      </w:divBdr>
    </w:div>
    <w:div w:id="135949040">
      <w:bodyDiv w:val="1"/>
      <w:marLeft w:val="0"/>
      <w:marRight w:val="0"/>
      <w:marTop w:val="0"/>
      <w:marBottom w:val="0"/>
      <w:divBdr>
        <w:top w:val="none" w:sz="0" w:space="0" w:color="auto"/>
        <w:left w:val="none" w:sz="0" w:space="0" w:color="auto"/>
        <w:bottom w:val="none" w:sz="0" w:space="0" w:color="auto"/>
        <w:right w:val="none" w:sz="0" w:space="0" w:color="auto"/>
      </w:divBdr>
    </w:div>
    <w:div w:id="604339014">
      <w:bodyDiv w:val="1"/>
      <w:marLeft w:val="0"/>
      <w:marRight w:val="0"/>
      <w:marTop w:val="0"/>
      <w:marBottom w:val="0"/>
      <w:divBdr>
        <w:top w:val="none" w:sz="0" w:space="0" w:color="auto"/>
        <w:left w:val="none" w:sz="0" w:space="0" w:color="auto"/>
        <w:bottom w:val="none" w:sz="0" w:space="0" w:color="auto"/>
        <w:right w:val="none" w:sz="0" w:space="0" w:color="auto"/>
      </w:divBdr>
    </w:div>
    <w:div w:id="629629174">
      <w:bodyDiv w:val="1"/>
      <w:marLeft w:val="0"/>
      <w:marRight w:val="0"/>
      <w:marTop w:val="0"/>
      <w:marBottom w:val="0"/>
      <w:divBdr>
        <w:top w:val="none" w:sz="0" w:space="0" w:color="auto"/>
        <w:left w:val="none" w:sz="0" w:space="0" w:color="auto"/>
        <w:bottom w:val="none" w:sz="0" w:space="0" w:color="auto"/>
        <w:right w:val="none" w:sz="0" w:space="0" w:color="auto"/>
      </w:divBdr>
    </w:div>
    <w:div w:id="642581693">
      <w:bodyDiv w:val="1"/>
      <w:marLeft w:val="0"/>
      <w:marRight w:val="0"/>
      <w:marTop w:val="0"/>
      <w:marBottom w:val="0"/>
      <w:divBdr>
        <w:top w:val="none" w:sz="0" w:space="0" w:color="auto"/>
        <w:left w:val="none" w:sz="0" w:space="0" w:color="auto"/>
        <w:bottom w:val="none" w:sz="0" w:space="0" w:color="auto"/>
        <w:right w:val="none" w:sz="0" w:space="0" w:color="auto"/>
      </w:divBdr>
    </w:div>
    <w:div w:id="656105311">
      <w:bodyDiv w:val="1"/>
      <w:marLeft w:val="0"/>
      <w:marRight w:val="0"/>
      <w:marTop w:val="0"/>
      <w:marBottom w:val="0"/>
      <w:divBdr>
        <w:top w:val="none" w:sz="0" w:space="0" w:color="auto"/>
        <w:left w:val="none" w:sz="0" w:space="0" w:color="auto"/>
        <w:bottom w:val="none" w:sz="0" w:space="0" w:color="auto"/>
        <w:right w:val="none" w:sz="0" w:space="0" w:color="auto"/>
      </w:divBdr>
    </w:div>
    <w:div w:id="796725937">
      <w:bodyDiv w:val="1"/>
      <w:marLeft w:val="0"/>
      <w:marRight w:val="0"/>
      <w:marTop w:val="0"/>
      <w:marBottom w:val="0"/>
      <w:divBdr>
        <w:top w:val="none" w:sz="0" w:space="0" w:color="auto"/>
        <w:left w:val="none" w:sz="0" w:space="0" w:color="auto"/>
        <w:bottom w:val="none" w:sz="0" w:space="0" w:color="auto"/>
        <w:right w:val="none" w:sz="0" w:space="0" w:color="auto"/>
      </w:divBdr>
    </w:div>
    <w:div w:id="812330504">
      <w:bodyDiv w:val="1"/>
      <w:marLeft w:val="0"/>
      <w:marRight w:val="0"/>
      <w:marTop w:val="0"/>
      <w:marBottom w:val="0"/>
      <w:divBdr>
        <w:top w:val="none" w:sz="0" w:space="0" w:color="auto"/>
        <w:left w:val="none" w:sz="0" w:space="0" w:color="auto"/>
        <w:bottom w:val="none" w:sz="0" w:space="0" w:color="auto"/>
        <w:right w:val="none" w:sz="0" w:space="0" w:color="auto"/>
      </w:divBdr>
    </w:div>
    <w:div w:id="862978270">
      <w:bodyDiv w:val="1"/>
      <w:marLeft w:val="0"/>
      <w:marRight w:val="0"/>
      <w:marTop w:val="0"/>
      <w:marBottom w:val="0"/>
      <w:divBdr>
        <w:top w:val="none" w:sz="0" w:space="0" w:color="auto"/>
        <w:left w:val="none" w:sz="0" w:space="0" w:color="auto"/>
        <w:bottom w:val="none" w:sz="0" w:space="0" w:color="auto"/>
        <w:right w:val="none" w:sz="0" w:space="0" w:color="auto"/>
      </w:divBdr>
    </w:div>
    <w:div w:id="1307778650">
      <w:bodyDiv w:val="1"/>
      <w:marLeft w:val="0"/>
      <w:marRight w:val="0"/>
      <w:marTop w:val="0"/>
      <w:marBottom w:val="0"/>
      <w:divBdr>
        <w:top w:val="none" w:sz="0" w:space="0" w:color="auto"/>
        <w:left w:val="none" w:sz="0" w:space="0" w:color="auto"/>
        <w:bottom w:val="none" w:sz="0" w:space="0" w:color="auto"/>
        <w:right w:val="none" w:sz="0" w:space="0" w:color="auto"/>
      </w:divBdr>
    </w:div>
    <w:div w:id="1432702788">
      <w:bodyDiv w:val="1"/>
      <w:marLeft w:val="0"/>
      <w:marRight w:val="0"/>
      <w:marTop w:val="0"/>
      <w:marBottom w:val="0"/>
      <w:divBdr>
        <w:top w:val="none" w:sz="0" w:space="0" w:color="auto"/>
        <w:left w:val="none" w:sz="0" w:space="0" w:color="auto"/>
        <w:bottom w:val="none" w:sz="0" w:space="0" w:color="auto"/>
        <w:right w:val="none" w:sz="0" w:space="0" w:color="auto"/>
      </w:divBdr>
    </w:div>
    <w:div w:id="1466967040">
      <w:bodyDiv w:val="1"/>
      <w:marLeft w:val="0"/>
      <w:marRight w:val="0"/>
      <w:marTop w:val="0"/>
      <w:marBottom w:val="0"/>
      <w:divBdr>
        <w:top w:val="none" w:sz="0" w:space="0" w:color="auto"/>
        <w:left w:val="none" w:sz="0" w:space="0" w:color="auto"/>
        <w:bottom w:val="none" w:sz="0" w:space="0" w:color="auto"/>
        <w:right w:val="none" w:sz="0" w:space="0" w:color="auto"/>
      </w:divBdr>
    </w:div>
    <w:div w:id="1597980698">
      <w:bodyDiv w:val="1"/>
      <w:marLeft w:val="0"/>
      <w:marRight w:val="0"/>
      <w:marTop w:val="0"/>
      <w:marBottom w:val="0"/>
      <w:divBdr>
        <w:top w:val="none" w:sz="0" w:space="0" w:color="auto"/>
        <w:left w:val="none" w:sz="0" w:space="0" w:color="auto"/>
        <w:bottom w:val="none" w:sz="0" w:space="0" w:color="auto"/>
        <w:right w:val="none" w:sz="0" w:space="0" w:color="auto"/>
      </w:divBdr>
    </w:div>
    <w:div w:id="1811553708">
      <w:bodyDiv w:val="1"/>
      <w:marLeft w:val="0"/>
      <w:marRight w:val="0"/>
      <w:marTop w:val="0"/>
      <w:marBottom w:val="0"/>
      <w:divBdr>
        <w:top w:val="none" w:sz="0" w:space="0" w:color="auto"/>
        <w:left w:val="none" w:sz="0" w:space="0" w:color="auto"/>
        <w:bottom w:val="none" w:sz="0" w:space="0" w:color="auto"/>
        <w:right w:val="none" w:sz="0" w:space="0" w:color="auto"/>
      </w:divBdr>
    </w:div>
    <w:div w:id="1853841015">
      <w:bodyDiv w:val="1"/>
      <w:marLeft w:val="0"/>
      <w:marRight w:val="0"/>
      <w:marTop w:val="0"/>
      <w:marBottom w:val="0"/>
      <w:divBdr>
        <w:top w:val="none" w:sz="0" w:space="0" w:color="auto"/>
        <w:left w:val="none" w:sz="0" w:space="0" w:color="auto"/>
        <w:bottom w:val="none" w:sz="0" w:space="0" w:color="auto"/>
        <w:right w:val="none" w:sz="0" w:space="0" w:color="auto"/>
      </w:divBdr>
    </w:div>
    <w:div w:id="1877623274">
      <w:bodyDiv w:val="1"/>
      <w:marLeft w:val="0"/>
      <w:marRight w:val="0"/>
      <w:marTop w:val="0"/>
      <w:marBottom w:val="0"/>
      <w:divBdr>
        <w:top w:val="none" w:sz="0" w:space="0" w:color="auto"/>
        <w:left w:val="none" w:sz="0" w:space="0" w:color="auto"/>
        <w:bottom w:val="none" w:sz="0" w:space="0" w:color="auto"/>
        <w:right w:val="none" w:sz="0" w:space="0" w:color="auto"/>
      </w:divBdr>
    </w:div>
    <w:div w:id="1884630698">
      <w:bodyDiv w:val="1"/>
      <w:marLeft w:val="0"/>
      <w:marRight w:val="0"/>
      <w:marTop w:val="0"/>
      <w:marBottom w:val="0"/>
      <w:divBdr>
        <w:top w:val="none" w:sz="0" w:space="0" w:color="auto"/>
        <w:left w:val="none" w:sz="0" w:space="0" w:color="auto"/>
        <w:bottom w:val="none" w:sz="0" w:space="0" w:color="auto"/>
        <w:right w:val="none" w:sz="0" w:space="0" w:color="auto"/>
      </w:divBdr>
    </w:div>
    <w:div w:id="1953780100">
      <w:bodyDiv w:val="1"/>
      <w:marLeft w:val="0"/>
      <w:marRight w:val="0"/>
      <w:marTop w:val="0"/>
      <w:marBottom w:val="0"/>
      <w:divBdr>
        <w:top w:val="none" w:sz="0" w:space="0" w:color="auto"/>
        <w:left w:val="none" w:sz="0" w:space="0" w:color="auto"/>
        <w:bottom w:val="none" w:sz="0" w:space="0" w:color="auto"/>
        <w:right w:val="none" w:sz="0" w:space="0" w:color="auto"/>
      </w:divBdr>
    </w:div>
    <w:div w:id="2050061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571</Words>
  <Characters>3255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Ebenezer</dc:creator>
  <cp:keywords/>
  <dc:description/>
  <cp:lastModifiedBy>Student</cp:lastModifiedBy>
  <cp:revision>2</cp:revision>
  <dcterms:created xsi:type="dcterms:W3CDTF">2024-04-16T09:45:00Z</dcterms:created>
  <dcterms:modified xsi:type="dcterms:W3CDTF">2024-04-16T09:45:00Z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6b998389cef53233fa57df20e186075b8c8e8329c94b7ce877dc2abac0cd2a5d</vt:lpwstr>
  </property>
</Properties>
</file>