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5655B6" w14:textId="77777777" w:rsidR="00EF65F1" w:rsidRDefault="00484A18">
      <w:pPr>
        <w:spacing w:after="0" w:line="360" w:lineRule="auto"/>
        <w:jc w:val="center"/>
        <w:rPr>
          <w:rFonts w:ascii="Times New Roman" w:hAnsi="Times New Roman" w:cs="Times New Roman"/>
          <w:b/>
          <w:sz w:val="28"/>
          <w:szCs w:val="28"/>
        </w:rPr>
      </w:pPr>
      <w:r>
        <w:rPr>
          <w:rFonts w:ascii="Times New Roman" w:eastAsia="Times New Roman" w:hAnsi="Times New Roman" w:cs="Times New Roman"/>
          <w:b/>
          <w:bCs/>
          <w:i/>
          <w:sz w:val="28"/>
          <w:szCs w:val="28"/>
          <w:lang w:val="af-ZA" w:eastAsia="en-GB"/>
        </w:rPr>
        <w:t>In vitro</w:t>
      </w:r>
      <w:r>
        <w:rPr>
          <w:rFonts w:ascii="Times New Roman" w:eastAsia="Times New Roman" w:hAnsi="Times New Roman" w:cs="Times New Roman"/>
          <w:b/>
          <w:bCs/>
          <w:sz w:val="28"/>
          <w:szCs w:val="28"/>
          <w:lang w:val="af-ZA" w:eastAsia="en-GB"/>
        </w:rPr>
        <w:t xml:space="preserve"> methane and gas production characteristics of </w:t>
      </w:r>
      <w:r>
        <w:rPr>
          <w:rFonts w:ascii="Times New Roman" w:eastAsia="Times New Roman" w:hAnsi="Times New Roman" w:cs="Times New Roman"/>
          <w:b/>
          <w:bCs/>
          <w:i/>
          <w:sz w:val="28"/>
          <w:szCs w:val="28"/>
          <w:lang w:val="af-ZA" w:eastAsia="en-GB"/>
        </w:rPr>
        <w:t>Eragrostis curvula</w:t>
      </w:r>
      <w:r>
        <w:rPr>
          <w:rFonts w:ascii="Times New Roman" w:eastAsia="Times New Roman" w:hAnsi="Times New Roman" w:cs="Times New Roman"/>
          <w:b/>
          <w:bCs/>
          <w:sz w:val="28"/>
          <w:szCs w:val="28"/>
          <w:lang w:val="af-ZA" w:eastAsia="en-GB"/>
        </w:rPr>
        <w:t xml:space="preserve"> feed supplemented with seven South African plant extract additives</w:t>
      </w:r>
    </w:p>
    <w:p w14:paraId="2022F438" w14:textId="77777777" w:rsidR="00EF65F1" w:rsidRDefault="00EF65F1">
      <w:pPr>
        <w:spacing w:after="0" w:line="360" w:lineRule="auto"/>
        <w:jc w:val="center"/>
        <w:rPr>
          <w:rFonts w:ascii="Times New Roman" w:hAnsi="Times New Roman" w:cs="Times New Roman"/>
          <w:sz w:val="28"/>
          <w:szCs w:val="28"/>
        </w:rPr>
      </w:pPr>
    </w:p>
    <w:p w14:paraId="77FFDEA8"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by</w:t>
      </w:r>
    </w:p>
    <w:p w14:paraId="2E0DDCD3"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Jenna May Davis</w:t>
      </w:r>
    </w:p>
    <w:p w14:paraId="64DD65FD" w14:textId="77777777" w:rsidR="00EF65F1" w:rsidRDefault="00EF65F1">
      <w:pPr>
        <w:spacing w:after="0" w:line="360" w:lineRule="auto"/>
        <w:jc w:val="center"/>
        <w:rPr>
          <w:rFonts w:ascii="Times New Roman" w:hAnsi="Times New Roman" w:cs="Times New Roman"/>
          <w:sz w:val="22"/>
          <w:szCs w:val="22"/>
        </w:rPr>
      </w:pPr>
    </w:p>
    <w:p w14:paraId="1C9E84DC" w14:textId="77777777" w:rsidR="00EF65F1" w:rsidRDefault="00EF65F1">
      <w:pPr>
        <w:spacing w:after="0" w:line="360" w:lineRule="auto"/>
        <w:jc w:val="center"/>
        <w:rPr>
          <w:rFonts w:ascii="Times New Roman" w:hAnsi="Times New Roman" w:cs="Times New Roman"/>
          <w:sz w:val="24"/>
          <w:szCs w:val="24"/>
        </w:rPr>
      </w:pPr>
    </w:p>
    <w:p w14:paraId="085BBF9F"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Submitted in partial fulfilment of the requirements for the degree</w:t>
      </w:r>
    </w:p>
    <w:p w14:paraId="42D2E61E"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MSc (Agric) Animal Science: Animal Nutrition</w:t>
      </w:r>
    </w:p>
    <w:p w14:paraId="2FD2DEF2"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In the Faculty of Natural &amp; Agricultural Sciences</w:t>
      </w:r>
    </w:p>
    <w:p w14:paraId="47BFBFC8"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University of Pretoria</w:t>
      </w:r>
    </w:p>
    <w:p w14:paraId="222D3BA4"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Pretoria</w:t>
      </w:r>
    </w:p>
    <w:p w14:paraId="3C55D034" w14:textId="77777777" w:rsidR="00EF65F1" w:rsidRDefault="00EF65F1">
      <w:pPr>
        <w:spacing w:after="0" w:line="360" w:lineRule="auto"/>
        <w:jc w:val="center"/>
        <w:rPr>
          <w:rFonts w:ascii="Times New Roman" w:hAnsi="Times New Roman" w:cs="Times New Roman"/>
          <w:sz w:val="24"/>
          <w:szCs w:val="24"/>
        </w:rPr>
      </w:pPr>
    </w:p>
    <w:p w14:paraId="43213BA0" w14:textId="77777777" w:rsidR="00EF65F1" w:rsidRDefault="00EF65F1">
      <w:pPr>
        <w:spacing w:after="0" w:line="360" w:lineRule="auto"/>
        <w:jc w:val="center"/>
        <w:rPr>
          <w:rFonts w:ascii="Times New Roman" w:hAnsi="Times New Roman" w:cs="Times New Roman"/>
          <w:sz w:val="24"/>
          <w:szCs w:val="24"/>
        </w:rPr>
      </w:pPr>
    </w:p>
    <w:p w14:paraId="6CF92FB4" w14:textId="77777777" w:rsidR="00EF65F1" w:rsidRDefault="00EF65F1">
      <w:pPr>
        <w:spacing w:after="0" w:line="360" w:lineRule="auto"/>
        <w:jc w:val="center"/>
        <w:rPr>
          <w:sz w:val="24"/>
          <w:szCs w:val="24"/>
        </w:rPr>
      </w:pPr>
    </w:p>
    <w:p w14:paraId="2EA810A4"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January 2019</w:t>
      </w:r>
    </w:p>
    <w:p w14:paraId="00932DFC" w14:textId="77777777" w:rsidR="00EF65F1" w:rsidRDefault="00EF65F1">
      <w:pPr>
        <w:spacing w:after="0" w:line="360" w:lineRule="auto"/>
        <w:jc w:val="center"/>
        <w:rPr>
          <w:rFonts w:ascii="Times New Roman" w:hAnsi="Times New Roman" w:cs="Times New Roman"/>
          <w:sz w:val="24"/>
          <w:szCs w:val="24"/>
        </w:rPr>
      </w:pPr>
    </w:p>
    <w:p w14:paraId="2957DE30" w14:textId="77777777" w:rsidR="00EF65F1" w:rsidRDefault="00EF65F1">
      <w:pPr>
        <w:spacing w:after="0" w:line="360" w:lineRule="auto"/>
        <w:jc w:val="center"/>
        <w:rPr>
          <w:rFonts w:ascii="Times New Roman" w:hAnsi="Times New Roman" w:cs="Times New Roman"/>
          <w:sz w:val="24"/>
          <w:szCs w:val="24"/>
        </w:rPr>
      </w:pPr>
    </w:p>
    <w:p w14:paraId="2AF38F69" w14:textId="77777777" w:rsidR="00EF65F1" w:rsidRDefault="00EF65F1">
      <w:pPr>
        <w:spacing w:after="0" w:line="360" w:lineRule="auto"/>
        <w:jc w:val="center"/>
        <w:rPr>
          <w:rFonts w:ascii="Times New Roman" w:hAnsi="Times New Roman" w:cs="Times New Roman"/>
          <w:sz w:val="24"/>
          <w:szCs w:val="24"/>
        </w:rPr>
      </w:pPr>
    </w:p>
    <w:p w14:paraId="5CD1886C" w14:textId="77777777" w:rsidR="00EF65F1" w:rsidRDefault="00484A18">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Promoter: Prof. Abubeker Hassen</w:t>
      </w:r>
    </w:p>
    <w:p w14:paraId="6D6B6E30" w14:textId="77777777" w:rsidR="00EF65F1" w:rsidRDefault="00EF65F1">
      <w:pPr>
        <w:spacing w:after="0" w:line="360" w:lineRule="auto"/>
        <w:jc w:val="center"/>
        <w:rPr>
          <w:rFonts w:ascii="Times New Roman" w:hAnsi="Times New Roman" w:cs="Times New Roman"/>
          <w:sz w:val="24"/>
          <w:szCs w:val="24"/>
        </w:rPr>
      </w:pPr>
    </w:p>
    <w:p w14:paraId="4D6F0C97" w14:textId="77777777" w:rsidR="00EF65F1" w:rsidRDefault="00484A18">
      <w:pPr>
        <w:spacing w:after="0" w:line="360" w:lineRule="auto"/>
        <w:jc w:val="center"/>
        <w:rPr>
          <w:rFonts w:ascii="Times New Roman" w:hAnsi="Times New Roman" w:cs="Times New Roman"/>
          <w:sz w:val="24"/>
          <w:szCs w:val="24"/>
        </w:rPr>
      </w:pPr>
      <w:r>
        <w:rPr>
          <w:noProof/>
          <w:lang w:eastAsia="en-ZA"/>
        </w:rPr>
        <w:drawing>
          <wp:inline distT="0" distB="0" distL="0" distR="0" wp14:anchorId="5905467C" wp14:editId="3A6DEA39">
            <wp:extent cx="3009900" cy="8191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p-logo (1).jpg"/>
                    <pic:cNvPicPr/>
                  </pic:nvPicPr>
                  <pic:blipFill>
                    <a:blip r:embed="rId8">
                      <a:extLst>
                        <a:ext uri="{28A0092B-C50C-407E-A947-70E740481C1C}">
                          <a14:useLocalDpi xmlns:a14="http://schemas.microsoft.com/office/drawing/2010/main" val="0"/>
                        </a:ext>
                      </a:extLst>
                    </a:blip>
                    <a:stretch>
                      <a:fillRect/>
                    </a:stretch>
                  </pic:blipFill>
                  <pic:spPr>
                    <a:xfrm>
                      <a:off x="0" y="0"/>
                      <a:ext cx="3009900" cy="819150"/>
                    </a:xfrm>
                    <a:prstGeom prst="rect">
                      <a:avLst/>
                    </a:prstGeom>
                  </pic:spPr>
                </pic:pic>
              </a:graphicData>
            </a:graphic>
          </wp:inline>
        </w:drawing>
      </w:r>
    </w:p>
    <w:p w14:paraId="3842DF16" w14:textId="77777777" w:rsidR="00EF65F1" w:rsidRDefault="00EF65F1"/>
    <w:p w14:paraId="78752DD9" w14:textId="77777777" w:rsidR="00EF65F1" w:rsidRDefault="00EF65F1">
      <w:pPr>
        <w:jc w:val="center"/>
        <w:sectPr w:rsidR="00EF65F1">
          <w:footerReference w:type="default" r:id="rId9"/>
          <w:headerReference w:type="first" r:id="rId10"/>
          <w:pgSz w:w="11906" w:h="16838"/>
          <w:pgMar w:top="1440" w:right="1440" w:bottom="1440" w:left="1440" w:header="709" w:footer="709" w:gutter="0"/>
          <w:pgNumType w:fmt="upperRoman"/>
          <w:cols w:space="708"/>
          <w:vAlign w:val="center"/>
          <w:titlePg/>
          <w:docGrid w:linePitch="360"/>
        </w:sectPr>
      </w:pPr>
    </w:p>
    <w:p w14:paraId="426CDC63" w14:textId="77777777" w:rsidR="00EF65F1" w:rsidRDefault="00484A18">
      <w:pPr>
        <w:pStyle w:val="Heading1"/>
        <w:numPr>
          <w:ilvl w:val="0"/>
          <w:numId w:val="0"/>
        </w:numPr>
        <w:ind w:left="141"/>
        <w:jc w:val="center"/>
        <w:rPr>
          <w:rFonts w:ascii="Times New Roman" w:hAnsi="Times New Roman" w:cs="Times New Roman"/>
          <w:b/>
          <w:color w:val="auto"/>
          <w:sz w:val="28"/>
          <w:szCs w:val="28"/>
        </w:rPr>
      </w:pPr>
      <w:bookmarkStart w:id="0" w:name="_Hlk535584809"/>
      <w:bookmarkStart w:id="1" w:name="_Toc2691103"/>
      <w:r>
        <w:rPr>
          <w:rFonts w:ascii="Times New Roman" w:hAnsi="Times New Roman" w:cs="Times New Roman"/>
          <w:b/>
          <w:color w:val="auto"/>
          <w:sz w:val="28"/>
          <w:szCs w:val="28"/>
        </w:rPr>
        <w:lastRenderedPageBreak/>
        <w:t>Table of contents</w:t>
      </w:r>
      <w:bookmarkEnd w:id="1"/>
    </w:p>
    <w:p w14:paraId="654F93DC" w14:textId="77777777" w:rsidR="00EF65F1" w:rsidRDefault="00EF65F1">
      <w:pPr>
        <w:pStyle w:val="Heading1"/>
        <w:numPr>
          <w:ilvl w:val="0"/>
          <w:numId w:val="0"/>
        </w:numPr>
        <w:spacing w:line="360" w:lineRule="auto"/>
        <w:jc w:val="both"/>
        <w:rPr>
          <w:rFonts w:ascii="Times New Roman" w:hAnsi="Times New Roman" w:cs="Times New Roman"/>
          <w:color w:val="auto"/>
          <w:sz w:val="22"/>
          <w:szCs w:val="22"/>
        </w:rPr>
        <w:sectPr w:rsidR="00EF65F1">
          <w:pgSz w:w="11906" w:h="16838" w:code="9"/>
          <w:pgMar w:top="1440" w:right="1440" w:bottom="1440" w:left="1440" w:header="709" w:footer="709" w:gutter="0"/>
          <w:pgNumType w:fmt="upperRoman" w:start="1"/>
          <w:cols w:space="708"/>
          <w:docGrid w:linePitch="360"/>
        </w:sectPr>
      </w:pPr>
    </w:p>
    <w:sdt>
      <w:sdtPr>
        <w:rPr>
          <w:rFonts w:ascii="Times New Roman" w:hAnsi="Times New Roman" w:cs="Times New Roman"/>
          <w:sz w:val="22"/>
          <w:szCs w:val="22"/>
        </w:rPr>
        <w:id w:val="-2094541005"/>
        <w:docPartObj>
          <w:docPartGallery w:val="Table of Contents"/>
          <w:docPartUnique/>
        </w:docPartObj>
      </w:sdtPr>
      <w:sdtEndPr>
        <w:rPr>
          <w:b/>
          <w:bCs/>
          <w:noProof/>
        </w:rPr>
      </w:sdtEndPr>
      <w:sdtContent>
        <w:p w14:paraId="3E3E785E" w14:textId="6D8337DF" w:rsidR="006D2425" w:rsidRDefault="00484A18">
          <w:pPr>
            <w:pStyle w:val="TOC1"/>
            <w:tabs>
              <w:tab w:val="right" w:leader="dot" w:pos="9016"/>
            </w:tabs>
            <w:rPr>
              <w:rFonts w:asciiTheme="minorHAnsi" w:eastAsiaTheme="minorEastAsia" w:hAnsiTheme="minorHAnsi" w:cstheme="minorBidi"/>
              <w:noProof/>
              <w:sz w:val="22"/>
              <w:szCs w:val="22"/>
              <w:lang w:eastAsia="en-ZA"/>
            </w:rPr>
          </w:pPr>
          <w:r>
            <w:rPr>
              <w:rFonts w:ascii="Times New Roman" w:hAnsi="Times New Roman" w:cs="Times New Roman"/>
              <w:b/>
              <w:bCs/>
              <w:noProof/>
              <w:sz w:val="22"/>
              <w:szCs w:val="22"/>
            </w:rPr>
            <w:fldChar w:fldCharType="begin"/>
          </w:r>
          <w:r>
            <w:rPr>
              <w:rFonts w:ascii="Times New Roman" w:hAnsi="Times New Roman" w:cs="Times New Roman"/>
              <w:b/>
              <w:bCs/>
              <w:noProof/>
              <w:sz w:val="22"/>
              <w:szCs w:val="22"/>
            </w:rPr>
            <w:instrText xml:space="preserve"> TOC \o "1-3" \h \z \u </w:instrText>
          </w:r>
          <w:r>
            <w:rPr>
              <w:rFonts w:ascii="Times New Roman" w:hAnsi="Times New Roman" w:cs="Times New Roman"/>
              <w:b/>
              <w:bCs/>
              <w:noProof/>
              <w:sz w:val="22"/>
              <w:szCs w:val="22"/>
            </w:rPr>
            <w:fldChar w:fldCharType="separate"/>
          </w:r>
          <w:hyperlink w:anchor="_Toc2691103" w:history="1">
            <w:r w:rsidR="006D2425" w:rsidRPr="00AD6A76">
              <w:rPr>
                <w:rStyle w:val="Hyperlink"/>
                <w:rFonts w:ascii="Times New Roman" w:hAnsi="Times New Roman" w:cs="Times New Roman"/>
                <w:b/>
                <w:noProof/>
              </w:rPr>
              <w:t>Table of contents</w:t>
            </w:r>
            <w:r w:rsidR="006D2425">
              <w:rPr>
                <w:noProof/>
                <w:webHidden/>
              </w:rPr>
              <w:tab/>
            </w:r>
            <w:r w:rsidR="006D2425">
              <w:rPr>
                <w:noProof/>
                <w:webHidden/>
              </w:rPr>
              <w:fldChar w:fldCharType="begin"/>
            </w:r>
            <w:r w:rsidR="006D2425">
              <w:rPr>
                <w:noProof/>
                <w:webHidden/>
              </w:rPr>
              <w:instrText xml:space="preserve"> PAGEREF _Toc2691103 \h </w:instrText>
            </w:r>
            <w:r w:rsidR="006D2425">
              <w:rPr>
                <w:noProof/>
                <w:webHidden/>
              </w:rPr>
            </w:r>
            <w:r w:rsidR="006D2425">
              <w:rPr>
                <w:noProof/>
                <w:webHidden/>
              </w:rPr>
              <w:fldChar w:fldCharType="separate"/>
            </w:r>
            <w:r w:rsidR="00E604B8">
              <w:rPr>
                <w:noProof/>
                <w:webHidden/>
              </w:rPr>
              <w:t>I</w:t>
            </w:r>
            <w:r w:rsidR="006D2425">
              <w:rPr>
                <w:noProof/>
                <w:webHidden/>
              </w:rPr>
              <w:fldChar w:fldCharType="end"/>
            </w:r>
          </w:hyperlink>
        </w:p>
        <w:p w14:paraId="7D9C7C85" w14:textId="5258D7EC"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4" w:history="1">
            <w:r w:rsidRPr="00AD6A76">
              <w:rPr>
                <w:rStyle w:val="Hyperlink"/>
                <w:rFonts w:ascii="Times New Roman" w:hAnsi="Times New Roman" w:cs="Times New Roman"/>
                <w:b/>
                <w:noProof/>
              </w:rPr>
              <w:t>List of fig</w:t>
            </w:r>
            <w:bookmarkStart w:id="2" w:name="_GoBack"/>
            <w:bookmarkEnd w:id="2"/>
            <w:r w:rsidRPr="00AD6A76">
              <w:rPr>
                <w:rStyle w:val="Hyperlink"/>
                <w:rFonts w:ascii="Times New Roman" w:hAnsi="Times New Roman" w:cs="Times New Roman"/>
                <w:b/>
                <w:noProof/>
              </w:rPr>
              <w:t>ures</w:t>
            </w:r>
            <w:r>
              <w:rPr>
                <w:noProof/>
                <w:webHidden/>
              </w:rPr>
              <w:tab/>
            </w:r>
            <w:r>
              <w:rPr>
                <w:noProof/>
                <w:webHidden/>
              </w:rPr>
              <w:fldChar w:fldCharType="begin"/>
            </w:r>
            <w:r>
              <w:rPr>
                <w:noProof/>
                <w:webHidden/>
              </w:rPr>
              <w:instrText xml:space="preserve"> PAGEREF _Toc2691104 \h </w:instrText>
            </w:r>
            <w:r>
              <w:rPr>
                <w:noProof/>
                <w:webHidden/>
              </w:rPr>
            </w:r>
            <w:r>
              <w:rPr>
                <w:noProof/>
                <w:webHidden/>
              </w:rPr>
              <w:fldChar w:fldCharType="separate"/>
            </w:r>
            <w:r w:rsidR="00E604B8">
              <w:rPr>
                <w:noProof/>
                <w:webHidden/>
              </w:rPr>
              <w:t>III</w:t>
            </w:r>
            <w:r>
              <w:rPr>
                <w:noProof/>
                <w:webHidden/>
              </w:rPr>
              <w:fldChar w:fldCharType="end"/>
            </w:r>
          </w:hyperlink>
        </w:p>
        <w:p w14:paraId="7761FA5E" w14:textId="499A969A"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5" w:history="1">
            <w:r w:rsidRPr="00AD6A76">
              <w:rPr>
                <w:rStyle w:val="Hyperlink"/>
                <w:rFonts w:ascii="Times New Roman" w:hAnsi="Times New Roman" w:cs="Times New Roman"/>
                <w:b/>
                <w:noProof/>
              </w:rPr>
              <w:t>List of tables</w:t>
            </w:r>
            <w:r>
              <w:rPr>
                <w:noProof/>
                <w:webHidden/>
              </w:rPr>
              <w:tab/>
            </w:r>
            <w:r>
              <w:rPr>
                <w:noProof/>
                <w:webHidden/>
              </w:rPr>
              <w:fldChar w:fldCharType="begin"/>
            </w:r>
            <w:r>
              <w:rPr>
                <w:noProof/>
                <w:webHidden/>
              </w:rPr>
              <w:instrText xml:space="preserve"> PAGEREF _Toc2691105 \h </w:instrText>
            </w:r>
            <w:r>
              <w:rPr>
                <w:noProof/>
                <w:webHidden/>
              </w:rPr>
            </w:r>
            <w:r>
              <w:rPr>
                <w:noProof/>
                <w:webHidden/>
              </w:rPr>
              <w:fldChar w:fldCharType="separate"/>
            </w:r>
            <w:r w:rsidR="00E604B8">
              <w:rPr>
                <w:noProof/>
                <w:webHidden/>
              </w:rPr>
              <w:t>IV</w:t>
            </w:r>
            <w:r>
              <w:rPr>
                <w:noProof/>
                <w:webHidden/>
              </w:rPr>
              <w:fldChar w:fldCharType="end"/>
            </w:r>
          </w:hyperlink>
        </w:p>
        <w:p w14:paraId="04CED253" w14:textId="22B761DB"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6" w:history="1">
            <w:r w:rsidRPr="00AD6A76">
              <w:rPr>
                <w:rStyle w:val="Hyperlink"/>
                <w:rFonts w:ascii="Times New Roman" w:hAnsi="Times New Roman" w:cs="Times New Roman"/>
                <w:b/>
                <w:noProof/>
              </w:rPr>
              <w:t>List of abbreviations</w:t>
            </w:r>
            <w:r>
              <w:rPr>
                <w:noProof/>
                <w:webHidden/>
              </w:rPr>
              <w:tab/>
            </w:r>
            <w:r>
              <w:rPr>
                <w:noProof/>
                <w:webHidden/>
              </w:rPr>
              <w:fldChar w:fldCharType="begin"/>
            </w:r>
            <w:r>
              <w:rPr>
                <w:noProof/>
                <w:webHidden/>
              </w:rPr>
              <w:instrText xml:space="preserve"> PAGEREF _Toc2691106 \h </w:instrText>
            </w:r>
            <w:r>
              <w:rPr>
                <w:noProof/>
                <w:webHidden/>
              </w:rPr>
            </w:r>
            <w:r>
              <w:rPr>
                <w:noProof/>
                <w:webHidden/>
              </w:rPr>
              <w:fldChar w:fldCharType="separate"/>
            </w:r>
            <w:r w:rsidR="00E604B8">
              <w:rPr>
                <w:noProof/>
                <w:webHidden/>
              </w:rPr>
              <w:t>V</w:t>
            </w:r>
            <w:r>
              <w:rPr>
                <w:noProof/>
                <w:webHidden/>
              </w:rPr>
              <w:fldChar w:fldCharType="end"/>
            </w:r>
          </w:hyperlink>
        </w:p>
        <w:p w14:paraId="0D677C78" w14:textId="42C4E439"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7" w:history="1">
            <w:r w:rsidRPr="00AD6A76">
              <w:rPr>
                <w:rStyle w:val="Hyperlink"/>
                <w:rFonts w:ascii="Times New Roman" w:hAnsi="Times New Roman" w:cs="Times New Roman"/>
                <w:b/>
                <w:noProof/>
              </w:rPr>
              <w:t>Declaration</w:t>
            </w:r>
            <w:r>
              <w:rPr>
                <w:noProof/>
                <w:webHidden/>
              </w:rPr>
              <w:tab/>
            </w:r>
            <w:r>
              <w:rPr>
                <w:noProof/>
                <w:webHidden/>
              </w:rPr>
              <w:fldChar w:fldCharType="begin"/>
            </w:r>
            <w:r>
              <w:rPr>
                <w:noProof/>
                <w:webHidden/>
              </w:rPr>
              <w:instrText xml:space="preserve"> PAGEREF _Toc2691107 \h </w:instrText>
            </w:r>
            <w:r>
              <w:rPr>
                <w:noProof/>
                <w:webHidden/>
              </w:rPr>
            </w:r>
            <w:r>
              <w:rPr>
                <w:noProof/>
                <w:webHidden/>
              </w:rPr>
              <w:fldChar w:fldCharType="separate"/>
            </w:r>
            <w:r w:rsidR="00E604B8">
              <w:rPr>
                <w:noProof/>
                <w:webHidden/>
              </w:rPr>
              <w:t>VII</w:t>
            </w:r>
            <w:r>
              <w:rPr>
                <w:noProof/>
                <w:webHidden/>
              </w:rPr>
              <w:fldChar w:fldCharType="end"/>
            </w:r>
          </w:hyperlink>
        </w:p>
        <w:p w14:paraId="561EB18D" w14:textId="029630F3"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8" w:history="1">
            <w:r w:rsidRPr="00AD6A76">
              <w:rPr>
                <w:rStyle w:val="Hyperlink"/>
                <w:rFonts w:ascii="Times New Roman" w:hAnsi="Times New Roman" w:cs="Times New Roman"/>
                <w:b/>
                <w:noProof/>
              </w:rPr>
              <w:t>Acknowledgements</w:t>
            </w:r>
            <w:r>
              <w:rPr>
                <w:noProof/>
                <w:webHidden/>
              </w:rPr>
              <w:tab/>
            </w:r>
            <w:r>
              <w:rPr>
                <w:noProof/>
                <w:webHidden/>
              </w:rPr>
              <w:fldChar w:fldCharType="begin"/>
            </w:r>
            <w:r>
              <w:rPr>
                <w:noProof/>
                <w:webHidden/>
              </w:rPr>
              <w:instrText xml:space="preserve"> PAGEREF _Toc2691108 \h </w:instrText>
            </w:r>
            <w:r>
              <w:rPr>
                <w:noProof/>
                <w:webHidden/>
              </w:rPr>
            </w:r>
            <w:r>
              <w:rPr>
                <w:noProof/>
                <w:webHidden/>
              </w:rPr>
              <w:fldChar w:fldCharType="separate"/>
            </w:r>
            <w:r w:rsidR="00E604B8">
              <w:rPr>
                <w:noProof/>
                <w:webHidden/>
              </w:rPr>
              <w:t>VIII</w:t>
            </w:r>
            <w:r>
              <w:rPr>
                <w:noProof/>
                <w:webHidden/>
              </w:rPr>
              <w:fldChar w:fldCharType="end"/>
            </w:r>
          </w:hyperlink>
        </w:p>
        <w:p w14:paraId="728E63A2" w14:textId="0165A2E0"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09" w:history="1">
            <w:r w:rsidRPr="00AD6A76">
              <w:rPr>
                <w:rStyle w:val="Hyperlink"/>
                <w:rFonts w:ascii="Times New Roman" w:eastAsia="Times New Roman" w:hAnsi="Times New Roman" w:cs="Times New Roman"/>
                <w:b/>
                <w:noProof/>
                <w:lang w:val="af-ZA" w:eastAsia="en-GB"/>
              </w:rPr>
              <w:t>Summary</w:t>
            </w:r>
            <w:r>
              <w:rPr>
                <w:noProof/>
                <w:webHidden/>
              </w:rPr>
              <w:tab/>
            </w:r>
            <w:r>
              <w:rPr>
                <w:noProof/>
                <w:webHidden/>
              </w:rPr>
              <w:fldChar w:fldCharType="begin"/>
            </w:r>
            <w:r>
              <w:rPr>
                <w:noProof/>
                <w:webHidden/>
              </w:rPr>
              <w:instrText xml:space="preserve"> PAGEREF _Toc2691109 \h </w:instrText>
            </w:r>
            <w:r>
              <w:rPr>
                <w:noProof/>
                <w:webHidden/>
              </w:rPr>
            </w:r>
            <w:r>
              <w:rPr>
                <w:noProof/>
                <w:webHidden/>
              </w:rPr>
              <w:fldChar w:fldCharType="separate"/>
            </w:r>
            <w:r w:rsidR="00E604B8">
              <w:rPr>
                <w:noProof/>
                <w:webHidden/>
              </w:rPr>
              <w:t>IX</w:t>
            </w:r>
            <w:r>
              <w:rPr>
                <w:noProof/>
                <w:webHidden/>
              </w:rPr>
              <w:fldChar w:fldCharType="end"/>
            </w:r>
          </w:hyperlink>
        </w:p>
        <w:p w14:paraId="5B912FE4" w14:textId="58BC7FE5"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10" w:history="1">
            <w:r w:rsidRPr="00AD6A76">
              <w:rPr>
                <w:rStyle w:val="Hyperlink"/>
                <w:rFonts w:ascii="Times New Roman" w:hAnsi="Times New Roman" w:cs="Times New Roman"/>
                <w:b/>
                <w:noProof/>
              </w:rPr>
              <w:t>General Introduction</w:t>
            </w:r>
            <w:r>
              <w:rPr>
                <w:noProof/>
                <w:webHidden/>
              </w:rPr>
              <w:tab/>
            </w:r>
            <w:r>
              <w:rPr>
                <w:noProof/>
                <w:webHidden/>
              </w:rPr>
              <w:fldChar w:fldCharType="begin"/>
            </w:r>
            <w:r>
              <w:rPr>
                <w:noProof/>
                <w:webHidden/>
              </w:rPr>
              <w:instrText xml:space="preserve"> PAGEREF _Toc2691110 \h </w:instrText>
            </w:r>
            <w:r>
              <w:rPr>
                <w:noProof/>
                <w:webHidden/>
              </w:rPr>
            </w:r>
            <w:r>
              <w:rPr>
                <w:noProof/>
                <w:webHidden/>
              </w:rPr>
              <w:fldChar w:fldCharType="separate"/>
            </w:r>
            <w:r w:rsidR="00E604B8">
              <w:rPr>
                <w:noProof/>
                <w:webHidden/>
              </w:rPr>
              <w:t>1</w:t>
            </w:r>
            <w:r>
              <w:rPr>
                <w:noProof/>
                <w:webHidden/>
              </w:rPr>
              <w:fldChar w:fldCharType="end"/>
            </w:r>
          </w:hyperlink>
        </w:p>
        <w:p w14:paraId="6BE72959" w14:textId="114896A3"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11" w:history="1">
            <w:r w:rsidRPr="00AD6A76">
              <w:rPr>
                <w:rStyle w:val="Hyperlink"/>
                <w:rFonts w:ascii="Times New Roman" w:hAnsi="Times New Roman" w:cs="Times New Roman"/>
                <w:b/>
                <w:noProof/>
              </w:rPr>
              <w:t>Chapter 1: Literature review</w:t>
            </w:r>
            <w:r>
              <w:rPr>
                <w:noProof/>
                <w:webHidden/>
              </w:rPr>
              <w:tab/>
            </w:r>
            <w:r>
              <w:rPr>
                <w:noProof/>
                <w:webHidden/>
              </w:rPr>
              <w:fldChar w:fldCharType="begin"/>
            </w:r>
            <w:r>
              <w:rPr>
                <w:noProof/>
                <w:webHidden/>
              </w:rPr>
              <w:instrText xml:space="preserve"> PAGEREF _Toc2691111 \h </w:instrText>
            </w:r>
            <w:r>
              <w:rPr>
                <w:noProof/>
                <w:webHidden/>
              </w:rPr>
            </w:r>
            <w:r>
              <w:rPr>
                <w:noProof/>
                <w:webHidden/>
              </w:rPr>
              <w:fldChar w:fldCharType="separate"/>
            </w:r>
            <w:r w:rsidR="00E604B8">
              <w:rPr>
                <w:noProof/>
                <w:webHidden/>
              </w:rPr>
              <w:t>4</w:t>
            </w:r>
            <w:r>
              <w:rPr>
                <w:noProof/>
                <w:webHidden/>
              </w:rPr>
              <w:fldChar w:fldCharType="end"/>
            </w:r>
          </w:hyperlink>
        </w:p>
        <w:p w14:paraId="1E2A2E46" w14:textId="0CC981DB"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12" w:history="1">
            <w:r w:rsidRPr="00AD6A76">
              <w:rPr>
                <w:rStyle w:val="Hyperlink"/>
                <w:rFonts w:cs="Times New Roman"/>
                <w:b/>
                <w:noProof/>
              </w:rPr>
              <w:t>1.1.</w:t>
            </w:r>
            <w:r w:rsidRPr="00AD6A76">
              <w:rPr>
                <w:rStyle w:val="Hyperlink"/>
                <w:rFonts w:ascii="Times New Roman" w:hAnsi="Times New Roman" w:cs="Times New Roman"/>
                <w:b/>
                <w:noProof/>
              </w:rPr>
              <w:t xml:space="preserve"> Overview</w:t>
            </w:r>
            <w:r>
              <w:rPr>
                <w:noProof/>
                <w:webHidden/>
              </w:rPr>
              <w:tab/>
            </w:r>
            <w:r>
              <w:rPr>
                <w:noProof/>
                <w:webHidden/>
              </w:rPr>
              <w:fldChar w:fldCharType="begin"/>
            </w:r>
            <w:r>
              <w:rPr>
                <w:noProof/>
                <w:webHidden/>
              </w:rPr>
              <w:instrText xml:space="preserve"> PAGEREF _Toc2691112 \h </w:instrText>
            </w:r>
            <w:r>
              <w:rPr>
                <w:noProof/>
                <w:webHidden/>
              </w:rPr>
            </w:r>
            <w:r>
              <w:rPr>
                <w:noProof/>
                <w:webHidden/>
              </w:rPr>
              <w:fldChar w:fldCharType="separate"/>
            </w:r>
            <w:r w:rsidR="00E604B8">
              <w:rPr>
                <w:noProof/>
                <w:webHidden/>
              </w:rPr>
              <w:t>4</w:t>
            </w:r>
            <w:r>
              <w:rPr>
                <w:noProof/>
                <w:webHidden/>
              </w:rPr>
              <w:fldChar w:fldCharType="end"/>
            </w:r>
          </w:hyperlink>
        </w:p>
        <w:p w14:paraId="533DFF7B" w14:textId="4AFF36F9"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13" w:history="1">
            <w:r w:rsidRPr="00AD6A76">
              <w:rPr>
                <w:rStyle w:val="Hyperlink"/>
                <w:rFonts w:cs="Times New Roman"/>
                <w:b/>
                <w:noProof/>
              </w:rPr>
              <w:t>1.2.</w:t>
            </w:r>
            <w:r w:rsidRPr="00AD6A76">
              <w:rPr>
                <w:rStyle w:val="Hyperlink"/>
                <w:rFonts w:ascii="Times New Roman" w:hAnsi="Times New Roman" w:cs="Times New Roman"/>
                <w:b/>
                <w:noProof/>
              </w:rPr>
              <w:t xml:space="preserve"> Environmental and productivity concerns in the livestock sector</w:t>
            </w:r>
            <w:r>
              <w:rPr>
                <w:noProof/>
                <w:webHidden/>
              </w:rPr>
              <w:tab/>
            </w:r>
            <w:r>
              <w:rPr>
                <w:noProof/>
                <w:webHidden/>
              </w:rPr>
              <w:fldChar w:fldCharType="begin"/>
            </w:r>
            <w:r>
              <w:rPr>
                <w:noProof/>
                <w:webHidden/>
              </w:rPr>
              <w:instrText xml:space="preserve"> PAGEREF _Toc2691113 \h </w:instrText>
            </w:r>
            <w:r>
              <w:rPr>
                <w:noProof/>
                <w:webHidden/>
              </w:rPr>
            </w:r>
            <w:r>
              <w:rPr>
                <w:noProof/>
                <w:webHidden/>
              </w:rPr>
              <w:fldChar w:fldCharType="separate"/>
            </w:r>
            <w:r w:rsidR="00E604B8">
              <w:rPr>
                <w:noProof/>
                <w:webHidden/>
              </w:rPr>
              <w:t>4</w:t>
            </w:r>
            <w:r>
              <w:rPr>
                <w:noProof/>
                <w:webHidden/>
              </w:rPr>
              <w:fldChar w:fldCharType="end"/>
            </w:r>
          </w:hyperlink>
        </w:p>
        <w:p w14:paraId="0C7EF98A" w14:textId="080603AE"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14" w:history="1">
            <w:r w:rsidRPr="00AD6A76">
              <w:rPr>
                <w:rStyle w:val="Hyperlink"/>
                <w:rFonts w:ascii="Times New Roman" w:hAnsi="Times New Roman" w:cs="Times New Roman"/>
                <w:noProof/>
              </w:rPr>
              <w:t>1.2.1. Greenhouse gases and livestock</w:t>
            </w:r>
            <w:r>
              <w:rPr>
                <w:noProof/>
                <w:webHidden/>
              </w:rPr>
              <w:tab/>
            </w:r>
            <w:r>
              <w:rPr>
                <w:noProof/>
                <w:webHidden/>
              </w:rPr>
              <w:fldChar w:fldCharType="begin"/>
            </w:r>
            <w:r>
              <w:rPr>
                <w:noProof/>
                <w:webHidden/>
              </w:rPr>
              <w:instrText xml:space="preserve"> PAGEREF _Toc2691114 \h </w:instrText>
            </w:r>
            <w:r>
              <w:rPr>
                <w:noProof/>
                <w:webHidden/>
              </w:rPr>
            </w:r>
            <w:r>
              <w:rPr>
                <w:noProof/>
                <w:webHidden/>
              </w:rPr>
              <w:fldChar w:fldCharType="separate"/>
            </w:r>
            <w:r w:rsidR="00E604B8">
              <w:rPr>
                <w:noProof/>
                <w:webHidden/>
              </w:rPr>
              <w:t>4</w:t>
            </w:r>
            <w:r>
              <w:rPr>
                <w:noProof/>
                <w:webHidden/>
              </w:rPr>
              <w:fldChar w:fldCharType="end"/>
            </w:r>
          </w:hyperlink>
        </w:p>
        <w:p w14:paraId="7E37CD2A" w14:textId="31F28D3C"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15" w:history="1">
            <w:r w:rsidRPr="00AD6A76">
              <w:rPr>
                <w:rStyle w:val="Hyperlink"/>
                <w:rFonts w:ascii="Times New Roman" w:hAnsi="Times New Roman" w:cs="Times New Roman"/>
                <w:noProof/>
              </w:rPr>
              <w:t>1.2.2. Regulations of synthetic growth promoters</w:t>
            </w:r>
            <w:r>
              <w:rPr>
                <w:noProof/>
                <w:webHidden/>
              </w:rPr>
              <w:tab/>
            </w:r>
            <w:r>
              <w:rPr>
                <w:noProof/>
                <w:webHidden/>
              </w:rPr>
              <w:fldChar w:fldCharType="begin"/>
            </w:r>
            <w:r>
              <w:rPr>
                <w:noProof/>
                <w:webHidden/>
              </w:rPr>
              <w:instrText xml:space="preserve"> PAGEREF _Toc2691115 \h </w:instrText>
            </w:r>
            <w:r>
              <w:rPr>
                <w:noProof/>
                <w:webHidden/>
              </w:rPr>
            </w:r>
            <w:r>
              <w:rPr>
                <w:noProof/>
                <w:webHidden/>
              </w:rPr>
              <w:fldChar w:fldCharType="separate"/>
            </w:r>
            <w:r w:rsidR="00E604B8">
              <w:rPr>
                <w:noProof/>
                <w:webHidden/>
              </w:rPr>
              <w:t>6</w:t>
            </w:r>
            <w:r>
              <w:rPr>
                <w:noProof/>
                <w:webHidden/>
              </w:rPr>
              <w:fldChar w:fldCharType="end"/>
            </w:r>
          </w:hyperlink>
        </w:p>
        <w:p w14:paraId="3DC6C0A4" w14:textId="2968F2D7"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16" w:history="1">
            <w:r w:rsidRPr="00AD6A76">
              <w:rPr>
                <w:rStyle w:val="Hyperlink"/>
                <w:rFonts w:ascii="Times New Roman" w:hAnsi="Times New Roman" w:cs="Times New Roman"/>
                <w:noProof/>
              </w:rPr>
              <w:t>1.2.3. Impact on productivity</w:t>
            </w:r>
            <w:r>
              <w:rPr>
                <w:noProof/>
                <w:webHidden/>
              </w:rPr>
              <w:tab/>
            </w:r>
            <w:r>
              <w:rPr>
                <w:noProof/>
                <w:webHidden/>
              </w:rPr>
              <w:fldChar w:fldCharType="begin"/>
            </w:r>
            <w:r>
              <w:rPr>
                <w:noProof/>
                <w:webHidden/>
              </w:rPr>
              <w:instrText xml:space="preserve"> PAGEREF _Toc2691116 \h </w:instrText>
            </w:r>
            <w:r>
              <w:rPr>
                <w:noProof/>
                <w:webHidden/>
              </w:rPr>
            </w:r>
            <w:r>
              <w:rPr>
                <w:noProof/>
                <w:webHidden/>
              </w:rPr>
              <w:fldChar w:fldCharType="separate"/>
            </w:r>
            <w:r w:rsidR="00E604B8">
              <w:rPr>
                <w:noProof/>
                <w:webHidden/>
              </w:rPr>
              <w:t>8</w:t>
            </w:r>
            <w:r>
              <w:rPr>
                <w:noProof/>
                <w:webHidden/>
              </w:rPr>
              <w:fldChar w:fldCharType="end"/>
            </w:r>
          </w:hyperlink>
        </w:p>
        <w:p w14:paraId="0CD91B23" w14:textId="364BCE6A"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17" w:history="1">
            <w:r w:rsidRPr="00AD6A76">
              <w:rPr>
                <w:rStyle w:val="Hyperlink"/>
                <w:rFonts w:cs="Times New Roman"/>
                <w:b/>
                <w:noProof/>
              </w:rPr>
              <w:t>1.3.</w:t>
            </w:r>
            <w:r w:rsidRPr="00AD6A76">
              <w:rPr>
                <w:rStyle w:val="Hyperlink"/>
                <w:rFonts w:ascii="Times New Roman" w:hAnsi="Times New Roman" w:cs="Times New Roman"/>
                <w:b/>
                <w:noProof/>
              </w:rPr>
              <w:t xml:space="preserve"> The rumen microbiome and methane synthesis</w:t>
            </w:r>
            <w:r>
              <w:rPr>
                <w:noProof/>
                <w:webHidden/>
              </w:rPr>
              <w:tab/>
            </w:r>
            <w:r>
              <w:rPr>
                <w:noProof/>
                <w:webHidden/>
              </w:rPr>
              <w:fldChar w:fldCharType="begin"/>
            </w:r>
            <w:r>
              <w:rPr>
                <w:noProof/>
                <w:webHidden/>
              </w:rPr>
              <w:instrText xml:space="preserve"> PAGEREF _Toc2691117 \h </w:instrText>
            </w:r>
            <w:r>
              <w:rPr>
                <w:noProof/>
                <w:webHidden/>
              </w:rPr>
            </w:r>
            <w:r>
              <w:rPr>
                <w:noProof/>
                <w:webHidden/>
              </w:rPr>
              <w:fldChar w:fldCharType="separate"/>
            </w:r>
            <w:r w:rsidR="00E604B8">
              <w:rPr>
                <w:noProof/>
                <w:webHidden/>
              </w:rPr>
              <w:t>9</w:t>
            </w:r>
            <w:r>
              <w:rPr>
                <w:noProof/>
                <w:webHidden/>
              </w:rPr>
              <w:fldChar w:fldCharType="end"/>
            </w:r>
          </w:hyperlink>
        </w:p>
        <w:p w14:paraId="7FF2D318" w14:textId="03ED67EC"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18" w:history="1">
            <w:r w:rsidRPr="00AD6A76">
              <w:rPr>
                <w:rStyle w:val="Hyperlink"/>
                <w:rFonts w:cs="Times New Roman"/>
                <w:b/>
                <w:noProof/>
              </w:rPr>
              <w:t>1.4.</w:t>
            </w:r>
            <w:r w:rsidRPr="00AD6A76">
              <w:rPr>
                <w:rStyle w:val="Hyperlink"/>
                <w:rFonts w:ascii="Times New Roman" w:hAnsi="Times New Roman" w:cs="Times New Roman"/>
                <w:b/>
                <w:noProof/>
              </w:rPr>
              <w:t xml:space="preserve"> Dietary strategies for mitigation of enteric methane emissions from ruminants</w:t>
            </w:r>
            <w:r>
              <w:rPr>
                <w:noProof/>
                <w:webHidden/>
              </w:rPr>
              <w:tab/>
            </w:r>
            <w:r>
              <w:rPr>
                <w:noProof/>
                <w:webHidden/>
              </w:rPr>
              <w:fldChar w:fldCharType="begin"/>
            </w:r>
            <w:r>
              <w:rPr>
                <w:noProof/>
                <w:webHidden/>
              </w:rPr>
              <w:instrText xml:space="preserve"> PAGEREF _Toc2691118 \h </w:instrText>
            </w:r>
            <w:r>
              <w:rPr>
                <w:noProof/>
                <w:webHidden/>
              </w:rPr>
            </w:r>
            <w:r>
              <w:rPr>
                <w:noProof/>
                <w:webHidden/>
              </w:rPr>
              <w:fldChar w:fldCharType="separate"/>
            </w:r>
            <w:r w:rsidR="00E604B8">
              <w:rPr>
                <w:noProof/>
                <w:webHidden/>
              </w:rPr>
              <w:t>10</w:t>
            </w:r>
            <w:r>
              <w:rPr>
                <w:noProof/>
                <w:webHidden/>
              </w:rPr>
              <w:fldChar w:fldCharType="end"/>
            </w:r>
          </w:hyperlink>
        </w:p>
        <w:p w14:paraId="21994791" w14:textId="4F430F27"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19" w:history="1">
            <w:r w:rsidRPr="00AD6A76">
              <w:rPr>
                <w:rStyle w:val="Hyperlink"/>
                <w:rFonts w:cs="Times New Roman"/>
                <w:b/>
                <w:noProof/>
              </w:rPr>
              <w:t>1.5.</w:t>
            </w:r>
            <w:r w:rsidRPr="00AD6A76">
              <w:rPr>
                <w:rStyle w:val="Hyperlink"/>
                <w:rFonts w:ascii="Times New Roman" w:hAnsi="Times New Roman" w:cs="Times New Roman"/>
                <w:b/>
                <w:noProof/>
              </w:rPr>
              <w:t xml:space="preserve"> Plant characteristics</w:t>
            </w:r>
            <w:r>
              <w:rPr>
                <w:noProof/>
                <w:webHidden/>
              </w:rPr>
              <w:tab/>
            </w:r>
            <w:r>
              <w:rPr>
                <w:noProof/>
                <w:webHidden/>
              </w:rPr>
              <w:fldChar w:fldCharType="begin"/>
            </w:r>
            <w:r>
              <w:rPr>
                <w:noProof/>
                <w:webHidden/>
              </w:rPr>
              <w:instrText xml:space="preserve"> PAGEREF _Toc2691119 \h </w:instrText>
            </w:r>
            <w:r>
              <w:rPr>
                <w:noProof/>
                <w:webHidden/>
              </w:rPr>
            </w:r>
            <w:r>
              <w:rPr>
                <w:noProof/>
                <w:webHidden/>
              </w:rPr>
              <w:fldChar w:fldCharType="separate"/>
            </w:r>
            <w:r w:rsidR="00E604B8">
              <w:rPr>
                <w:noProof/>
                <w:webHidden/>
              </w:rPr>
              <w:t>13</w:t>
            </w:r>
            <w:r>
              <w:rPr>
                <w:noProof/>
                <w:webHidden/>
              </w:rPr>
              <w:fldChar w:fldCharType="end"/>
            </w:r>
          </w:hyperlink>
        </w:p>
        <w:p w14:paraId="105B454B" w14:textId="28B5301A"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20" w:history="1">
            <w:r w:rsidRPr="00AD6A76">
              <w:rPr>
                <w:rStyle w:val="Hyperlink"/>
                <w:rFonts w:ascii="Times New Roman" w:hAnsi="Times New Roman" w:cs="Times New Roman"/>
                <w:noProof/>
              </w:rPr>
              <w:t>1.5.1. Plant extracts</w:t>
            </w:r>
            <w:r>
              <w:rPr>
                <w:noProof/>
                <w:webHidden/>
              </w:rPr>
              <w:tab/>
            </w:r>
            <w:r>
              <w:rPr>
                <w:noProof/>
                <w:webHidden/>
              </w:rPr>
              <w:fldChar w:fldCharType="begin"/>
            </w:r>
            <w:r>
              <w:rPr>
                <w:noProof/>
                <w:webHidden/>
              </w:rPr>
              <w:instrText xml:space="preserve"> PAGEREF _Toc2691120 \h </w:instrText>
            </w:r>
            <w:r>
              <w:rPr>
                <w:noProof/>
                <w:webHidden/>
              </w:rPr>
            </w:r>
            <w:r>
              <w:rPr>
                <w:noProof/>
                <w:webHidden/>
              </w:rPr>
              <w:fldChar w:fldCharType="separate"/>
            </w:r>
            <w:r w:rsidR="00E604B8">
              <w:rPr>
                <w:noProof/>
                <w:webHidden/>
              </w:rPr>
              <w:t>13</w:t>
            </w:r>
            <w:r>
              <w:rPr>
                <w:noProof/>
                <w:webHidden/>
              </w:rPr>
              <w:fldChar w:fldCharType="end"/>
            </w:r>
          </w:hyperlink>
        </w:p>
        <w:p w14:paraId="187E09E4" w14:textId="772E55B5"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21" w:history="1">
            <w:r w:rsidRPr="00AD6A76">
              <w:rPr>
                <w:rStyle w:val="Hyperlink"/>
                <w:rFonts w:ascii="Times New Roman" w:hAnsi="Times New Roman" w:cs="Times New Roman"/>
                <w:noProof/>
              </w:rPr>
              <w:t>1.5.2. Characteristics of plant species selected for the current study</w:t>
            </w:r>
            <w:r>
              <w:rPr>
                <w:noProof/>
                <w:webHidden/>
              </w:rPr>
              <w:tab/>
            </w:r>
            <w:r>
              <w:rPr>
                <w:noProof/>
                <w:webHidden/>
              </w:rPr>
              <w:fldChar w:fldCharType="begin"/>
            </w:r>
            <w:r>
              <w:rPr>
                <w:noProof/>
                <w:webHidden/>
              </w:rPr>
              <w:instrText xml:space="preserve"> PAGEREF _Toc2691121 \h </w:instrText>
            </w:r>
            <w:r>
              <w:rPr>
                <w:noProof/>
                <w:webHidden/>
              </w:rPr>
            </w:r>
            <w:r>
              <w:rPr>
                <w:noProof/>
                <w:webHidden/>
              </w:rPr>
              <w:fldChar w:fldCharType="separate"/>
            </w:r>
            <w:r w:rsidR="00E604B8">
              <w:rPr>
                <w:noProof/>
                <w:webHidden/>
              </w:rPr>
              <w:t>15</w:t>
            </w:r>
            <w:r>
              <w:rPr>
                <w:noProof/>
                <w:webHidden/>
              </w:rPr>
              <w:fldChar w:fldCharType="end"/>
            </w:r>
          </w:hyperlink>
        </w:p>
        <w:p w14:paraId="364E39C9" w14:textId="1D27EF4B"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22" w:history="1">
            <w:r w:rsidRPr="00AD6A76">
              <w:rPr>
                <w:rStyle w:val="Hyperlink"/>
                <w:rFonts w:cs="Times New Roman"/>
                <w:b/>
                <w:noProof/>
              </w:rPr>
              <w:t>1.6.</w:t>
            </w:r>
            <w:r w:rsidRPr="00AD6A76">
              <w:rPr>
                <w:rStyle w:val="Hyperlink"/>
                <w:rFonts w:ascii="Times New Roman" w:hAnsi="Times New Roman" w:cs="Times New Roman"/>
                <w:b/>
                <w:noProof/>
              </w:rPr>
              <w:t xml:space="preserve"> Plant secondary compounds</w:t>
            </w:r>
            <w:r>
              <w:rPr>
                <w:noProof/>
                <w:webHidden/>
              </w:rPr>
              <w:tab/>
            </w:r>
            <w:r>
              <w:rPr>
                <w:noProof/>
                <w:webHidden/>
              </w:rPr>
              <w:fldChar w:fldCharType="begin"/>
            </w:r>
            <w:r>
              <w:rPr>
                <w:noProof/>
                <w:webHidden/>
              </w:rPr>
              <w:instrText xml:space="preserve"> PAGEREF _Toc2691122 \h </w:instrText>
            </w:r>
            <w:r>
              <w:rPr>
                <w:noProof/>
                <w:webHidden/>
              </w:rPr>
            </w:r>
            <w:r>
              <w:rPr>
                <w:noProof/>
                <w:webHidden/>
              </w:rPr>
              <w:fldChar w:fldCharType="separate"/>
            </w:r>
            <w:r w:rsidR="00E604B8">
              <w:rPr>
                <w:noProof/>
                <w:webHidden/>
              </w:rPr>
              <w:t>18</w:t>
            </w:r>
            <w:r>
              <w:rPr>
                <w:noProof/>
                <w:webHidden/>
              </w:rPr>
              <w:fldChar w:fldCharType="end"/>
            </w:r>
          </w:hyperlink>
        </w:p>
        <w:p w14:paraId="720B9235" w14:textId="3253B5DA"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23" w:history="1">
            <w:r w:rsidRPr="00AD6A76">
              <w:rPr>
                <w:rStyle w:val="Hyperlink"/>
                <w:rFonts w:ascii="Times New Roman" w:hAnsi="Times New Roman" w:cs="Times New Roman"/>
                <w:noProof/>
              </w:rPr>
              <w:t>1.6.1. Phenolic compounds</w:t>
            </w:r>
            <w:r>
              <w:rPr>
                <w:noProof/>
                <w:webHidden/>
              </w:rPr>
              <w:tab/>
            </w:r>
            <w:r>
              <w:rPr>
                <w:noProof/>
                <w:webHidden/>
              </w:rPr>
              <w:fldChar w:fldCharType="begin"/>
            </w:r>
            <w:r>
              <w:rPr>
                <w:noProof/>
                <w:webHidden/>
              </w:rPr>
              <w:instrText xml:space="preserve"> PAGEREF _Toc2691123 \h </w:instrText>
            </w:r>
            <w:r>
              <w:rPr>
                <w:noProof/>
                <w:webHidden/>
              </w:rPr>
            </w:r>
            <w:r>
              <w:rPr>
                <w:noProof/>
                <w:webHidden/>
              </w:rPr>
              <w:fldChar w:fldCharType="separate"/>
            </w:r>
            <w:r w:rsidR="00E604B8">
              <w:rPr>
                <w:noProof/>
                <w:webHidden/>
              </w:rPr>
              <w:t>20</w:t>
            </w:r>
            <w:r>
              <w:rPr>
                <w:noProof/>
                <w:webHidden/>
              </w:rPr>
              <w:fldChar w:fldCharType="end"/>
            </w:r>
          </w:hyperlink>
        </w:p>
        <w:p w14:paraId="40F4F251" w14:textId="17ACB913"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24" w:history="1">
            <w:r w:rsidRPr="00AD6A76">
              <w:rPr>
                <w:rStyle w:val="Hyperlink"/>
                <w:rFonts w:ascii="Times New Roman" w:hAnsi="Times New Roman" w:cs="Times New Roman"/>
                <w:noProof/>
              </w:rPr>
              <w:t>1.6.2. Saponins</w:t>
            </w:r>
            <w:r>
              <w:rPr>
                <w:noProof/>
                <w:webHidden/>
              </w:rPr>
              <w:tab/>
            </w:r>
            <w:r>
              <w:rPr>
                <w:noProof/>
                <w:webHidden/>
              </w:rPr>
              <w:fldChar w:fldCharType="begin"/>
            </w:r>
            <w:r>
              <w:rPr>
                <w:noProof/>
                <w:webHidden/>
              </w:rPr>
              <w:instrText xml:space="preserve"> PAGEREF _Toc2691124 \h </w:instrText>
            </w:r>
            <w:r>
              <w:rPr>
                <w:noProof/>
                <w:webHidden/>
              </w:rPr>
            </w:r>
            <w:r>
              <w:rPr>
                <w:noProof/>
                <w:webHidden/>
              </w:rPr>
              <w:fldChar w:fldCharType="separate"/>
            </w:r>
            <w:r w:rsidR="00E604B8">
              <w:rPr>
                <w:noProof/>
                <w:webHidden/>
              </w:rPr>
              <w:t>21</w:t>
            </w:r>
            <w:r>
              <w:rPr>
                <w:noProof/>
                <w:webHidden/>
              </w:rPr>
              <w:fldChar w:fldCharType="end"/>
            </w:r>
          </w:hyperlink>
        </w:p>
        <w:p w14:paraId="1000D908" w14:textId="61485192"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25" w:history="1">
            <w:r w:rsidRPr="00AD6A76">
              <w:rPr>
                <w:rStyle w:val="Hyperlink"/>
                <w:rFonts w:ascii="Times New Roman" w:hAnsi="Times New Roman" w:cs="Times New Roman"/>
                <w:noProof/>
              </w:rPr>
              <w:t>1.6.3. Essential oils</w:t>
            </w:r>
            <w:r>
              <w:rPr>
                <w:noProof/>
                <w:webHidden/>
              </w:rPr>
              <w:tab/>
            </w:r>
            <w:r>
              <w:rPr>
                <w:noProof/>
                <w:webHidden/>
              </w:rPr>
              <w:fldChar w:fldCharType="begin"/>
            </w:r>
            <w:r>
              <w:rPr>
                <w:noProof/>
                <w:webHidden/>
              </w:rPr>
              <w:instrText xml:space="preserve"> PAGEREF _Toc2691125 \h </w:instrText>
            </w:r>
            <w:r>
              <w:rPr>
                <w:noProof/>
                <w:webHidden/>
              </w:rPr>
            </w:r>
            <w:r>
              <w:rPr>
                <w:noProof/>
                <w:webHidden/>
              </w:rPr>
              <w:fldChar w:fldCharType="separate"/>
            </w:r>
            <w:r w:rsidR="00E604B8">
              <w:rPr>
                <w:noProof/>
                <w:webHidden/>
              </w:rPr>
              <w:t>22</w:t>
            </w:r>
            <w:r>
              <w:rPr>
                <w:noProof/>
                <w:webHidden/>
              </w:rPr>
              <w:fldChar w:fldCharType="end"/>
            </w:r>
          </w:hyperlink>
        </w:p>
        <w:p w14:paraId="0B92C5F3" w14:textId="5727246E"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26" w:history="1">
            <w:r w:rsidRPr="00AD6A76">
              <w:rPr>
                <w:rStyle w:val="Hyperlink"/>
                <w:rFonts w:cs="Times New Roman"/>
                <w:b/>
                <w:noProof/>
              </w:rPr>
              <w:t>1.7.</w:t>
            </w:r>
            <w:r w:rsidRPr="00AD6A76">
              <w:rPr>
                <w:rStyle w:val="Hyperlink"/>
                <w:rFonts w:ascii="Times New Roman" w:hAnsi="Times New Roman" w:cs="Times New Roman"/>
                <w:b/>
                <w:i/>
                <w:noProof/>
              </w:rPr>
              <w:t xml:space="preserve"> In vitro</w:t>
            </w:r>
            <w:r w:rsidRPr="00AD6A76">
              <w:rPr>
                <w:rStyle w:val="Hyperlink"/>
                <w:rFonts w:ascii="Times New Roman" w:hAnsi="Times New Roman" w:cs="Times New Roman"/>
                <w:b/>
                <w:noProof/>
              </w:rPr>
              <w:t xml:space="preserve"> methodology</w:t>
            </w:r>
            <w:r>
              <w:rPr>
                <w:noProof/>
                <w:webHidden/>
              </w:rPr>
              <w:tab/>
            </w:r>
            <w:r>
              <w:rPr>
                <w:noProof/>
                <w:webHidden/>
              </w:rPr>
              <w:fldChar w:fldCharType="begin"/>
            </w:r>
            <w:r>
              <w:rPr>
                <w:noProof/>
                <w:webHidden/>
              </w:rPr>
              <w:instrText xml:space="preserve"> PAGEREF _Toc2691126 \h </w:instrText>
            </w:r>
            <w:r>
              <w:rPr>
                <w:noProof/>
                <w:webHidden/>
              </w:rPr>
            </w:r>
            <w:r>
              <w:rPr>
                <w:noProof/>
                <w:webHidden/>
              </w:rPr>
              <w:fldChar w:fldCharType="separate"/>
            </w:r>
            <w:r w:rsidR="00E604B8">
              <w:rPr>
                <w:noProof/>
                <w:webHidden/>
              </w:rPr>
              <w:t>23</w:t>
            </w:r>
            <w:r>
              <w:rPr>
                <w:noProof/>
                <w:webHidden/>
              </w:rPr>
              <w:fldChar w:fldCharType="end"/>
            </w:r>
          </w:hyperlink>
        </w:p>
        <w:p w14:paraId="18C0BE0B" w14:textId="7F870638"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27" w:history="1">
            <w:r w:rsidRPr="00AD6A76">
              <w:rPr>
                <w:rStyle w:val="Hyperlink"/>
                <w:rFonts w:cs="Times New Roman"/>
                <w:b/>
                <w:noProof/>
              </w:rPr>
              <w:t>1.8.</w:t>
            </w:r>
            <w:r w:rsidRPr="00AD6A76">
              <w:rPr>
                <w:rStyle w:val="Hyperlink"/>
                <w:rFonts w:ascii="Times New Roman" w:hAnsi="Times New Roman" w:cs="Times New Roman"/>
                <w:b/>
                <w:noProof/>
              </w:rPr>
              <w:t xml:space="preserve"> Conclusion</w:t>
            </w:r>
            <w:r>
              <w:rPr>
                <w:noProof/>
                <w:webHidden/>
              </w:rPr>
              <w:tab/>
            </w:r>
            <w:r>
              <w:rPr>
                <w:noProof/>
                <w:webHidden/>
              </w:rPr>
              <w:fldChar w:fldCharType="begin"/>
            </w:r>
            <w:r>
              <w:rPr>
                <w:noProof/>
                <w:webHidden/>
              </w:rPr>
              <w:instrText xml:space="preserve"> PAGEREF _Toc2691127 \h </w:instrText>
            </w:r>
            <w:r>
              <w:rPr>
                <w:noProof/>
                <w:webHidden/>
              </w:rPr>
            </w:r>
            <w:r>
              <w:rPr>
                <w:noProof/>
                <w:webHidden/>
              </w:rPr>
              <w:fldChar w:fldCharType="separate"/>
            </w:r>
            <w:r w:rsidR="00E604B8">
              <w:rPr>
                <w:noProof/>
                <w:webHidden/>
              </w:rPr>
              <w:t>24</w:t>
            </w:r>
            <w:r>
              <w:rPr>
                <w:noProof/>
                <w:webHidden/>
              </w:rPr>
              <w:fldChar w:fldCharType="end"/>
            </w:r>
          </w:hyperlink>
        </w:p>
        <w:p w14:paraId="35475967" w14:textId="66C112BE"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28" w:history="1">
            <w:r w:rsidRPr="00AD6A76">
              <w:rPr>
                <w:rStyle w:val="Hyperlink"/>
                <w:rFonts w:cs="Times New Roman"/>
                <w:b/>
                <w:noProof/>
              </w:rPr>
              <w:t>1.9.</w:t>
            </w:r>
            <w:r w:rsidRPr="00AD6A76">
              <w:rPr>
                <w:rStyle w:val="Hyperlink"/>
                <w:rFonts w:ascii="Times New Roman" w:hAnsi="Times New Roman" w:cs="Times New Roman"/>
                <w:b/>
                <w:noProof/>
              </w:rPr>
              <w:t xml:space="preserve"> Hypothesis</w:t>
            </w:r>
            <w:r>
              <w:rPr>
                <w:noProof/>
                <w:webHidden/>
              </w:rPr>
              <w:tab/>
            </w:r>
            <w:r>
              <w:rPr>
                <w:noProof/>
                <w:webHidden/>
              </w:rPr>
              <w:fldChar w:fldCharType="begin"/>
            </w:r>
            <w:r>
              <w:rPr>
                <w:noProof/>
                <w:webHidden/>
              </w:rPr>
              <w:instrText xml:space="preserve"> PAGEREF _Toc2691128 \h </w:instrText>
            </w:r>
            <w:r>
              <w:rPr>
                <w:noProof/>
                <w:webHidden/>
              </w:rPr>
            </w:r>
            <w:r>
              <w:rPr>
                <w:noProof/>
                <w:webHidden/>
              </w:rPr>
              <w:fldChar w:fldCharType="separate"/>
            </w:r>
            <w:r w:rsidR="00E604B8">
              <w:rPr>
                <w:noProof/>
                <w:webHidden/>
              </w:rPr>
              <w:t>26</w:t>
            </w:r>
            <w:r>
              <w:rPr>
                <w:noProof/>
                <w:webHidden/>
              </w:rPr>
              <w:fldChar w:fldCharType="end"/>
            </w:r>
          </w:hyperlink>
        </w:p>
        <w:p w14:paraId="0D3DA11C" w14:textId="450F2FFC"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29" w:history="1">
            <w:r w:rsidRPr="00AD6A76">
              <w:rPr>
                <w:rStyle w:val="Hyperlink"/>
                <w:rFonts w:ascii="Times New Roman" w:hAnsi="Times New Roman" w:cs="Times New Roman"/>
                <w:b/>
                <w:noProof/>
              </w:rPr>
              <w:t>Chapter 2:</w:t>
            </w:r>
            <w:r w:rsidRPr="00AD6A76">
              <w:rPr>
                <w:rStyle w:val="Hyperlink"/>
                <w:rFonts w:ascii="Times New Roman" w:hAnsi="Times New Roman" w:cs="Times New Roman"/>
                <w:b/>
                <w:i/>
                <w:noProof/>
              </w:rPr>
              <w:t xml:space="preserve"> In vitro</w:t>
            </w:r>
            <w:r w:rsidRPr="00AD6A76">
              <w:rPr>
                <w:rStyle w:val="Hyperlink"/>
                <w:rFonts w:ascii="Times New Roman" w:hAnsi="Times New Roman" w:cs="Times New Roman"/>
                <w:b/>
                <w:noProof/>
              </w:rPr>
              <w:t xml:space="preserve"> rumen fermentation characteristics of </w:t>
            </w:r>
            <w:r w:rsidRPr="00AD6A76">
              <w:rPr>
                <w:rStyle w:val="Hyperlink"/>
                <w:rFonts w:ascii="Times New Roman" w:hAnsi="Times New Roman" w:cs="Times New Roman"/>
                <w:b/>
                <w:i/>
                <w:noProof/>
              </w:rPr>
              <w:t>Eragrostis curvula</w:t>
            </w:r>
            <w:r w:rsidRPr="00AD6A76">
              <w:rPr>
                <w:rStyle w:val="Hyperlink"/>
                <w:rFonts w:ascii="Times New Roman" w:hAnsi="Times New Roman" w:cs="Times New Roman"/>
                <w:b/>
                <w:noProof/>
              </w:rPr>
              <w:t xml:space="preserve"> hay supplemented with seven different plant extract additives tested at a recommended dose level</w:t>
            </w:r>
            <w:r>
              <w:rPr>
                <w:noProof/>
                <w:webHidden/>
              </w:rPr>
              <w:tab/>
            </w:r>
            <w:r>
              <w:rPr>
                <w:noProof/>
                <w:webHidden/>
              </w:rPr>
              <w:fldChar w:fldCharType="begin"/>
            </w:r>
            <w:r>
              <w:rPr>
                <w:noProof/>
                <w:webHidden/>
              </w:rPr>
              <w:instrText xml:space="preserve"> PAGEREF _Toc2691129 \h </w:instrText>
            </w:r>
            <w:r>
              <w:rPr>
                <w:noProof/>
                <w:webHidden/>
              </w:rPr>
            </w:r>
            <w:r>
              <w:rPr>
                <w:noProof/>
                <w:webHidden/>
              </w:rPr>
              <w:fldChar w:fldCharType="separate"/>
            </w:r>
            <w:r w:rsidR="00E604B8">
              <w:rPr>
                <w:noProof/>
                <w:webHidden/>
              </w:rPr>
              <w:t>27</w:t>
            </w:r>
            <w:r>
              <w:rPr>
                <w:noProof/>
                <w:webHidden/>
              </w:rPr>
              <w:fldChar w:fldCharType="end"/>
            </w:r>
          </w:hyperlink>
        </w:p>
        <w:p w14:paraId="105A56BD" w14:textId="0217B8DC"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30" w:history="1">
            <w:r w:rsidRPr="00AD6A76">
              <w:rPr>
                <w:rStyle w:val="Hyperlink"/>
                <w:rFonts w:cs="Times New Roman"/>
                <w:b/>
                <w:noProof/>
              </w:rPr>
              <w:t>2.1.</w:t>
            </w:r>
            <w:r w:rsidRPr="00AD6A76">
              <w:rPr>
                <w:rStyle w:val="Hyperlink"/>
                <w:rFonts w:ascii="Times New Roman" w:hAnsi="Times New Roman" w:cs="Times New Roman"/>
                <w:b/>
                <w:noProof/>
              </w:rPr>
              <w:t xml:space="preserve"> Abstract</w:t>
            </w:r>
            <w:r>
              <w:rPr>
                <w:noProof/>
                <w:webHidden/>
              </w:rPr>
              <w:tab/>
            </w:r>
            <w:r>
              <w:rPr>
                <w:noProof/>
                <w:webHidden/>
              </w:rPr>
              <w:fldChar w:fldCharType="begin"/>
            </w:r>
            <w:r>
              <w:rPr>
                <w:noProof/>
                <w:webHidden/>
              </w:rPr>
              <w:instrText xml:space="preserve"> PAGEREF _Toc2691130 \h </w:instrText>
            </w:r>
            <w:r>
              <w:rPr>
                <w:noProof/>
                <w:webHidden/>
              </w:rPr>
            </w:r>
            <w:r>
              <w:rPr>
                <w:noProof/>
                <w:webHidden/>
              </w:rPr>
              <w:fldChar w:fldCharType="separate"/>
            </w:r>
            <w:r w:rsidR="00E604B8">
              <w:rPr>
                <w:noProof/>
                <w:webHidden/>
              </w:rPr>
              <w:t>27</w:t>
            </w:r>
            <w:r>
              <w:rPr>
                <w:noProof/>
                <w:webHidden/>
              </w:rPr>
              <w:fldChar w:fldCharType="end"/>
            </w:r>
          </w:hyperlink>
        </w:p>
        <w:p w14:paraId="74BE4089" w14:textId="33F995CC"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31" w:history="1">
            <w:r w:rsidRPr="00AD6A76">
              <w:rPr>
                <w:rStyle w:val="Hyperlink"/>
                <w:rFonts w:cs="Times New Roman"/>
                <w:b/>
                <w:noProof/>
              </w:rPr>
              <w:t>2.2.</w:t>
            </w:r>
            <w:r w:rsidRPr="00AD6A76">
              <w:rPr>
                <w:rStyle w:val="Hyperlink"/>
                <w:rFonts w:ascii="Times New Roman" w:hAnsi="Times New Roman" w:cs="Times New Roman"/>
                <w:b/>
                <w:noProof/>
              </w:rPr>
              <w:t xml:space="preserve"> Introduction</w:t>
            </w:r>
            <w:r>
              <w:rPr>
                <w:noProof/>
                <w:webHidden/>
              </w:rPr>
              <w:tab/>
            </w:r>
            <w:r>
              <w:rPr>
                <w:noProof/>
                <w:webHidden/>
              </w:rPr>
              <w:fldChar w:fldCharType="begin"/>
            </w:r>
            <w:r>
              <w:rPr>
                <w:noProof/>
                <w:webHidden/>
              </w:rPr>
              <w:instrText xml:space="preserve"> PAGEREF _Toc2691131 \h </w:instrText>
            </w:r>
            <w:r>
              <w:rPr>
                <w:noProof/>
                <w:webHidden/>
              </w:rPr>
            </w:r>
            <w:r>
              <w:rPr>
                <w:noProof/>
                <w:webHidden/>
              </w:rPr>
              <w:fldChar w:fldCharType="separate"/>
            </w:r>
            <w:r w:rsidR="00E604B8">
              <w:rPr>
                <w:noProof/>
                <w:webHidden/>
              </w:rPr>
              <w:t>27</w:t>
            </w:r>
            <w:r>
              <w:rPr>
                <w:noProof/>
                <w:webHidden/>
              </w:rPr>
              <w:fldChar w:fldCharType="end"/>
            </w:r>
          </w:hyperlink>
        </w:p>
        <w:p w14:paraId="41BECA98" w14:textId="2546A0B0"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32" w:history="1">
            <w:r w:rsidRPr="00AD6A76">
              <w:rPr>
                <w:rStyle w:val="Hyperlink"/>
                <w:rFonts w:cs="Times New Roman"/>
                <w:b/>
                <w:noProof/>
              </w:rPr>
              <w:t>2.3.</w:t>
            </w:r>
            <w:r w:rsidRPr="00AD6A76">
              <w:rPr>
                <w:rStyle w:val="Hyperlink"/>
                <w:rFonts w:ascii="Times New Roman" w:hAnsi="Times New Roman" w:cs="Times New Roman"/>
                <w:b/>
                <w:noProof/>
              </w:rPr>
              <w:t xml:space="preserve"> Materials and Methods</w:t>
            </w:r>
            <w:r>
              <w:rPr>
                <w:noProof/>
                <w:webHidden/>
              </w:rPr>
              <w:tab/>
            </w:r>
            <w:r>
              <w:rPr>
                <w:noProof/>
                <w:webHidden/>
              </w:rPr>
              <w:fldChar w:fldCharType="begin"/>
            </w:r>
            <w:r>
              <w:rPr>
                <w:noProof/>
                <w:webHidden/>
              </w:rPr>
              <w:instrText xml:space="preserve"> PAGEREF _Toc2691132 \h </w:instrText>
            </w:r>
            <w:r>
              <w:rPr>
                <w:noProof/>
                <w:webHidden/>
              </w:rPr>
            </w:r>
            <w:r>
              <w:rPr>
                <w:noProof/>
                <w:webHidden/>
              </w:rPr>
              <w:fldChar w:fldCharType="separate"/>
            </w:r>
            <w:r w:rsidR="00E604B8">
              <w:rPr>
                <w:noProof/>
                <w:webHidden/>
              </w:rPr>
              <w:t>28</w:t>
            </w:r>
            <w:r>
              <w:rPr>
                <w:noProof/>
                <w:webHidden/>
              </w:rPr>
              <w:fldChar w:fldCharType="end"/>
            </w:r>
          </w:hyperlink>
        </w:p>
        <w:p w14:paraId="4F6F08C0" w14:textId="1274247A"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3" w:history="1">
            <w:r w:rsidRPr="00AD6A76">
              <w:rPr>
                <w:rStyle w:val="Hyperlink"/>
                <w:rFonts w:ascii="Times New Roman" w:hAnsi="Times New Roman" w:cs="Times New Roman"/>
                <w:noProof/>
              </w:rPr>
              <w:t xml:space="preserve">2.3.1. Chemical analyses of </w:t>
            </w:r>
            <w:r w:rsidRPr="00AD6A76">
              <w:rPr>
                <w:rStyle w:val="Hyperlink"/>
                <w:rFonts w:ascii="Times New Roman" w:hAnsi="Times New Roman" w:cs="Times New Roman"/>
                <w:i/>
                <w:noProof/>
              </w:rPr>
              <w:t>Eragrostis curvula</w:t>
            </w:r>
            <w:r w:rsidRPr="00AD6A76">
              <w:rPr>
                <w:rStyle w:val="Hyperlink"/>
                <w:rFonts w:ascii="Times New Roman" w:hAnsi="Times New Roman" w:cs="Times New Roman"/>
                <w:noProof/>
              </w:rPr>
              <w:t xml:space="preserve"> hay (test feed)</w:t>
            </w:r>
            <w:r>
              <w:rPr>
                <w:noProof/>
                <w:webHidden/>
              </w:rPr>
              <w:tab/>
            </w:r>
            <w:r>
              <w:rPr>
                <w:noProof/>
                <w:webHidden/>
              </w:rPr>
              <w:fldChar w:fldCharType="begin"/>
            </w:r>
            <w:r>
              <w:rPr>
                <w:noProof/>
                <w:webHidden/>
              </w:rPr>
              <w:instrText xml:space="preserve"> PAGEREF _Toc2691133 \h </w:instrText>
            </w:r>
            <w:r>
              <w:rPr>
                <w:noProof/>
                <w:webHidden/>
              </w:rPr>
            </w:r>
            <w:r>
              <w:rPr>
                <w:noProof/>
                <w:webHidden/>
              </w:rPr>
              <w:fldChar w:fldCharType="separate"/>
            </w:r>
            <w:r w:rsidR="00E604B8">
              <w:rPr>
                <w:noProof/>
                <w:webHidden/>
              </w:rPr>
              <w:t>29</w:t>
            </w:r>
            <w:r>
              <w:rPr>
                <w:noProof/>
                <w:webHidden/>
              </w:rPr>
              <w:fldChar w:fldCharType="end"/>
            </w:r>
          </w:hyperlink>
        </w:p>
        <w:p w14:paraId="71AF9E4A" w14:textId="299A9271"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4" w:history="1">
            <w:r w:rsidRPr="00AD6A76">
              <w:rPr>
                <w:rStyle w:val="Hyperlink"/>
                <w:rFonts w:ascii="Times New Roman" w:hAnsi="Times New Roman" w:cs="Times New Roman"/>
                <w:noProof/>
              </w:rPr>
              <w:t>2.3.2. Collection and storage of plant material</w:t>
            </w:r>
            <w:r>
              <w:rPr>
                <w:noProof/>
                <w:webHidden/>
              </w:rPr>
              <w:tab/>
            </w:r>
            <w:r>
              <w:rPr>
                <w:noProof/>
                <w:webHidden/>
              </w:rPr>
              <w:fldChar w:fldCharType="begin"/>
            </w:r>
            <w:r>
              <w:rPr>
                <w:noProof/>
                <w:webHidden/>
              </w:rPr>
              <w:instrText xml:space="preserve"> PAGEREF _Toc2691134 \h </w:instrText>
            </w:r>
            <w:r>
              <w:rPr>
                <w:noProof/>
                <w:webHidden/>
              </w:rPr>
            </w:r>
            <w:r>
              <w:rPr>
                <w:noProof/>
                <w:webHidden/>
              </w:rPr>
              <w:fldChar w:fldCharType="separate"/>
            </w:r>
            <w:r w:rsidR="00E604B8">
              <w:rPr>
                <w:noProof/>
                <w:webHidden/>
              </w:rPr>
              <w:t>29</w:t>
            </w:r>
            <w:r>
              <w:rPr>
                <w:noProof/>
                <w:webHidden/>
              </w:rPr>
              <w:fldChar w:fldCharType="end"/>
            </w:r>
          </w:hyperlink>
        </w:p>
        <w:p w14:paraId="79587657" w14:textId="15B4F391"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5" w:history="1">
            <w:r w:rsidRPr="00AD6A76">
              <w:rPr>
                <w:rStyle w:val="Hyperlink"/>
                <w:rFonts w:ascii="Times New Roman" w:hAnsi="Times New Roman" w:cs="Times New Roman"/>
                <w:noProof/>
              </w:rPr>
              <w:t>2.3.3. Preparation of plant extraction</w:t>
            </w:r>
            <w:r>
              <w:rPr>
                <w:noProof/>
                <w:webHidden/>
              </w:rPr>
              <w:tab/>
            </w:r>
            <w:r>
              <w:rPr>
                <w:noProof/>
                <w:webHidden/>
              </w:rPr>
              <w:fldChar w:fldCharType="begin"/>
            </w:r>
            <w:r>
              <w:rPr>
                <w:noProof/>
                <w:webHidden/>
              </w:rPr>
              <w:instrText xml:space="preserve"> PAGEREF _Toc2691135 \h </w:instrText>
            </w:r>
            <w:r>
              <w:rPr>
                <w:noProof/>
                <w:webHidden/>
              </w:rPr>
            </w:r>
            <w:r>
              <w:rPr>
                <w:noProof/>
                <w:webHidden/>
              </w:rPr>
              <w:fldChar w:fldCharType="separate"/>
            </w:r>
            <w:r w:rsidR="00E604B8">
              <w:rPr>
                <w:noProof/>
                <w:webHidden/>
              </w:rPr>
              <w:t>32</w:t>
            </w:r>
            <w:r>
              <w:rPr>
                <w:noProof/>
                <w:webHidden/>
              </w:rPr>
              <w:fldChar w:fldCharType="end"/>
            </w:r>
          </w:hyperlink>
        </w:p>
        <w:p w14:paraId="51C0D261" w14:textId="0173D594"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6" w:history="1">
            <w:r w:rsidRPr="00AD6A76">
              <w:rPr>
                <w:rStyle w:val="Hyperlink"/>
                <w:rFonts w:ascii="Times New Roman" w:hAnsi="Times New Roman" w:cs="Times New Roman"/>
                <w:noProof/>
              </w:rPr>
              <w:t>2.3.4. Reconstitution of plant extract powder and experimental treatments</w:t>
            </w:r>
            <w:r>
              <w:rPr>
                <w:noProof/>
                <w:webHidden/>
              </w:rPr>
              <w:tab/>
            </w:r>
            <w:r>
              <w:rPr>
                <w:noProof/>
                <w:webHidden/>
              </w:rPr>
              <w:fldChar w:fldCharType="begin"/>
            </w:r>
            <w:r>
              <w:rPr>
                <w:noProof/>
                <w:webHidden/>
              </w:rPr>
              <w:instrText xml:space="preserve"> PAGEREF _Toc2691136 \h </w:instrText>
            </w:r>
            <w:r>
              <w:rPr>
                <w:noProof/>
                <w:webHidden/>
              </w:rPr>
            </w:r>
            <w:r>
              <w:rPr>
                <w:noProof/>
                <w:webHidden/>
              </w:rPr>
              <w:fldChar w:fldCharType="separate"/>
            </w:r>
            <w:r w:rsidR="00E604B8">
              <w:rPr>
                <w:noProof/>
                <w:webHidden/>
              </w:rPr>
              <w:t>33</w:t>
            </w:r>
            <w:r>
              <w:rPr>
                <w:noProof/>
                <w:webHidden/>
              </w:rPr>
              <w:fldChar w:fldCharType="end"/>
            </w:r>
          </w:hyperlink>
        </w:p>
        <w:p w14:paraId="6D53A6EE" w14:textId="36CE3C89"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7" w:history="1">
            <w:r w:rsidRPr="00AD6A76">
              <w:rPr>
                <w:rStyle w:val="Hyperlink"/>
                <w:rFonts w:ascii="Times New Roman" w:hAnsi="Times New Roman" w:cs="Times New Roman"/>
                <w:noProof/>
              </w:rPr>
              <w:t>2.3.5. Gas Production</w:t>
            </w:r>
            <w:r>
              <w:rPr>
                <w:noProof/>
                <w:webHidden/>
              </w:rPr>
              <w:tab/>
            </w:r>
            <w:r>
              <w:rPr>
                <w:noProof/>
                <w:webHidden/>
              </w:rPr>
              <w:fldChar w:fldCharType="begin"/>
            </w:r>
            <w:r>
              <w:rPr>
                <w:noProof/>
                <w:webHidden/>
              </w:rPr>
              <w:instrText xml:space="preserve"> PAGEREF _Toc2691137 \h </w:instrText>
            </w:r>
            <w:r>
              <w:rPr>
                <w:noProof/>
                <w:webHidden/>
              </w:rPr>
            </w:r>
            <w:r>
              <w:rPr>
                <w:noProof/>
                <w:webHidden/>
              </w:rPr>
              <w:fldChar w:fldCharType="separate"/>
            </w:r>
            <w:r w:rsidR="00E604B8">
              <w:rPr>
                <w:noProof/>
                <w:webHidden/>
              </w:rPr>
              <w:t>34</w:t>
            </w:r>
            <w:r>
              <w:rPr>
                <w:noProof/>
                <w:webHidden/>
              </w:rPr>
              <w:fldChar w:fldCharType="end"/>
            </w:r>
          </w:hyperlink>
        </w:p>
        <w:p w14:paraId="3D37F48B" w14:textId="764E6916"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8" w:history="1">
            <w:r w:rsidRPr="00AD6A76">
              <w:rPr>
                <w:rStyle w:val="Hyperlink"/>
                <w:rFonts w:ascii="Times New Roman" w:hAnsi="Times New Roman" w:cs="Times New Roman"/>
                <w:noProof/>
              </w:rPr>
              <w:t>2.3.6. Methane gas production</w:t>
            </w:r>
            <w:r>
              <w:rPr>
                <w:noProof/>
                <w:webHidden/>
              </w:rPr>
              <w:tab/>
            </w:r>
            <w:r>
              <w:rPr>
                <w:noProof/>
                <w:webHidden/>
              </w:rPr>
              <w:fldChar w:fldCharType="begin"/>
            </w:r>
            <w:r>
              <w:rPr>
                <w:noProof/>
                <w:webHidden/>
              </w:rPr>
              <w:instrText xml:space="preserve"> PAGEREF _Toc2691138 \h </w:instrText>
            </w:r>
            <w:r>
              <w:rPr>
                <w:noProof/>
                <w:webHidden/>
              </w:rPr>
            </w:r>
            <w:r>
              <w:rPr>
                <w:noProof/>
                <w:webHidden/>
              </w:rPr>
              <w:fldChar w:fldCharType="separate"/>
            </w:r>
            <w:r w:rsidR="00E604B8">
              <w:rPr>
                <w:noProof/>
                <w:webHidden/>
              </w:rPr>
              <w:t>38</w:t>
            </w:r>
            <w:r>
              <w:rPr>
                <w:noProof/>
                <w:webHidden/>
              </w:rPr>
              <w:fldChar w:fldCharType="end"/>
            </w:r>
          </w:hyperlink>
        </w:p>
        <w:p w14:paraId="26AD4A8B" w14:textId="779CF115"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39" w:history="1">
            <w:r w:rsidRPr="00AD6A76">
              <w:rPr>
                <w:rStyle w:val="Hyperlink"/>
                <w:rFonts w:ascii="Times New Roman" w:hAnsi="Times New Roman" w:cs="Times New Roman"/>
                <w:noProof/>
              </w:rPr>
              <w:t>2.3.7.</w:t>
            </w:r>
            <w:r w:rsidRPr="00AD6A76">
              <w:rPr>
                <w:rStyle w:val="Hyperlink"/>
                <w:rFonts w:ascii="Times New Roman" w:hAnsi="Times New Roman" w:cs="Times New Roman"/>
                <w:i/>
                <w:noProof/>
              </w:rPr>
              <w:t xml:space="preserve"> In vitro</w:t>
            </w:r>
            <w:r w:rsidRPr="00AD6A76">
              <w:rPr>
                <w:rStyle w:val="Hyperlink"/>
                <w:rFonts w:ascii="Times New Roman" w:hAnsi="Times New Roman" w:cs="Times New Roman"/>
                <w:noProof/>
              </w:rPr>
              <w:t xml:space="preserve"> organic matter digestibility</w:t>
            </w:r>
            <w:r>
              <w:rPr>
                <w:noProof/>
                <w:webHidden/>
              </w:rPr>
              <w:tab/>
            </w:r>
            <w:r>
              <w:rPr>
                <w:noProof/>
                <w:webHidden/>
              </w:rPr>
              <w:fldChar w:fldCharType="begin"/>
            </w:r>
            <w:r>
              <w:rPr>
                <w:noProof/>
                <w:webHidden/>
              </w:rPr>
              <w:instrText xml:space="preserve"> PAGEREF _Toc2691139 \h </w:instrText>
            </w:r>
            <w:r>
              <w:rPr>
                <w:noProof/>
                <w:webHidden/>
              </w:rPr>
            </w:r>
            <w:r>
              <w:rPr>
                <w:noProof/>
                <w:webHidden/>
              </w:rPr>
              <w:fldChar w:fldCharType="separate"/>
            </w:r>
            <w:r w:rsidR="00E604B8">
              <w:rPr>
                <w:noProof/>
                <w:webHidden/>
              </w:rPr>
              <w:t>40</w:t>
            </w:r>
            <w:r>
              <w:rPr>
                <w:noProof/>
                <w:webHidden/>
              </w:rPr>
              <w:fldChar w:fldCharType="end"/>
            </w:r>
          </w:hyperlink>
        </w:p>
        <w:p w14:paraId="61118C5D" w14:textId="6C440BFC"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0" w:history="1">
            <w:r w:rsidRPr="00AD6A76">
              <w:rPr>
                <w:rStyle w:val="Hyperlink"/>
                <w:rFonts w:ascii="Times New Roman" w:hAnsi="Times New Roman" w:cs="Times New Roman"/>
                <w:noProof/>
              </w:rPr>
              <w:t>2.3.8. Statistical analysis</w:t>
            </w:r>
            <w:r>
              <w:rPr>
                <w:noProof/>
                <w:webHidden/>
              </w:rPr>
              <w:tab/>
            </w:r>
            <w:r>
              <w:rPr>
                <w:noProof/>
                <w:webHidden/>
              </w:rPr>
              <w:fldChar w:fldCharType="begin"/>
            </w:r>
            <w:r>
              <w:rPr>
                <w:noProof/>
                <w:webHidden/>
              </w:rPr>
              <w:instrText xml:space="preserve"> PAGEREF _Toc2691140 \h </w:instrText>
            </w:r>
            <w:r>
              <w:rPr>
                <w:noProof/>
                <w:webHidden/>
              </w:rPr>
            </w:r>
            <w:r>
              <w:rPr>
                <w:noProof/>
                <w:webHidden/>
              </w:rPr>
              <w:fldChar w:fldCharType="separate"/>
            </w:r>
            <w:r w:rsidR="00E604B8">
              <w:rPr>
                <w:noProof/>
                <w:webHidden/>
              </w:rPr>
              <w:t>41</w:t>
            </w:r>
            <w:r>
              <w:rPr>
                <w:noProof/>
                <w:webHidden/>
              </w:rPr>
              <w:fldChar w:fldCharType="end"/>
            </w:r>
          </w:hyperlink>
        </w:p>
        <w:p w14:paraId="7942ABC4" w14:textId="74385E30"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41" w:history="1">
            <w:r w:rsidRPr="00AD6A76">
              <w:rPr>
                <w:rStyle w:val="Hyperlink"/>
                <w:rFonts w:cs="Times New Roman"/>
                <w:b/>
                <w:noProof/>
              </w:rPr>
              <w:t>2.4.</w:t>
            </w:r>
            <w:r w:rsidRPr="00AD6A76">
              <w:rPr>
                <w:rStyle w:val="Hyperlink"/>
                <w:rFonts w:ascii="Times New Roman" w:hAnsi="Times New Roman" w:cs="Times New Roman"/>
                <w:b/>
                <w:noProof/>
              </w:rPr>
              <w:t xml:space="preserve"> Results and discussion</w:t>
            </w:r>
            <w:r>
              <w:rPr>
                <w:noProof/>
                <w:webHidden/>
              </w:rPr>
              <w:tab/>
            </w:r>
            <w:r>
              <w:rPr>
                <w:noProof/>
                <w:webHidden/>
              </w:rPr>
              <w:fldChar w:fldCharType="begin"/>
            </w:r>
            <w:r>
              <w:rPr>
                <w:noProof/>
                <w:webHidden/>
              </w:rPr>
              <w:instrText xml:space="preserve"> PAGEREF _Toc2691141 \h </w:instrText>
            </w:r>
            <w:r>
              <w:rPr>
                <w:noProof/>
                <w:webHidden/>
              </w:rPr>
            </w:r>
            <w:r>
              <w:rPr>
                <w:noProof/>
                <w:webHidden/>
              </w:rPr>
              <w:fldChar w:fldCharType="separate"/>
            </w:r>
            <w:r w:rsidR="00E604B8">
              <w:rPr>
                <w:noProof/>
                <w:webHidden/>
              </w:rPr>
              <w:t>41</w:t>
            </w:r>
            <w:r>
              <w:rPr>
                <w:noProof/>
                <w:webHidden/>
              </w:rPr>
              <w:fldChar w:fldCharType="end"/>
            </w:r>
          </w:hyperlink>
        </w:p>
        <w:p w14:paraId="0DC47232" w14:textId="6D07C753"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2" w:history="1">
            <w:r w:rsidRPr="00AD6A76">
              <w:rPr>
                <w:rStyle w:val="Hyperlink"/>
                <w:rFonts w:ascii="Times New Roman" w:hAnsi="Times New Roman" w:cs="Times New Roman"/>
                <w:noProof/>
              </w:rPr>
              <w:t xml:space="preserve">2.4.1. Chemical composition of </w:t>
            </w:r>
            <w:r w:rsidRPr="00AD6A76">
              <w:rPr>
                <w:rStyle w:val="Hyperlink"/>
                <w:rFonts w:ascii="Times New Roman" w:hAnsi="Times New Roman" w:cs="Times New Roman"/>
                <w:i/>
                <w:noProof/>
              </w:rPr>
              <w:t xml:space="preserve">Eragrostis curvula </w:t>
            </w:r>
            <w:r w:rsidRPr="00AD6A76">
              <w:rPr>
                <w:rStyle w:val="Hyperlink"/>
                <w:rFonts w:ascii="Times New Roman" w:hAnsi="Times New Roman" w:cs="Times New Roman"/>
                <w:noProof/>
              </w:rPr>
              <w:t>hay</w:t>
            </w:r>
            <w:r>
              <w:rPr>
                <w:noProof/>
                <w:webHidden/>
              </w:rPr>
              <w:tab/>
            </w:r>
            <w:r>
              <w:rPr>
                <w:noProof/>
                <w:webHidden/>
              </w:rPr>
              <w:fldChar w:fldCharType="begin"/>
            </w:r>
            <w:r>
              <w:rPr>
                <w:noProof/>
                <w:webHidden/>
              </w:rPr>
              <w:instrText xml:space="preserve"> PAGEREF _Toc2691142 \h </w:instrText>
            </w:r>
            <w:r>
              <w:rPr>
                <w:noProof/>
                <w:webHidden/>
              </w:rPr>
            </w:r>
            <w:r>
              <w:rPr>
                <w:noProof/>
                <w:webHidden/>
              </w:rPr>
              <w:fldChar w:fldCharType="separate"/>
            </w:r>
            <w:r w:rsidR="00E604B8">
              <w:rPr>
                <w:noProof/>
                <w:webHidden/>
              </w:rPr>
              <w:t>41</w:t>
            </w:r>
            <w:r>
              <w:rPr>
                <w:noProof/>
                <w:webHidden/>
              </w:rPr>
              <w:fldChar w:fldCharType="end"/>
            </w:r>
          </w:hyperlink>
        </w:p>
        <w:p w14:paraId="445DA289" w14:textId="0A2F98B5"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3" w:history="1">
            <w:r w:rsidRPr="00AD6A76">
              <w:rPr>
                <w:rStyle w:val="Hyperlink"/>
                <w:rFonts w:ascii="Times New Roman" w:hAnsi="Times New Roman" w:cs="Times New Roman"/>
                <w:noProof/>
              </w:rPr>
              <w:t>2.4.2. Gas production</w:t>
            </w:r>
            <w:r>
              <w:rPr>
                <w:noProof/>
                <w:webHidden/>
              </w:rPr>
              <w:tab/>
            </w:r>
            <w:r>
              <w:rPr>
                <w:noProof/>
                <w:webHidden/>
              </w:rPr>
              <w:fldChar w:fldCharType="begin"/>
            </w:r>
            <w:r>
              <w:rPr>
                <w:noProof/>
                <w:webHidden/>
              </w:rPr>
              <w:instrText xml:space="preserve"> PAGEREF _Toc2691143 \h </w:instrText>
            </w:r>
            <w:r>
              <w:rPr>
                <w:noProof/>
                <w:webHidden/>
              </w:rPr>
            </w:r>
            <w:r>
              <w:rPr>
                <w:noProof/>
                <w:webHidden/>
              </w:rPr>
              <w:fldChar w:fldCharType="separate"/>
            </w:r>
            <w:r w:rsidR="00E604B8">
              <w:rPr>
                <w:noProof/>
                <w:webHidden/>
              </w:rPr>
              <w:t>43</w:t>
            </w:r>
            <w:r>
              <w:rPr>
                <w:noProof/>
                <w:webHidden/>
              </w:rPr>
              <w:fldChar w:fldCharType="end"/>
            </w:r>
          </w:hyperlink>
        </w:p>
        <w:p w14:paraId="5731285A" w14:textId="6A6D5F83"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4" w:history="1">
            <w:r w:rsidRPr="00AD6A76">
              <w:rPr>
                <w:rStyle w:val="Hyperlink"/>
                <w:rFonts w:ascii="Times New Roman" w:hAnsi="Times New Roman" w:cs="Times New Roman"/>
                <w:noProof/>
              </w:rPr>
              <w:t>2.4.3. Methane production</w:t>
            </w:r>
            <w:r>
              <w:rPr>
                <w:noProof/>
                <w:webHidden/>
              </w:rPr>
              <w:tab/>
            </w:r>
            <w:r>
              <w:rPr>
                <w:noProof/>
                <w:webHidden/>
              </w:rPr>
              <w:fldChar w:fldCharType="begin"/>
            </w:r>
            <w:r>
              <w:rPr>
                <w:noProof/>
                <w:webHidden/>
              </w:rPr>
              <w:instrText xml:space="preserve"> PAGEREF _Toc2691144 \h </w:instrText>
            </w:r>
            <w:r>
              <w:rPr>
                <w:noProof/>
                <w:webHidden/>
              </w:rPr>
            </w:r>
            <w:r>
              <w:rPr>
                <w:noProof/>
                <w:webHidden/>
              </w:rPr>
              <w:fldChar w:fldCharType="separate"/>
            </w:r>
            <w:r w:rsidR="00E604B8">
              <w:rPr>
                <w:noProof/>
                <w:webHidden/>
              </w:rPr>
              <w:t>48</w:t>
            </w:r>
            <w:r>
              <w:rPr>
                <w:noProof/>
                <w:webHidden/>
              </w:rPr>
              <w:fldChar w:fldCharType="end"/>
            </w:r>
          </w:hyperlink>
        </w:p>
        <w:p w14:paraId="13E5E295" w14:textId="7AA9D70C"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5" w:history="1">
            <w:r w:rsidRPr="00AD6A76">
              <w:rPr>
                <w:rStyle w:val="Hyperlink"/>
                <w:rFonts w:ascii="Times New Roman" w:hAnsi="Times New Roman" w:cs="Times New Roman"/>
                <w:noProof/>
              </w:rPr>
              <w:t>2.4.4. Methane per unit of gas produced</w:t>
            </w:r>
            <w:r>
              <w:rPr>
                <w:noProof/>
                <w:webHidden/>
              </w:rPr>
              <w:tab/>
            </w:r>
            <w:r>
              <w:rPr>
                <w:noProof/>
                <w:webHidden/>
              </w:rPr>
              <w:fldChar w:fldCharType="begin"/>
            </w:r>
            <w:r>
              <w:rPr>
                <w:noProof/>
                <w:webHidden/>
              </w:rPr>
              <w:instrText xml:space="preserve"> PAGEREF _Toc2691145 \h </w:instrText>
            </w:r>
            <w:r>
              <w:rPr>
                <w:noProof/>
                <w:webHidden/>
              </w:rPr>
            </w:r>
            <w:r>
              <w:rPr>
                <w:noProof/>
                <w:webHidden/>
              </w:rPr>
              <w:fldChar w:fldCharType="separate"/>
            </w:r>
            <w:r w:rsidR="00E604B8">
              <w:rPr>
                <w:noProof/>
                <w:webHidden/>
              </w:rPr>
              <w:t>50</w:t>
            </w:r>
            <w:r>
              <w:rPr>
                <w:noProof/>
                <w:webHidden/>
              </w:rPr>
              <w:fldChar w:fldCharType="end"/>
            </w:r>
          </w:hyperlink>
        </w:p>
        <w:p w14:paraId="75323874" w14:textId="3F4C6C19"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6" w:history="1">
            <w:r w:rsidRPr="00AD6A76">
              <w:rPr>
                <w:rStyle w:val="Hyperlink"/>
                <w:rFonts w:ascii="Times New Roman" w:hAnsi="Times New Roman" w:cs="Times New Roman"/>
                <w:noProof/>
              </w:rPr>
              <w:t>2.4.5.</w:t>
            </w:r>
            <w:r w:rsidRPr="00AD6A76">
              <w:rPr>
                <w:rStyle w:val="Hyperlink"/>
                <w:rFonts w:ascii="Times New Roman" w:hAnsi="Times New Roman" w:cs="Times New Roman"/>
                <w:i/>
                <w:noProof/>
              </w:rPr>
              <w:t xml:space="preserve"> In vitro </w:t>
            </w:r>
            <w:r w:rsidRPr="00AD6A76">
              <w:rPr>
                <w:rStyle w:val="Hyperlink"/>
                <w:rFonts w:ascii="Times New Roman" w:hAnsi="Times New Roman" w:cs="Times New Roman"/>
                <w:noProof/>
              </w:rPr>
              <w:t>organic matter digestibility</w:t>
            </w:r>
            <w:r>
              <w:rPr>
                <w:noProof/>
                <w:webHidden/>
              </w:rPr>
              <w:tab/>
            </w:r>
            <w:r>
              <w:rPr>
                <w:noProof/>
                <w:webHidden/>
              </w:rPr>
              <w:fldChar w:fldCharType="begin"/>
            </w:r>
            <w:r>
              <w:rPr>
                <w:noProof/>
                <w:webHidden/>
              </w:rPr>
              <w:instrText xml:space="preserve"> PAGEREF _Toc2691146 \h </w:instrText>
            </w:r>
            <w:r>
              <w:rPr>
                <w:noProof/>
                <w:webHidden/>
              </w:rPr>
            </w:r>
            <w:r>
              <w:rPr>
                <w:noProof/>
                <w:webHidden/>
              </w:rPr>
              <w:fldChar w:fldCharType="separate"/>
            </w:r>
            <w:r w:rsidR="00E604B8">
              <w:rPr>
                <w:noProof/>
                <w:webHidden/>
              </w:rPr>
              <w:t>53</w:t>
            </w:r>
            <w:r>
              <w:rPr>
                <w:noProof/>
                <w:webHidden/>
              </w:rPr>
              <w:fldChar w:fldCharType="end"/>
            </w:r>
          </w:hyperlink>
        </w:p>
        <w:p w14:paraId="22ACC18A" w14:textId="1B58BE54"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47" w:history="1">
            <w:r w:rsidRPr="00AD6A76">
              <w:rPr>
                <w:rStyle w:val="Hyperlink"/>
                <w:rFonts w:ascii="Times New Roman" w:hAnsi="Times New Roman" w:cs="Times New Roman"/>
                <w:noProof/>
              </w:rPr>
              <w:t>2.4.6. Relationship between CH</w:t>
            </w:r>
            <w:r w:rsidRPr="00AD6A76">
              <w:rPr>
                <w:rStyle w:val="Hyperlink"/>
                <w:rFonts w:ascii="Times New Roman" w:hAnsi="Times New Roman" w:cs="Times New Roman"/>
                <w:noProof/>
                <w:vertAlign w:val="subscript"/>
              </w:rPr>
              <w:t>4</w:t>
            </w:r>
            <w:r w:rsidRPr="00AD6A76">
              <w:rPr>
                <w:rStyle w:val="Hyperlink"/>
                <w:rFonts w:ascii="Times New Roman" w:hAnsi="Times New Roman" w:cs="Times New Roman"/>
                <w:noProof/>
              </w:rPr>
              <w:t>: TGP versus digestibility response</w:t>
            </w:r>
            <w:r>
              <w:rPr>
                <w:noProof/>
                <w:webHidden/>
              </w:rPr>
              <w:tab/>
            </w:r>
            <w:r>
              <w:rPr>
                <w:noProof/>
                <w:webHidden/>
              </w:rPr>
              <w:fldChar w:fldCharType="begin"/>
            </w:r>
            <w:r>
              <w:rPr>
                <w:noProof/>
                <w:webHidden/>
              </w:rPr>
              <w:instrText xml:space="preserve"> PAGEREF _Toc2691147 \h </w:instrText>
            </w:r>
            <w:r>
              <w:rPr>
                <w:noProof/>
                <w:webHidden/>
              </w:rPr>
            </w:r>
            <w:r>
              <w:rPr>
                <w:noProof/>
                <w:webHidden/>
              </w:rPr>
              <w:fldChar w:fldCharType="separate"/>
            </w:r>
            <w:r w:rsidR="00E604B8">
              <w:rPr>
                <w:noProof/>
                <w:webHidden/>
              </w:rPr>
              <w:t>54</w:t>
            </w:r>
            <w:r>
              <w:rPr>
                <w:noProof/>
                <w:webHidden/>
              </w:rPr>
              <w:fldChar w:fldCharType="end"/>
            </w:r>
          </w:hyperlink>
        </w:p>
        <w:p w14:paraId="5889874D" w14:textId="75EEB521"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48" w:history="1">
            <w:r w:rsidRPr="00AD6A76">
              <w:rPr>
                <w:rStyle w:val="Hyperlink"/>
                <w:rFonts w:cs="Times New Roman"/>
                <w:b/>
                <w:noProof/>
              </w:rPr>
              <w:t>2.5.</w:t>
            </w:r>
            <w:r w:rsidRPr="00AD6A76">
              <w:rPr>
                <w:rStyle w:val="Hyperlink"/>
                <w:rFonts w:ascii="Times New Roman" w:hAnsi="Times New Roman" w:cs="Times New Roman"/>
                <w:b/>
                <w:noProof/>
              </w:rPr>
              <w:t xml:space="preserve"> Conclusion</w:t>
            </w:r>
            <w:r>
              <w:rPr>
                <w:noProof/>
                <w:webHidden/>
              </w:rPr>
              <w:tab/>
            </w:r>
            <w:r>
              <w:rPr>
                <w:noProof/>
                <w:webHidden/>
              </w:rPr>
              <w:fldChar w:fldCharType="begin"/>
            </w:r>
            <w:r>
              <w:rPr>
                <w:noProof/>
                <w:webHidden/>
              </w:rPr>
              <w:instrText xml:space="preserve"> PAGEREF _Toc2691148 \h </w:instrText>
            </w:r>
            <w:r>
              <w:rPr>
                <w:noProof/>
                <w:webHidden/>
              </w:rPr>
            </w:r>
            <w:r>
              <w:rPr>
                <w:noProof/>
                <w:webHidden/>
              </w:rPr>
              <w:fldChar w:fldCharType="separate"/>
            </w:r>
            <w:r w:rsidR="00E604B8">
              <w:rPr>
                <w:noProof/>
                <w:webHidden/>
              </w:rPr>
              <w:t>55</w:t>
            </w:r>
            <w:r>
              <w:rPr>
                <w:noProof/>
                <w:webHidden/>
              </w:rPr>
              <w:fldChar w:fldCharType="end"/>
            </w:r>
          </w:hyperlink>
        </w:p>
        <w:p w14:paraId="2F186958" w14:textId="770E4D83"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49" w:history="1">
            <w:r w:rsidRPr="00AD6A76">
              <w:rPr>
                <w:rStyle w:val="Hyperlink"/>
                <w:rFonts w:ascii="Times New Roman" w:hAnsi="Times New Roman" w:cs="Times New Roman"/>
                <w:b/>
                <w:noProof/>
              </w:rPr>
              <w:t>Chapter 3:</w:t>
            </w:r>
            <w:r w:rsidRPr="00AD6A76">
              <w:rPr>
                <w:rStyle w:val="Hyperlink"/>
                <w:rFonts w:ascii="Times New Roman" w:hAnsi="Times New Roman" w:cs="Times New Roman"/>
                <w:b/>
                <w:i/>
                <w:noProof/>
              </w:rPr>
              <w:t xml:space="preserve"> In vitro</w:t>
            </w:r>
            <w:r w:rsidRPr="00AD6A76">
              <w:rPr>
                <w:rStyle w:val="Hyperlink"/>
                <w:rFonts w:ascii="Times New Roman" w:hAnsi="Times New Roman" w:cs="Times New Roman"/>
                <w:b/>
                <w:noProof/>
              </w:rPr>
              <w:t xml:space="preserve"> rumen fermentation characteristics of </w:t>
            </w:r>
            <w:r w:rsidRPr="00AD6A76">
              <w:rPr>
                <w:rStyle w:val="Hyperlink"/>
                <w:rFonts w:ascii="Times New Roman" w:hAnsi="Times New Roman" w:cs="Times New Roman"/>
                <w:b/>
                <w:i/>
                <w:noProof/>
              </w:rPr>
              <w:t>Eragrostis curvula</w:t>
            </w:r>
            <w:r w:rsidRPr="00AD6A76">
              <w:rPr>
                <w:rStyle w:val="Hyperlink"/>
                <w:rFonts w:ascii="Times New Roman" w:hAnsi="Times New Roman" w:cs="Times New Roman"/>
                <w:b/>
                <w:noProof/>
              </w:rPr>
              <w:t xml:space="preserve"> hay supplemented with seven different plant extract additives tested at higher dose levels</w:t>
            </w:r>
            <w:r>
              <w:rPr>
                <w:noProof/>
                <w:webHidden/>
              </w:rPr>
              <w:tab/>
            </w:r>
            <w:r>
              <w:rPr>
                <w:noProof/>
                <w:webHidden/>
              </w:rPr>
              <w:fldChar w:fldCharType="begin"/>
            </w:r>
            <w:r>
              <w:rPr>
                <w:noProof/>
                <w:webHidden/>
              </w:rPr>
              <w:instrText xml:space="preserve"> PAGEREF _Toc2691149 \h </w:instrText>
            </w:r>
            <w:r>
              <w:rPr>
                <w:noProof/>
                <w:webHidden/>
              </w:rPr>
            </w:r>
            <w:r>
              <w:rPr>
                <w:noProof/>
                <w:webHidden/>
              </w:rPr>
              <w:fldChar w:fldCharType="separate"/>
            </w:r>
            <w:r w:rsidR="00E604B8">
              <w:rPr>
                <w:noProof/>
                <w:webHidden/>
              </w:rPr>
              <w:t>57</w:t>
            </w:r>
            <w:r>
              <w:rPr>
                <w:noProof/>
                <w:webHidden/>
              </w:rPr>
              <w:fldChar w:fldCharType="end"/>
            </w:r>
          </w:hyperlink>
        </w:p>
        <w:p w14:paraId="568E1CAD" w14:textId="4B55402D"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50" w:history="1">
            <w:r w:rsidRPr="00AD6A76">
              <w:rPr>
                <w:rStyle w:val="Hyperlink"/>
                <w:rFonts w:cs="Times New Roman"/>
                <w:b/>
                <w:noProof/>
              </w:rPr>
              <w:t>3.1.</w:t>
            </w:r>
            <w:r w:rsidRPr="00AD6A76">
              <w:rPr>
                <w:rStyle w:val="Hyperlink"/>
                <w:rFonts w:ascii="Times New Roman" w:hAnsi="Times New Roman" w:cs="Times New Roman"/>
                <w:b/>
                <w:noProof/>
              </w:rPr>
              <w:t xml:space="preserve"> Abstract</w:t>
            </w:r>
            <w:r>
              <w:rPr>
                <w:noProof/>
                <w:webHidden/>
              </w:rPr>
              <w:tab/>
            </w:r>
            <w:r>
              <w:rPr>
                <w:noProof/>
                <w:webHidden/>
              </w:rPr>
              <w:fldChar w:fldCharType="begin"/>
            </w:r>
            <w:r>
              <w:rPr>
                <w:noProof/>
                <w:webHidden/>
              </w:rPr>
              <w:instrText xml:space="preserve"> PAGEREF _Toc2691150 \h </w:instrText>
            </w:r>
            <w:r>
              <w:rPr>
                <w:noProof/>
                <w:webHidden/>
              </w:rPr>
            </w:r>
            <w:r>
              <w:rPr>
                <w:noProof/>
                <w:webHidden/>
              </w:rPr>
              <w:fldChar w:fldCharType="separate"/>
            </w:r>
            <w:r w:rsidR="00E604B8">
              <w:rPr>
                <w:noProof/>
                <w:webHidden/>
              </w:rPr>
              <w:t>57</w:t>
            </w:r>
            <w:r>
              <w:rPr>
                <w:noProof/>
                <w:webHidden/>
              </w:rPr>
              <w:fldChar w:fldCharType="end"/>
            </w:r>
          </w:hyperlink>
        </w:p>
        <w:p w14:paraId="24EEEC2B" w14:textId="3338D559"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51" w:history="1">
            <w:r w:rsidRPr="00AD6A76">
              <w:rPr>
                <w:rStyle w:val="Hyperlink"/>
                <w:rFonts w:cs="Times New Roman"/>
                <w:b/>
                <w:noProof/>
              </w:rPr>
              <w:t>3.2.</w:t>
            </w:r>
            <w:r w:rsidRPr="00AD6A76">
              <w:rPr>
                <w:rStyle w:val="Hyperlink"/>
                <w:rFonts w:ascii="Times New Roman" w:hAnsi="Times New Roman" w:cs="Times New Roman"/>
                <w:b/>
                <w:noProof/>
              </w:rPr>
              <w:t xml:space="preserve"> Introduction</w:t>
            </w:r>
            <w:r>
              <w:rPr>
                <w:noProof/>
                <w:webHidden/>
              </w:rPr>
              <w:tab/>
            </w:r>
            <w:r>
              <w:rPr>
                <w:noProof/>
                <w:webHidden/>
              </w:rPr>
              <w:fldChar w:fldCharType="begin"/>
            </w:r>
            <w:r>
              <w:rPr>
                <w:noProof/>
                <w:webHidden/>
              </w:rPr>
              <w:instrText xml:space="preserve"> PAGEREF _Toc2691151 \h </w:instrText>
            </w:r>
            <w:r>
              <w:rPr>
                <w:noProof/>
                <w:webHidden/>
              </w:rPr>
            </w:r>
            <w:r>
              <w:rPr>
                <w:noProof/>
                <w:webHidden/>
              </w:rPr>
              <w:fldChar w:fldCharType="separate"/>
            </w:r>
            <w:r w:rsidR="00E604B8">
              <w:rPr>
                <w:noProof/>
                <w:webHidden/>
              </w:rPr>
              <w:t>58</w:t>
            </w:r>
            <w:r>
              <w:rPr>
                <w:noProof/>
                <w:webHidden/>
              </w:rPr>
              <w:fldChar w:fldCharType="end"/>
            </w:r>
          </w:hyperlink>
        </w:p>
        <w:p w14:paraId="7CE706DB" w14:textId="6C696FBE"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52" w:history="1">
            <w:r w:rsidRPr="00AD6A76">
              <w:rPr>
                <w:rStyle w:val="Hyperlink"/>
                <w:rFonts w:cs="Times New Roman"/>
                <w:b/>
                <w:noProof/>
              </w:rPr>
              <w:t>3.3.</w:t>
            </w:r>
            <w:r w:rsidRPr="00AD6A76">
              <w:rPr>
                <w:rStyle w:val="Hyperlink"/>
                <w:rFonts w:ascii="Times New Roman" w:hAnsi="Times New Roman" w:cs="Times New Roman"/>
                <w:b/>
                <w:noProof/>
              </w:rPr>
              <w:t xml:space="preserve"> Materials and Methods</w:t>
            </w:r>
            <w:r>
              <w:rPr>
                <w:noProof/>
                <w:webHidden/>
              </w:rPr>
              <w:tab/>
            </w:r>
            <w:r>
              <w:rPr>
                <w:noProof/>
                <w:webHidden/>
              </w:rPr>
              <w:fldChar w:fldCharType="begin"/>
            </w:r>
            <w:r>
              <w:rPr>
                <w:noProof/>
                <w:webHidden/>
              </w:rPr>
              <w:instrText xml:space="preserve"> PAGEREF _Toc2691152 \h </w:instrText>
            </w:r>
            <w:r>
              <w:rPr>
                <w:noProof/>
                <w:webHidden/>
              </w:rPr>
            </w:r>
            <w:r>
              <w:rPr>
                <w:noProof/>
                <w:webHidden/>
              </w:rPr>
              <w:fldChar w:fldCharType="separate"/>
            </w:r>
            <w:r w:rsidR="00E604B8">
              <w:rPr>
                <w:noProof/>
                <w:webHidden/>
              </w:rPr>
              <w:t>59</w:t>
            </w:r>
            <w:r>
              <w:rPr>
                <w:noProof/>
                <w:webHidden/>
              </w:rPr>
              <w:fldChar w:fldCharType="end"/>
            </w:r>
          </w:hyperlink>
        </w:p>
        <w:p w14:paraId="45FF0C93" w14:textId="66DAAA32"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3" w:history="1">
            <w:r w:rsidRPr="00AD6A76">
              <w:rPr>
                <w:rStyle w:val="Hyperlink"/>
                <w:rFonts w:ascii="Times New Roman" w:hAnsi="Times New Roman" w:cs="Times New Roman"/>
                <w:noProof/>
              </w:rPr>
              <w:t>3.3.1. Plant sample collection, preparation and extraction</w:t>
            </w:r>
            <w:r>
              <w:rPr>
                <w:noProof/>
                <w:webHidden/>
              </w:rPr>
              <w:tab/>
            </w:r>
            <w:r>
              <w:rPr>
                <w:noProof/>
                <w:webHidden/>
              </w:rPr>
              <w:fldChar w:fldCharType="begin"/>
            </w:r>
            <w:r>
              <w:rPr>
                <w:noProof/>
                <w:webHidden/>
              </w:rPr>
              <w:instrText xml:space="preserve"> PAGEREF _Toc2691153 \h </w:instrText>
            </w:r>
            <w:r>
              <w:rPr>
                <w:noProof/>
                <w:webHidden/>
              </w:rPr>
            </w:r>
            <w:r>
              <w:rPr>
                <w:noProof/>
                <w:webHidden/>
              </w:rPr>
              <w:fldChar w:fldCharType="separate"/>
            </w:r>
            <w:r w:rsidR="00E604B8">
              <w:rPr>
                <w:noProof/>
                <w:webHidden/>
              </w:rPr>
              <w:t>59</w:t>
            </w:r>
            <w:r>
              <w:rPr>
                <w:noProof/>
                <w:webHidden/>
              </w:rPr>
              <w:fldChar w:fldCharType="end"/>
            </w:r>
          </w:hyperlink>
        </w:p>
        <w:p w14:paraId="6492378B" w14:textId="014760C9"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4" w:history="1">
            <w:r w:rsidRPr="00AD6A76">
              <w:rPr>
                <w:rStyle w:val="Hyperlink"/>
                <w:rFonts w:ascii="Times New Roman" w:hAnsi="Times New Roman" w:cs="Times New Roman"/>
                <w:noProof/>
              </w:rPr>
              <w:t>3.3.2. Reconstitution of plant extract powder and experimental treatments</w:t>
            </w:r>
            <w:r>
              <w:rPr>
                <w:noProof/>
                <w:webHidden/>
              </w:rPr>
              <w:tab/>
            </w:r>
            <w:r>
              <w:rPr>
                <w:noProof/>
                <w:webHidden/>
              </w:rPr>
              <w:fldChar w:fldCharType="begin"/>
            </w:r>
            <w:r>
              <w:rPr>
                <w:noProof/>
                <w:webHidden/>
              </w:rPr>
              <w:instrText xml:space="preserve"> PAGEREF _Toc2691154 \h </w:instrText>
            </w:r>
            <w:r>
              <w:rPr>
                <w:noProof/>
                <w:webHidden/>
              </w:rPr>
            </w:r>
            <w:r>
              <w:rPr>
                <w:noProof/>
                <w:webHidden/>
              </w:rPr>
              <w:fldChar w:fldCharType="separate"/>
            </w:r>
            <w:r w:rsidR="00E604B8">
              <w:rPr>
                <w:noProof/>
                <w:webHidden/>
              </w:rPr>
              <w:t>59</w:t>
            </w:r>
            <w:r>
              <w:rPr>
                <w:noProof/>
                <w:webHidden/>
              </w:rPr>
              <w:fldChar w:fldCharType="end"/>
            </w:r>
          </w:hyperlink>
        </w:p>
        <w:p w14:paraId="5869CF06" w14:textId="262C562D"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5" w:history="1">
            <w:r w:rsidRPr="00AD6A76">
              <w:rPr>
                <w:rStyle w:val="Hyperlink"/>
                <w:rFonts w:ascii="Times New Roman" w:hAnsi="Times New Roman" w:cs="Times New Roman"/>
                <w:noProof/>
              </w:rPr>
              <w:t>3.3.3. Gas Production</w:t>
            </w:r>
            <w:r>
              <w:rPr>
                <w:noProof/>
                <w:webHidden/>
              </w:rPr>
              <w:tab/>
            </w:r>
            <w:r>
              <w:rPr>
                <w:noProof/>
                <w:webHidden/>
              </w:rPr>
              <w:fldChar w:fldCharType="begin"/>
            </w:r>
            <w:r>
              <w:rPr>
                <w:noProof/>
                <w:webHidden/>
              </w:rPr>
              <w:instrText xml:space="preserve"> PAGEREF _Toc2691155 \h </w:instrText>
            </w:r>
            <w:r>
              <w:rPr>
                <w:noProof/>
                <w:webHidden/>
              </w:rPr>
            </w:r>
            <w:r>
              <w:rPr>
                <w:noProof/>
                <w:webHidden/>
              </w:rPr>
              <w:fldChar w:fldCharType="separate"/>
            </w:r>
            <w:r w:rsidR="00E604B8">
              <w:rPr>
                <w:noProof/>
                <w:webHidden/>
              </w:rPr>
              <w:t>60</w:t>
            </w:r>
            <w:r>
              <w:rPr>
                <w:noProof/>
                <w:webHidden/>
              </w:rPr>
              <w:fldChar w:fldCharType="end"/>
            </w:r>
          </w:hyperlink>
        </w:p>
        <w:p w14:paraId="6E37F8DC" w14:textId="356DAF70"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6" w:history="1">
            <w:r w:rsidRPr="00AD6A76">
              <w:rPr>
                <w:rStyle w:val="Hyperlink"/>
                <w:rFonts w:ascii="Times New Roman" w:hAnsi="Times New Roman" w:cs="Times New Roman"/>
                <w:noProof/>
              </w:rPr>
              <w:t>3.3.4. Methane gas production</w:t>
            </w:r>
            <w:r>
              <w:rPr>
                <w:noProof/>
                <w:webHidden/>
              </w:rPr>
              <w:tab/>
            </w:r>
            <w:r>
              <w:rPr>
                <w:noProof/>
                <w:webHidden/>
              </w:rPr>
              <w:fldChar w:fldCharType="begin"/>
            </w:r>
            <w:r>
              <w:rPr>
                <w:noProof/>
                <w:webHidden/>
              </w:rPr>
              <w:instrText xml:space="preserve"> PAGEREF _Toc2691156 \h </w:instrText>
            </w:r>
            <w:r>
              <w:rPr>
                <w:noProof/>
                <w:webHidden/>
              </w:rPr>
            </w:r>
            <w:r>
              <w:rPr>
                <w:noProof/>
                <w:webHidden/>
              </w:rPr>
              <w:fldChar w:fldCharType="separate"/>
            </w:r>
            <w:r w:rsidR="00E604B8">
              <w:rPr>
                <w:noProof/>
                <w:webHidden/>
              </w:rPr>
              <w:t>61</w:t>
            </w:r>
            <w:r>
              <w:rPr>
                <w:noProof/>
                <w:webHidden/>
              </w:rPr>
              <w:fldChar w:fldCharType="end"/>
            </w:r>
          </w:hyperlink>
        </w:p>
        <w:p w14:paraId="74530E66" w14:textId="57697306"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7" w:history="1">
            <w:r w:rsidRPr="00AD6A76">
              <w:rPr>
                <w:rStyle w:val="Hyperlink"/>
                <w:rFonts w:ascii="Times New Roman" w:hAnsi="Times New Roman" w:cs="Times New Roman"/>
                <w:noProof/>
              </w:rPr>
              <w:t>3.3.5.</w:t>
            </w:r>
            <w:r w:rsidRPr="00AD6A76">
              <w:rPr>
                <w:rStyle w:val="Hyperlink"/>
                <w:rFonts w:ascii="Times New Roman" w:hAnsi="Times New Roman" w:cs="Times New Roman"/>
                <w:i/>
                <w:noProof/>
              </w:rPr>
              <w:t xml:space="preserve"> In vitro</w:t>
            </w:r>
            <w:r w:rsidRPr="00AD6A76">
              <w:rPr>
                <w:rStyle w:val="Hyperlink"/>
                <w:rFonts w:ascii="Times New Roman" w:hAnsi="Times New Roman" w:cs="Times New Roman"/>
                <w:noProof/>
              </w:rPr>
              <w:t xml:space="preserve"> organic matter digestibility</w:t>
            </w:r>
            <w:r>
              <w:rPr>
                <w:noProof/>
                <w:webHidden/>
              </w:rPr>
              <w:tab/>
            </w:r>
            <w:r>
              <w:rPr>
                <w:noProof/>
                <w:webHidden/>
              </w:rPr>
              <w:fldChar w:fldCharType="begin"/>
            </w:r>
            <w:r>
              <w:rPr>
                <w:noProof/>
                <w:webHidden/>
              </w:rPr>
              <w:instrText xml:space="preserve"> PAGEREF _Toc2691157 \h </w:instrText>
            </w:r>
            <w:r>
              <w:rPr>
                <w:noProof/>
                <w:webHidden/>
              </w:rPr>
            </w:r>
            <w:r>
              <w:rPr>
                <w:noProof/>
                <w:webHidden/>
              </w:rPr>
              <w:fldChar w:fldCharType="separate"/>
            </w:r>
            <w:r w:rsidR="00E604B8">
              <w:rPr>
                <w:noProof/>
                <w:webHidden/>
              </w:rPr>
              <w:t>61</w:t>
            </w:r>
            <w:r>
              <w:rPr>
                <w:noProof/>
                <w:webHidden/>
              </w:rPr>
              <w:fldChar w:fldCharType="end"/>
            </w:r>
          </w:hyperlink>
        </w:p>
        <w:p w14:paraId="315C5046" w14:textId="468E6AD4"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58" w:history="1">
            <w:r w:rsidRPr="00AD6A76">
              <w:rPr>
                <w:rStyle w:val="Hyperlink"/>
                <w:rFonts w:ascii="Times New Roman" w:hAnsi="Times New Roman" w:cs="Times New Roman"/>
                <w:noProof/>
              </w:rPr>
              <w:t>3.3.6. Statistical Analysis</w:t>
            </w:r>
            <w:r>
              <w:rPr>
                <w:noProof/>
                <w:webHidden/>
              </w:rPr>
              <w:tab/>
            </w:r>
            <w:r>
              <w:rPr>
                <w:noProof/>
                <w:webHidden/>
              </w:rPr>
              <w:fldChar w:fldCharType="begin"/>
            </w:r>
            <w:r>
              <w:rPr>
                <w:noProof/>
                <w:webHidden/>
              </w:rPr>
              <w:instrText xml:space="preserve"> PAGEREF _Toc2691158 \h </w:instrText>
            </w:r>
            <w:r>
              <w:rPr>
                <w:noProof/>
                <w:webHidden/>
              </w:rPr>
            </w:r>
            <w:r>
              <w:rPr>
                <w:noProof/>
                <w:webHidden/>
              </w:rPr>
              <w:fldChar w:fldCharType="separate"/>
            </w:r>
            <w:r w:rsidR="00E604B8">
              <w:rPr>
                <w:noProof/>
                <w:webHidden/>
              </w:rPr>
              <w:t>61</w:t>
            </w:r>
            <w:r>
              <w:rPr>
                <w:noProof/>
                <w:webHidden/>
              </w:rPr>
              <w:fldChar w:fldCharType="end"/>
            </w:r>
          </w:hyperlink>
        </w:p>
        <w:p w14:paraId="3D805297" w14:textId="38691490"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59" w:history="1">
            <w:r w:rsidRPr="00AD6A76">
              <w:rPr>
                <w:rStyle w:val="Hyperlink"/>
                <w:rFonts w:cs="Times New Roman"/>
                <w:b/>
                <w:noProof/>
              </w:rPr>
              <w:t>3.4.</w:t>
            </w:r>
            <w:r w:rsidRPr="00AD6A76">
              <w:rPr>
                <w:rStyle w:val="Hyperlink"/>
                <w:rFonts w:ascii="Times New Roman" w:hAnsi="Times New Roman" w:cs="Times New Roman"/>
                <w:b/>
                <w:noProof/>
              </w:rPr>
              <w:t xml:space="preserve"> Results and discussion</w:t>
            </w:r>
            <w:r>
              <w:rPr>
                <w:noProof/>
                <w:webHidden/>
              </w:rPr>
              <w:tab/>
            </w:r>
            <w:r>
              <w:rPr>
                <w:noProof/>
                <w:webHidden/>
              </w:rPr>
              <w:fldChar w:fldCharType="begin"/>
            </w:r>
            <w:r>
              <w:rPr>
                <w:noProof/>
                <w:webHidden/>
              </w:rPr>
              <w:instrText xml:space="preserve"> PAGEREF _Toc2691159 \h </w:instrText>
            </w:r>
            <w:r>
              <w:rPr>
                <w:noProof/>
                <w:webHidden/>
              </w:rPr>
            </w:r>
            <w:r>
              <w:rPr>
                <w:noProof/>
                <w:webHidden/>
              </w:rPr>
              <w:fldChar w:fldCharType="separate"/>
            </w:r>
            <w:r w:rsidR="00E604B8">
              <w:rPr>
                <w:noProof/>
                <w:webHidden/>
              </w:rPr>
              <w:t>62</w:t>
            </w:r>
            <w:r>
              <w:rPr>
                <w:noProof/>
                <w:webHidden/>
              </w:rPr>
              <w:fldChar w:fldCharType="end"/>
            </w:r>
          </w:hyperlink>
        </w:p>
        <w:p w14:paraId="7EED376E" w14:textId="59A0FCB5"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60" w:history="1">
            <w:r w:rsidRPr="00AD6A76">
              <w:rPr>
                <w:rStyle w:val="Hyperlink"/>
                <w:rFonts w:ascii="Times New Roman" w:hAnsi="Times New Roman" w:cs="Times New Roman"/>
                <w:noProof/>
              </w:rPr>
              <w:t>3.4.1. Gas Production</w:t>
            </w:r>
            <w:r>
              <w:rPr>
                <w:noProof/>
                <w:webHidden/>
              </w:rPr>
              <w:tab/>
            </w:r>
            <w:r>
              <w:rPr>
                <w:noProof/>
                <w:webHidden/>
              </w:rPr>
              <w:fldChar w:fldCharType="begin"/>
            </w:r>
            <w:r>
              <w:rPr>
                <w:noProof/>
                <w:webHidden/>
              </w:rPr>
              <w:instrText xml:space="preserve"> PAGEREF _Toc2691160 \h </w:instrText>
            </w:r>
            <w:r>
              <w:rPr>
                <w:noProof/>
                <w:webHidden/>
              </w:rPr>
            </w:r>
            <w:r>
              <w:rPr>
                <w:noProof/>
                <w:webHidden/>
              </w:rPr>
              <w:fldChar w:fldCharType="separate"/>
            </w:r>
            <w:r w:rsidR="00E604B8">
              <w:rPr>
                <w:noProof/>
                <w:webHidden/>
              </w:rPr>
              <w:t>62</w:t>
            </w:r>
            <w:r>
              <w:rPr>
                <w:noProof/>
                <w:webHidden/>
              </w:rPr>
              <w:fldChar w:fldCharType="end"/>
            </w:r>
          </w:hyperlink>
        </w:p>
        <w:p w14:paraId="6D746939" w14:textId="24AF2E4A"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61" w:history="1">
            <w:r w:rsidRPr="00AD6A76">
              <w:rPr>
                <w:rStyle w:val="Hyperlink"/>
                <w:rFonts w:ascii="Times New Roman" w:hAnsi="Times New Roman" w:cs="Times New Roman"/>
                <w:noProof/>
              </w:rPr>
              <w:t>3.4.2. Methane Production</w:t>
            </w:r>
            <w:r>
              <w:rPr>
                <w:noProof/>
                <w:webHidden/>
              </w:rPr>
              <w:tab/>
            </w:r>
            <w:r>
              <w:rPr>
                <w:noProof/>
                <w:webHidden/>
              </w:rPr>
              <w:fldChar w:fldCharType="begin"/>
            </w:r>
            <w:r>
              <w:rPr>
                <w:noProof/>
                <w:webHidden/>
              </w:rPr>
              <w:instrText xml:space="preserve"> PAGEREF _Toc2691161 \h </w:instrText>
            </w:r>
            <w:r>
              <w:rPr>
                <w:noProof/>
                <w:webHidden/>
              </w:rPr>
            </w:r>
            <w:r>
              <w:rPr>
                <w:noProof/>
                <w:webHidden/>
              </w:rPr>
              <w:fldChar w:fldCharType="separate"/>
            </w:r>
            <w:r w:rsidR="00E604B8">
              <w:rPr>
                <w:noProof/>
                <w:webHidden/>
              </w:rPr>
              <w:t>67</w:t>
            </w:r>
            <w:r>
              <w:rPr>
                <w:noProof/>
                <w:webHidden/>
              </w:rPr>
              <w:fldChar w:fldCharType="end"/>
            </w:r>
          </w:hyperlink>
        </w:p>
        <w:p w14:paraId="25F5B010" w14:textId="72EAF0AC"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62" w:history="1">
            <w:r w:rsidRPr="00AD6A76">
              <w:rPr>
                <w:rStyle w:val="Hyperlink"/>
                <w:rFonts w:ascii="Times New Roman" w:hAnsi="Times New Roman" w:cs="Times New Roman"/>
                <w:noProof/>
              </w:rPr>
              <w:t>3.4.3. Methane per unit of gas produced</w:t>
            </w:r>
            <w:r>
              <w:rPr>
                <w:noProof/>
                <w:webHidden/>
              </w:rPr>
              <w:tab/>
            </w:r>
            <w:r>
              <w:rPr>
                <w:noProof/>
                <w:webHidden/>
              </w:rPr>
              <w:fldChar w:fldCharType="begin"/>
            </w:r>
            <w:r>
              <w:rPr>
                <w:noProof/>
                <w:webHidden/>
              </w:rPr>
              <w:instrText xml:space="preserve"> PAGEREF _Toc2691162 \h </w:instrText>
            </w:r>
            <w:r>
              <w:rPr>
                <w:noProof/>
                <w:webHidden/>
              </w:rPr>
            </w:r>
            <w:r>
              <w:rPr>
                <w:noProof/>
                <w:webHidden/>
              </w:rPr>
              <w:fldChar w:fldCharType="separate"/>
            </w:r>
            <w:r w:rsidR="00E604B8">
              <w:rPr>
                <w:noProof/>
                <w:webHidden/>
              </w:rPr>
              <w:t>71</w:t>
            </w:r>
            <w:r>
              <w:rPr>
                <w:noProof/>
                <w:webHidden/>
              </w:rPr>
              <w:fldChar w:fldCharType="end"/>
            </w:r>
          </w:hyperlink>
        </w:p>
        <w:p w14:paraId="5D700F22" w14:textId="75E31FB8"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63" w:history="1">
            <w:r w:rsidRPr="00AD6A76">
              <w:rPr>
                <w:rStyle w:val="Hyperlink"/>
                <w:rFonts w:ascii="Times New Roman" w:hAnsi="Times New Roman" w:cs="Times New Roman"/>
                <w:noProof/>
              </w:rPr>
              <w:t>3.4.4.</w:t>
            </w:r>
            <w:r w:rsidRPr="00AD6A76">
              <w:rPr>
                <w:rStyle w:val="Hyperlink"/>
                <w:rFonts w:ascii="Times New Roman" w:hAnsi="Times New Roman" w:cs="Times New Roman"/>
                <w:i/>
                <w:noProof/>
              </w:rPr>
              <w:t xml:space="preserve"> In vitro </w:t>
            </w:r>
            <w:r w:rsidRPr="00AD6A76">
              <w:rPr>
                <w:rStyle w:val="Hyperlink"/>
                <w:rFonts w:ascii="Times New Roman" w:hAnsi="Times New Roman" w:cs="Times New Roman"/>
                <w:noProof/>
              </w:rPr>
              <w:t>organic matter digestibility</w:t>
            </w:r>
            <w:r>
              <w:rPr>
                <w:noProof/>
                <w:webHidden/>
              </w:rPr>
              <w:tab/>
            </w:r>
            <w:r>
              <w:rPr>
                <w:noProof/>
                <w:webHidden/>
              </w:rPr>
              <w:fldChar w:fldCharType="begin"/>
            </w:r>
            <w:r>
              <w:rPr>
                <w:noProof/>
                <w:webHidden/>
              </w:rPr>
              <w:instrText xml:space="preserve"> PAGEREF _Toc2691163 \h </w:instrText>
            </w:r>
            <w:r>
              <w:rPr>
                <w:noProof/>
                <w:webHidden/>
              </w:rPr>
            </w:r>
            <w:r>
              <w:rPr>
                <w:noProof/>
                <w:webHidden/>
              </w:rPr>
              <w:fldChar w:fldCharType="separate"/>
            </w:r>
            <w:r w:rsidR="00E604B8">
              <w:rPr>
                <w:noProof/>
                <w:webHidden/>
              </w:rPr>
              <w:t>71</w:t>
            </w:r>
            <w:r>
              <w:rPr>
                <w:noProof/>
                <w:webHidden/>
              </w:rPr>
              <w:fldChar w:fldCharType="end"/>
            </w:r>
          </w:hyperlink>
        </w:p>
        <w:p w14:paraId="2F016378" w14:textId="59E61DEF" w:rsidR="006D2425" w:rsidRDefault="006D2425">
          <w:pPr>
            <w:pStyle w:val="TOC3"/>
            <w:tabs>
              <w:tab w:val="right" w:leader="dot" w:pos="9016"/>
            </w:tabs>
            <w:rPr>
              <w:rFonts w:asciiTheme="minorHAnsi" w:eastAsiaTheme="minorEastAsia" w:hAnsiTheme="minorHAnsi" w:cstheme="minorBidi"/>
              <w:noProof/>
              <w:sz w:val="22"/>
              <w:szCs w:val="22"/>
              <w:lang w:eastAsia="en-ZA"/>
            </w:rPr>
          </w:pPr>
          <w:hyperlink w:anchor="_Toc2691164" w:history="1">
            <w:r w:rsidRPr="00AD6A76">
              <w:rPr>
                <w:rStyle w:val="Hyperlink"/>
                <w:rFonts w:ascii="Times New Roman" w:hAnsi="Times New Roman" w:cs="Times New Roman"/>
                <w:noProof/>
              </w:rPr>
              <w:t>3.4.5. Relationship between CH</w:t>
            </w:r>
            <w:r w:rsidRPr="00AD6A76">
              <w:rPr>
                <w:rStyle w:val="Hyperlink"/>
                <w:rFonts w:ascii="Times New Roman" w:hAnsi="Times New Roman" w:cs="Times New Roman"/>
                <w:noProof/>
                <w:vertAlign w:val="subscript"/>
              </w:rPr>
              <w:t>4</w:t>
            </w:r>
            <w:r w:rsidRPr="00AD6A76">
              <w:rPr>
                <w:rStyle w:val="Hyperlink"/>
                <w:rFonts w:ascii="Times New Roman" w:hAnsi="Times New Roman" w:cs="Times New Roman"/>
                <w:noProof/>
              </w:rPr>
              <w:t xml:space="preserve"> vs. digestibility response</w:t>
            </w:r>
            <w:r>
              <w:rPr>
                <w:noProof/>
                <w:webHidden/>
              </w:rPr>
              <w:tab/>
            </w:r>
            <w:r>
              <w:rPr>
                <w:noProof/>
                <w:webHidden/>
              </w:rPr>
              <w:fldChar w:fldCharType="begin"/>
            </w:r>
            <w:r>
              <w:rPr>
                <w:noProof/>
                <w:webHidden/>
              </w:rPr>
              <w:instrText xml:space="preserve"> PAGEREF _Toc2691164 \h </w:instrText>
            </w:r>
            <w:r>
              <w:rPr>
                <w:noProof/>
                <w:webHidden/>
              </w:rPr>
            </w:r>
            <w:r>
              <w:rPr>
                <w:noProof/>
                <w:webHidden/>
              </w:rPr>
              <w:fldChar w:fldCharType="separate"/>
            </w:r>
            <w:r w:rsidR="00E604B8">
              <w:rPr>
                <w:noProof/>
                <w:webHidden/>
              </w:rPr>
              <w:t>73</w:t>
            </w:r>
            <w:r>
              <w:rPr>
                <w:noProof/>
                <w:webHidden/>
              </w:rPr>
              <w:fldChar w:fldCharType="end"/>
            </w:r>
          </w:hyperlink>
        </w:p>
        <w:p w14:paraId="6351BD72" w14:textId="5361D8B1" w:rsidR="006D2425" w:rsidRDefault="006D2425">
          <w:pPr>
            <w:pStyle w:val="TOC2"/>
            <w:tabs>
              <w:tab w:val="right" w:leader="dot" w:pos="9016"/>
            </w:tabs>
            <w:rPr>
              <w:rFonts w:asciiTheme="minorHAnsi" w:eastAsiaTheme="minorEastAsia" w:hAnsiTheme="minorHAnsi" w:cstheme="minorBidi"/>
              <w:noProof/>
              <w:sz w:val="22"/>
              <w:szCs w:val="22"/>
              <w:lang w:eastAsia="en-ZA"/>
            </w:rPr>
          </w:pPr>
          <w:hyperlink w:anchor="_Toc2691165" w:history="1">
            <w:r w:rsidRPr="00AD6A76">
              <w:rPr>
                <w:rStyle w:val="Hyperlink"/>
                <w:rFonts w:cs="Times New Roman"/>
                <w:b/>
                <w:noProof/>
              </w:rPr>
              <w:t>3.5.</w:t>
            </w:r>
            <w:r w:rsidRPr="00AD6A76">
              <w:rPr>
                <w:rStyle w:val="Hyperlink"/>
                <w:rFonts w:ascii="Times New Roman" w:hAnsi="Times New Roman" w:cs="Times New Roman"/>
                <w:b/>
                <w:noProof/>
              </w:rPr>
              <w:t xml:space="preserve"> Conclusion</w:t>
            </w:r>
            <w:r>
              <w:rPr>
                <w:noProof/>
                <w:webHidden/>
              </w:rPr>
              <w:tab/>
            </w:r>
            <w:r>
              <w:rPr>
                <w:noProof/>
                <w:webHidden/>
              </w:rPr>
              <w:fldChar w:fldCharType="begin"/>
            </w:r>
            <w:r>
              <w:rPr>
                <w:noProof/>
                <w:webHidden/>
              </w:rPr>
              <w:instrText xml:space="preserve"> PAGEREF _Toc2691165 \h </w:instrText>
            </w:r>
            <w:r>
              <w:rPr>
                <w:noProof/>
                <w:webHidden/>
              </w:rPr>
            </w:r>
            <w:r>
              <w:rPr>
                <w:noProof/>
                <w:webHidden/>
              </w:rPr>
              <w:fldChar w:fldCharType="separate"/>
            </w:r>
            <w:r w:rsidR="00E604B8">
              <w:rPr>
                <w:noProof/>
                <w:webHidden/>
              </w:rPr>
              <w:t>74</w:t>
            </w:r>
            <w:r>
              <w:rPr>
                <w:noProof/>
                <w:webHidden/>
              </w:rPr>
              <w:fldChar w:fldCharType="end"/>
            </w:r>
          </w:hyperlink>
        </w:p>
        <w:p w14:paraId="51DDA9DC" w14:textId="30714625"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66" w:history="1">
            <w:r w:rsidRPr="00AD6A76">
              <w:rPr>
                <w:rStyle w:val="Hyperlink"/>
                <w:rFonts w:ascii="Times New Roman" w:hAnsi="Times New Roman" w:cs="Times New Roman"/>
                <w:b/>
                <w:noProof/>
              </w:rPr>
              <w:t>Chapter 4: General conclusion and recommendations</w:t>
            </w:r>
            <w:r>
              <w:rPr>
                <w:noProof/>
                <w:webHidden/>
              </w:rPr>
              <w:tab/>
            </w:r>
            <w:r>
              <w:rPr>
                <w:noProof/>
                <w:webHidden/>
              </w:rPr>
              <w:fldChar w:fldCharType="begin"/>
            </w:r>
            <w:r>
              <w:rPr>
                <w:noProof/>
                <w:webHidden/>
              </w:rPr>
              <w:instrText xml:space="preserve"> PAGEREF _Toc2691166 \h </w:instrText>
            </w:r>
            <w:r>
              <w:rPr>
                <w:noProof/>
                <w:webHidden/>
              </w:rPr>
            </w:r>
            <w:r>
              <w:rPr>
                <w:noProof/>
                <w:webHidden/>
              </w:rPr>
              <w:fldChar w:fldCharType="separate"/>
            </w:r>
            <w:r w:rsidR="00E604B8">
              <w:rPr>
                <w:noProof/>
                <w:webHidden/>
              </w:rPr>
              <w:t>75</w:t>
            </w:r>
            <w:r>
              <w:rPr>
                <w:noProof/>
                <w:webHidden/>
              </w:rPr>
              <w:fldChar w:fldCharType="end"/>
            </w:r>
          </w:hyperlink>
        </w:p>
        <w:p w14:paraId="3FCA48E5" w14:textId="0B1DF3FA"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67" w:history="1">
            <w:r w:rsidRPr="00AD6A76">
              <w:rPr>
                <w:rStyle w:val="Hyperlink"/>
                <w:rFonts w:ascii="Times New Roman" w:hAnsi="Times New Roman" w:cs="Times New Roman"/>
                <w:b/>
                <w:noProof/>
              </w:rPr>
              <w:t>Chapter 5: Critical evaluation</w:t>
            </w:r>
            <w:r>
              <w:rPr>
                <w:noProof/>
                <w:webHidden/>
              </w:rPr>
              <w:tab/>
            </w:r>
            <w:r>
              <w:rPr>
                <w:noProof/>
                <w:webHidden/>
              </w:rPr>
              <w:fldChar w:fldCharType="begin"/>
            </w:r>
            <w:r>
              <w:rPr>
                <w:noProof/>
                <w:webHidden/>
              </w:rPr>
              <w:instrText xml:space="preserve"> PAGEREF _Toc2691167 \h </w:instrText>
            </w:r>
            <w:r>
              <w:rPr>
                <w:noProof/>
                <w:webHidden/>
              </w:rPr>
            </w:r>
            <w:r>
              <w:rPr>
                <w:noProof/>
                <w:webHidden/>
              </w:rPr>
              <w:fldChar w:fldCharType="separate"/>
            </w:r>
            <w:r w:rsidR="00E604B8">
              <w:rPr>
                <w:noProof/>
                <w:webHidden/>
              </w:rPr>
              <w:t>77</w:t>
            </w:r>
            <w:r>
              <w:rPr>
                <w:noProof/>
                <w:webHidden/>
              </w:rPr>
              <w:fldChar w:fldCharType="end"/>
            </w:r>
          </w:hyperlink>
        </w:p>
        <w:p w14:paraId="4E5B4937" w14:textId="115E8EF5"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68" w:history="1">
            <w:r w:rsidRPr="00AD6A76">
              <w:rPr>
                <w:rStyle w:val="Hyperlink"/>
                <w:rFonts w:ascii="Times New Roman" w:hAnsi="Times New Roman" w:cs="Times New Roman"/>
                <w:b/>
                <w:noProof/>
              </w:rPr>
              <w:t>References</w:t>
            </w:r>
            <w:r>
              <w:rPr>
                <w:noProof/>
                <w:webHidden/>
              </w:rPr>
              <w:tab/>
            </w:r>
            <w:r>
              <w:rPr>
                <w:noProof/>
                <w:webHidden/>
              </w:rPr>
              <w:fldChar w:fldCharType="begin"/>
            </w:r>
            <w:r>
              <w:rPr>
                <w:noProof/>
                <w:webHidden/>
              </w:rPr>
              <w:instrText xml:space="preserve"> PAGEREF _Toc2691168 \h </w:instrText>
            </w:r>
            <w:r>
              <w:rPr>
                <w:noProof/>
                <w:webHidden/>
              </w:rPr>
            </w:r>
            <w:r>
              <w:rPr>
                <w:noProof/>
                <w:webHidden/>
              </w:rPr>
              <w:fldChar w:fldCharType="separate"/>
            </w:r>
            <w:r w:rsidR="00E604B8">
              <w:rPr>
                <w:noProof/>
                <w:webHidden/>
              </w:rPr>
              <w:t>79</w:t>
            </w:r>
            <w:r>
              <w:rPr>
                <w:noProof/>
                <w:webHidden/>
              </w:rPr>
              <w:fldChar w:fldCharType="end"/>
            </w:r>
          </w:hyperlink>
        </w:p>
        <w:p w14:paraId="1F149C86" w14:textId="38D91E37" w:rsidR="006D2425" w:rsidRDefault="006D2425">
          <w:pPr>
            <w:pStyle w:val="TOC1"/>
            <w:tabs>
              <w:tab w:val="right" w:leader="dot" w:pos="9016"/>
            </w:tabs>
            <w:rPr>
              <w:rFonts w:asciiTheme="minorHAnsi" w:eastAsiaTheme="minorEastAsia" w:hAnsiTheme="minorHAnsi" w:cstheme="minorBidi"/>
              <w:noProof/>
              <w:sz w:val="22"/>
              <w:szCs w:val="22"/>
              <w:lang w:eastAsia="en-ZA"/>
            </w:rPr>
          </w:pPr>
          <w:hyperlink w:anchor="_Toc2691169" w:history="1">
            <w:r w:rsidRPr="00AD6A76">
              <w:rPr>
                <w:rStyle w:val="Hyperlink"/>
                <w:rFonts w:ascii="Times New Roman" w:hAnsi="Times New Roman" w:cs="Times New Roman"/>
                <w:b/>
                <w:noProof/>
              </w:rPr>
              <w:t>Appendix A</w:t>
            </w:r>
            <w:r>
              <w:rPr>
                <w:noProof/>
                <w:webHidden/>
              </w:rPr>
              <w:tab/>
            </w:r>
            <w:r>
              <w:rPr>
                <w:noProof/>
                <w:webHidden/>
              </w:rPr>
              <w:fldChar w:fldCharType="begin"/>
            </w:r>
            <w:r>
              <w:rPr>
                <w:noProof/>
                <w:webHidden/>
              </w:rPr>
              <w:instrText xml:space="preserve"> PAGEREF _Toc2691169 \h </w:instrText>
            </w:r>
            <w:r>
              <w:rPr>
                <w:noProof/>
                <w:webHidden/>
              </w:rPr>
            </w:r>
            <w:r>
              <w:rPr>
                <w:noProof/>
                <w:webHidden/>
              </w:rPr>
              <w:fldChar w:fldCharType="separate"/>
            </w:r>
            <w:r w:rsidR="00E604B8">
              <w:rPr>
                <w:noProof/>
                <w:webHidden/>
              </w:rPr>
              <w:t>86</w:t>
            </w:r>
            <w:r>
              <w:rPr>
                <w:noProof/>
                <w:webHidden/>
              </w:rPr>
              <w:fldChar w:fldCharType="end"/>
            </w:r>
          </w:hyperlink>
        </w:p>
        <w:p w14:paraId="4E56EFA0" w14:textId="12C8D921" w:rsidR="00EF65F1" w:rsidRDefault="00484A18">
          <w:pPr>
            <w:spacing w:line="360" w:lineRule="auto"/>
            <w:jc w:val="both"/>
            <w:rPr>
              <w:rFonts w:ascii="Times New Roman" w:hAnsi="Times New Roman" w:cs="Times New Roman"/>
              <w:b/>
              <w:bCs/>
              <w:noProof/>
              <w:sz w:val="22"/>
              <w:szCs w:val="22"/>
            </w:rPr>
          </w:pPr>
          <w:r>
            <w:rPr>
              <w:rFonts w:ascii="Times New Roman" w:hAnsi="Times New Roman" w:cs="Times New Roman"/>
              <w:b/>
              <w:bCs/>
              <w:noProof/>
              <w:sz w:val="22"/>
              <w:szCs w:val="22"/>
            </w:rPr>
            <w:fldChar w:fldCharType="end"/>
          </w:r>
        </w:p>
      </w:sdtContent>
    </w:sdt>
    <w:p w14:paraId="7833A670" w14:textId="77777777" w:rsidR="00EF65F1" w:rsidRDefault="00EF65F1">
      <w:pPr>
        <w:pStyle w:val="Heading1"/>
        <w:numPr>
          <w:ilvl w:val="0"/>
          <w:numId w:val="0"/>
        </w:numPr>
        <w:spacing w:line="360" w:lineRule="auto"/>
        <w:jc w:val="both"/>
        <w:rPr>
          <w:rFonts w:ascii="Arial" w:hAnsi="Arial" w:cs="Arial"/>
          <w:color w:val="auto"/>
          <w:sz w:val="24"/>
          <w:szCs w:val="24"/>
        </w:rPr>
        <w:sectPr w:rsidR="00EF65F1">
          <w:type w:val="continuous"/>
          <w:pgSz w:w="11906" w:h="16838"/>
          <w:pgMar w:top="1440" w:right="1440" w:bottom="1440" w:left="1440" w:header="708" w:footer="708" w:gutter="0"/>
          <w:pgNumType w:fmt="upperRoman"/>
          <w:cols w:space="708"/>
          <w:docGrid w:linePitch="360"/>
        </w:sectPr>
      </w:pPr>
    </w:p>
    <w:p w14:paraId="7085044E" w14:textId="77777777" w:rsidR="00EF65F1" w:rsidRDefault="00484A18">
      <w:pPr>
        <w:spacing w:after="0" w:line="360" w:lineRule="auto"/>
        <w:jc w:val="both"/>
      </w:pPr>
      <w:bookmarkStart w:id="3" w:name="_Hlk535589623"/>
      <w:bookmarkEnd w:id="0"/>
      <w:r>
        <w:rPr>
          <w:rFonts w:ascii="Times New Roman" w:hAnsi="Times New Roman" w:cs="Times New Roman"/>
          <w:sz w:val="22"/>
          <w:szCs w:val="22"/>
        </w:rPr>
        <w:lastRenderedPageBreak/>
        <w:t xml:space="preserve"> </w:t>
      </w:r>
      <w:bookmarkEnd w:id="3"/>
    </w:p>
    <w:p w14:paraId="3A031AA6" w14:textId="77777777" w:rsidR="00EF65F1" w:rsidRDefault="00484A18">
      <w:pPr>
        <w:pStyle w:val="Heading1"/>
        <w:numPr>
          <w:ilvl w:val="0"/>
          <w:numId w:val="0"/>
        </w:numPr>
        <w:spacing w:line="360" w:lineRule="auto"/>
        <w:jc w:val="center"/>
        <w:rPr>
          <w:rFonts w:ascii="Times New Roman" w:hAnsi="Times New Roman" w:cs="Times New Roman"/>
          <w:b/>
          <w:color w:val="auto"/>
          <w:sz w:val="28"/>
          <w:szCs w:val="28"/>
        </w:rPr>
      </w:pPr>
      <w:bookmarkStart w:id="4" w:name="_Toc2691104"/>
      <w:r>
        <w:rPr>
          <w:rFonts w:ascii="Times New Roman" w:hAnsi="Times New Roman" w:cs="Times New Roman"/>
          <w:b/>
          <w:color w:val="auto"/>
          <w:sz w:val="28"/>
          <w:szCs w:val="28"/>
        </w:rPr>
        <w:t>List of figures</w:t>
      </w:r>
      <w:bookmarkEnd w:id="4"/>
    </w:p>
    <w:p w14:paraId="242224F4" w14:textId="77777777" w:rsidR="00EF65F1" w:rsidRDefault="00EF65F1">
      <w:pPr>
        <w:jc w:val="both"/>
        <w:rPr>
          <w:rFonts w:ascii="Times New Roman" w:hAnsi="Times New Roman" w:cs="Times New Roman"/>
          <w:sz w:val="22"/>
          <w:szCs w:val="22"/>
        </w:rPr>
      </w:pPr>
    </w:p>
    <w:p w14:paraId="4CF06587" w14:textId="002E53D1"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TOC \h \z \c "Figure" </w:instrText>
      </w:r>
      <w:r>
        <w:rPr>
          <w:rFonts w:ascii="Times New Roman" w:hAnsi="Times New Roman" w:cs="Times New Roman"/>
          <w:sz w:val="22"/>
          <w:szCs w:val="22"/>
        </w:rPr>
        <w:fldChar w:fldCharType="separate"/>
      </w:r>
      <w:hyperlink w:anchor="_Toc2349029" w:history="1">
        <w:r>
          <w:rPr>
            <w:rStyle w:val="Hyperlink"/>
            <w:rFonts w:ascii="Times New Roman" w:hAnsi="Times New Roman" w:cs="Times New Roman"/>
            <w:noProof/>
            <w:sz w:val="22"/>
            <w:szCs w:val="22"/>
          </w:rPr>
          <w:t xml:space="preserve">Figure 1.1 Impacts of climate change on livestock </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_Toc2349029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w:t>
        </w:r>
        <w:r>
          <w:rPr>
            <w:rFonts w:ascii="Times New Roman" w:hAnsi="Times New Roman" w:cs="Times New Roman"/>
            <w:noProof/>
            <w:webHidden/>
            <w:sz w:val="22"/>
            <w:szCs w:val="22"/>
          </w:rPr>
          <w:fldChar w:fldCharType="end"/>
        </w:r>
      </w:hyperlink>
    </w:p>
    <w:p w14:paraId="3D73D16C" w14:textId="4813B65E"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0" w:history="1">
        <w:r>
          <w:rPr>
            <w:rStyle w:val="Hyperlink"/>
            <w:rFonts w:ascii="Times New Roman" w:hAnsi="Times New Roman" w:cs="Times New Roman"/>
            <w:noProof/>
            <w:sz w:val="22"/>
            <w:szCs w:val="22"/>
          </w:rPr>
          <w:t>Figure 1.2 Classification of plant secondary compounds</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_Toc2349030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19</w:t>
        </w:r>
        <w:r>
          <w:rPr>
            <w:rFonts w:ascii="Times New Roman" w:hAnsi="Times New Roman" w:cs="Times New Roman"/>
            <w:noProof/>
            <w:webHidden/>
            <w:sz w:val="22"/>
            <w:szCs w:val="22"/>
          </w:rPr>
          <w:fldChar w:fldCharType="end"/>
        </w:r>
      </w:hyperlink>
    </w:p>
    <w:p w14:paraId="1F35ECDC" w14:textId="61056750"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1" w:history="1">
        <w:r>
          <w:rPr>
            <w:rStyle w:val="Hyperlink"/>
            <w:rFonts w:ascii="Times New Roman" w:hAnsi="Times New Roman" w:cs="Times New Roman"/>
            <w:noProof/>
            <w:sz w:val="22"/>
            <w:szCs w:val="22"/>
          </w:rPr>
          <w:t xml:space="preserve">Figure 2.1 </w:t>
        </w:r>
        <w:r>
          <w:rPr>
            <w:rStyle w:val="Hyperlink"/>
            <w:rFonts w:ascii="Times New Roman" w:hAnsi="Times New Roman" w:cs="Times New Roman"/>
            <w:i/>
            <w:noProof/>
            <w:sz w:val="22"/>
            <w:szCs w:val="22"/>
          </w:rPr>
          <w:t>Combretum erythrophyllum</w:t>
        </w:r>
        <w:r>
          <w:rPr>
            <w:rStyle w:val="Hyperlink"/>
            <w:rFonts w:ascii="Times New Roman" w:hAnsi="Times New Roman" w:cs="Times New Roman"/>
            <w:noProof/>
            <w:sz w:val="22"/>
            <w:szCs w:val="22"/>
          </w:rPr>
          <w:t xml:space="preserve"> (river bushwillow)</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_Toc2349031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30</w:t>
        </w:r>
        <w:r>
          <w:rPr>
            <w:rFonts w:ascii="Times New Roman" w:hAnsi="Times New Roman" w:cs="Times New Roman"/>
            <w:noProof/>
            <w:webHidden/>
            <w:sz w:val="22"/>
            <w:szCs w:val="22"/>
          </w:rPr>
          <w:fldChar w:fldCharType="end"/>
        </w:r>
      </w:hyperlink>
    </w:p>
    <w:p w14:paraId="72CC787A" w14:textId="274A80B2"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2" w:history="1">
        <w:r>
          <w:rPr>
            <w:rStyle w:val="Hyperlink"/>
            <w:rFonts w:ascii="Times New Roman" w:hAnsi="Times New Roman" w:cs="Times New Roman"/>
            <w:noProof/>
            <w:sz w:val="22"/>
            <w:szCs w:val="22"/>
          </w:rPr>
          <w:t xml:space="preserve">Figure 2.2 </w:t>
        </w:r>
        <w:r>
          <w:rPr>
            <w:rStyle w:val="Hyperlink"/>
            <w:rFonts w:ascii="Times New Roman" w:hAnsi="Times New Roman" w:cs="Times New Roman"/>
            <w:i/>
            <w:noProof/>
            <w:sz w:val="22"/>
            <w:szCs w:val="22"/>
          </w:rPr>
          <w:t>Heteropyxis natalensis</w:t>
        </w:r>
        <w:r>
          <w:rPr>
            <w:rStyle w:val="Hyperlink"/>
            <w:rFonts w:ascii="Times New Roman" w:hAnsi="Times New Roman" w:cs="Times New Roman"/>
            <w:noProof/>
            <w:sz w:val="22"/>
            <w:szCs w:val="22"/>
          </w:rPr>
          <w:t xml:space="preserve"> (lavender tree)</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_Toc2349032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30</w:t>
        </w:r>
        <w:r>
          <w:rPr>
            <w:rFonts w:ascii="Times New Roman" w:hAnsi="Times New Roman" w:cs="Times New Roman"/>
            <w:noProof/>
            <w:webHidden/>
            <w:sz w:val="22"/>
            <w:szCs w:val="22"/>
          </w:rPr>
          <w:fldChar w:fldCharType="end"/>
        </w:r>
      </w:hyperlink>
    </w:p>
    <w:p w14:paraId="2936E83E" w14:textId="2B39CFC5"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3" w:history="1">
        <w:r>
          <w:rPr>
            <w:rStyle w:val="Hyperlink"/>
            <w:rFonts w:ascii="Times New Roman" w:hAnsi="Times New Roman" w:cs="Times New Roman"/>
            <w:noProof/>
            <w:sz w:val="22"/>
            <w:szCs w:val="22"/>
          </w:rPr>
          <w:t xml:space="preserve">Figure 2.3 </w:t>
        </w:r>
        <w:r>
          <w:rPr>
            <w:rStyle w:val="Hyperlink"/>
            <w:rFonts w:ascii="Times New Roman" w:hAnsi="Times New Roman" w:cs="Times New Roman"/>
            <w:i/>
            <w:noProof/>
            <w:sz w:val="22"/>
            <w:szCs w:val="22"/>
          </w:rPr>
          <w:t>Dodonaea viscosa</w:t>
        </w:r>
        <w:r>
          <w:rPr>
            <w:rStyle w:val="Hyperlink"/>
            <w:rFonts w:ascii="Times New Roman" w:hAnsi="Times New Roman" w:cs="Times New Roman"/>
            <w:noProof/>
            <w:sz w:val="22"/>
            <w:szCs w:val="22"/>
          </w:rPr>
          <w:t xml:space="preserve"> (sand olive)</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_Toc2349033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31</w:t>
        </w:r>
        <w:r>
          <w:rPr>
            <w:rFonts w:ascii="Times New Roman" w:hAnsi="Times New Roman" w:cs="Times New Roman"/>
            <w:noProof/>
            <w:webHidden/>
            <w:sz w:val="22"/>
            <w:szCs w:val="22"/>
          </w:rPr>
          <w:fldChar w:fldCharType="end"/>
        </w:r>
      </w:hyperlink>
    </w:p>
    <w:p w14:paraId="3A78592E" w14:textId="4E25A741"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4" w:history="1">
        <w:r>
          <w:rPr>
            <w:rStyle w:val="Hyperlink"/>
            <w:rFonts w:ascii="Times New Roman" w:hAnsi="Times New Roman" w:cs="Times New Roman"/>
            <w:noProof/>
            <w:sz w:val="22"/>
            <w:szCs w:val="22"/>
          </w:rPr>
          <w:t xml:space="preserve">Figure 2.4 </w:t>
        </w:r>
        <w:r>
          <w:rPr>
            <w:rStyle w:val="Hyperlink"/>
            <w:rFonts w:ascii="Times New Roman" w:hAnsi="Times New Roman" w:cs="Times New Roman"/>
            <w:i/>
            <w:noProof/>
            <w:sz w:val="22"/>
            <w:szCs w:val="22"/>
          </w:rPr>
          <w:t>Searsia chirindensis</w:t>
        </w:r>
        <w:r>
          <w:rPr>
            <w:rStyle w:val="Hyperlink"/>
            <w:rFonts w:ascii="Times New Roman" w:hAnsi="Times New Roman" w:cs="Times New Roman"/>
            <w:noProof/>
            <w:sz w:val="22"/>
            <w:szCs w:val="22"/>
          </w:rPr>
          <w:t xml:space="preserve"> (red current)</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_Toc2349034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31</w:t>
        </w:r>
        <w:r>
          <w:rPr>
            <w:rFonts w:ascii="Times New Roman" w:hAnsi="Times New Roman" w:cs="Times New Roman"/>
            <w:noProof/>
            <w:webHidden/>
            <w:sz w:val="22"/>
            <w:szCs w:val="22"/>
          </w:rPr>
          <w:fldChar w:fldCharType="end"/>
        </w:r>
      </w:hyperlink>
    </w:p>
    <w:p w14:paraId="36021E91" w14:textId="0BBB0349"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5" w:history="1">
        <w:r>
          <w:rPr>
            <w:rStyle w:val="Hyperlink"/>
            <w:rFonts w:ascii="Times New Roman" w:hAnsi="Times New Roman" w:cs="Times New Roman"/>
            <w:noProof/>
            <w:sz w:val="22"/>
            <w:szCs w:val="22"/>
          </w:rPr>
          <w:t>Figure 2.5</w:t>
        </w:r>
        <w:r>
          <w:rPr>
            <w:rStyle w:val="Hyperlink"/>
            <w:rFonts w:ascii="Times New Roman" w:hAnsi="Times New Roman" w:cs="Times New Roman"/>
            <w:i/>
            <w:noProof/>
            <w:sz w:val="22"/>
            <w:szCs w:val="22"/>
          </w:rPr>
          <w:t xml:space="preserve"> Sclerocarya birrea</w:t>
        </w:r>
        <w:r>
          <w:rPr>
            <w:rStyle w:val="Hyperlink"/>
            <w:rFonts w:ascii="Times New Roman" w:hAnsi="Times New Roman" w:cs="Times New Roman"/>
            <w:noProof/>
            <w:sz w:val="22"/>
            <w:szCs w:val="22"/>
          </w:rPr>
          <w:t xml:space="preserve"> (marula tree)</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_Toc2349035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31</w:t>
        </w:r>
        <w:r>
          <w:rPr>
            <w:rFonts w:ascii="Times New Roman" w:hAnsi="Times New Roman" w:cs="Times New Roman"/>
            <w:noProof/>
            <w:webHidden/>
            <w:sz w:val="22"/>
            <w:szCs w:val="22"/>
          </w:rPr>
          <w:fldChar w:fldCharType="end"/>
        </w:r>
      </w:hyperlink>
    </w:p>
    <w:p w14:paraId="0A5B66E3" w14:textId="77FF263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6" w:history="1">
        <w:r>
          <w:rPr>
            <w:rStyle w:val="Hyperlink"/>
            <w:rFonts w:ascii="Times New Roman" w:hAnsi="Times New Roman" w:cs="Times New Roman"/>
            <w:noProof/>
            <w:sz w:val="22"/>
            <w:szCs w:val="22"/>
          </w:rPr>
          <w:t xml:space="preserve">Figure 2.6 </w:t>
        </w:r>
        <w:r>
          <w:rPr>
            <w:rStyle w:val="Hyperlink"/>
            <w:rFonts w:ascii="Times New Roman" w:hAnsi="Times New Roman" w:cs="Times New Roman"/>
            <w:i/>
            <w:noProof/>
            <w:sz w:val="22"/>
            <w:szCs w:val="22"/>
          </w:rPr>
          <w:t>Erythrina lysistemon</w:t>
        </w:r>
        <w:r>
          <w:rPr>
            <w:rStyle w:val="Hyperlink"/>
            <w:rFonts w:ascii="Times New Roman" w:hAnsi="Times New Roman" w:cs="Times New Roman"/>
            <w:noProof/>
            <w:sz w:val="22"/>
            <w:szCs w:val="22"/>
          </w:rPr>
          <w:t xml:space="preserve"> (common coral tree)</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_Toc2349036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31</w:t>
        </w:r>
        <w:r>
          <w:rPr>
            <w:rFonts w:ascii="Times New Roman" w:hAnsi="Times New Roman" w:cs="Times New Roman"/>
            <w:noProof/>
            <w:webHidden/>
            <w:sz w:val="22"/>
            <w:szCs w:val="22"/>
          </w:rPr>
          <w:fldChar w:fldCharType="end"/>
        </w:r>
      </w:hyperlink>
    </w:p>
    <w:p w14:paraId="6F86CD81" w14:textId="776547FF"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7" w:history="1">
        <w:r>
          <w:rPr>
            <w:rStyle w:val="Hyperlink"/>
            <w:rFonts w:ascii="Times New Roman" w:hAnsi="Times New Roman" w:cs="Times New Roman"/>
            <w:noProof/>
            <w:sz w:val="22"/>
            <w:szCs w:val="22"/>
          </w:rPr>
          <w:t xml:space="preserve">Figure 2.7 </w:t>
        </w:r>
        <w:r>
          <w:rPr>
            <w:rStyle w:val="Hyperlink"/>
            <w:rFonts w:ascii="Times New Roman" w:hAnsi="Times New Roman" w:cs="Times New Roman"/>
            <w:i/>
            <w:noProof/>
            <w:sz w:val="22"/>
            <w:szCs w:val="22"/>
          </w:rPr>
          <w:t>Halleria lucida</w:t>
        </w:r>
        <w:r>
          <w:rPr>
            <w:rStyle w:val="Hyperlink"/>
            <w:rFonts w:ascii="Times New Roman" w:hAnsi="Times New Roman" w:cs="Times New Roman"/>
            <w:noProof/>
            <w:sz w:val="22"/>
            <w:szCs w:val="22"/>
          </w:rPr>
          <w:t xml:space="preserve"> (tree fuchsia)</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_Toc2349037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32</w:t>
        </w:r>
        <w:r>
          <w:rPr>
            <w:rFonts w:ascii="Times New Roman" w:hAnsi="Times New Roman" w:cs="Times New Roman"/>
            <w:noProof/>
            <w:webHidden/>
            <w:sz w:val="22"/>
            <w:szCs w:val="22"/>
          </w:rPr>
          <w:fldChar w:fldCharType="end"/>
        </w:r>
      </w:hyperlink>
    </w:p>
    <w:p w14:paraId="2186D32A" w14:textId="1539B59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8" w:history="1">
        <w:r>
          <w:rPr>
            <w:rStyle w:val="Hyperlink"/>
            <w:rFonts w:ascii="Times New Roman" w:hAnsi="Times New Roman" w:cs="Times New Roman"/>
            <w:noProof/>
            <w:sz w:val="22"/>
            <w:szCs w:val="22"/>
          </w:rPr>
          <w:t>Figure 2.8 Freeze-dried plant extracts</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_Toc2349038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33</w:t>
        </w:r>
        <w:r>
          <w:rPr>
            <w:rFonts w:ascii="Times New Roman" w:hAnsi="Times New Roman" w:cs="Times New Roman"/>
            <w:noProof/>
            <w:webHidden/>
            <w:sz w:val="22"/>
            <w:szCs w:val="22"/>
          </w:rPr>
          <w:fldChar w:fldCharType="end"/>
        </w:r>
      </w:hyperlink>
    </w:p>
    <w:p w14:paraId="4C5FAB21" w14:textId="781FE7C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39" w:history="1">
        <w:r>
          <w:rPr>
            <w:rStyle w:val="Hyperlink"/>
            <w:rFonts w:ascii="Times New Roman" w:hAnsi="Times New Roman" w:cs="Times New Roman"/>
            <w:noProof/>
            <w:sz w:val="22"/>
            <w:szCs w:val="22"/>
          </w:rPr>
          <w:t>Figure 2.9 Cannulated steers</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_Toc2349039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35</w:t>
        </w:r>
        <w:r>
          <w:rPr>
            <w:rFonts w:ascii="Times New Roman" w:hAnsi="Times New Roman" w:cs="Times New Roman"/>
            <w:noProof/>
            <w:webHidden/>
            <w:sz w:val="22"/>
            <w:szCs w:val="22"/>
          </w:rPr>
          <w:fldChar w:fldCharType="end"/>
        </w:r>
      </w:hyperlink>
    </w:p>
    <w:p w14:paraId="0D34E5A9" w14:textId="77E24F9A"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0" w:history="1">
        <w:r>
          <w:rPr>
            <w:rStyle w:val="Hyperlink"/>
            <w:rFonts w:ascii="Times New Roman" w:hAnsi="Times New Roman" w:cs="Times New Roman"/>
            <w:noProof/>
            <w:sz w:val="22"/>
            <w:szCs w:val="22"/>
          </w:rPr>
          <w:t>Figure 2.10 Three-way stopcock attached to a needle inserted into a septum stopper</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_Toc2349040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37</w:t>
        </w:r>
        <w:r>
          <w:rPr>
            <w:rFonts w:ascii="Times New Roman" w:hAnsi="Times New Roman" w:cs="Times New Roman"/>
            <w:noProof/>
            <w:webHidden/>
            <w:sz w:val="22"/>
            <w:szCs w:val="22"/>
          </w:rPr>
          <w:fldChar w:fldCharType="end"/>
        </w:r>
      </w:hyperlink>
    </w:p>
    <w:p w14:paraId="415B419C" w14:textId="765163C2"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1" w:history="1">
        <w:r>
          <w:rPr>
            <w:rStyle w:val="Hyperlink"/>
            <w:rFonts w:ascii="Times New Roman" w:hAnsi="Times New Roman" w:cs="Times New Roman"/>
            <w:noProof/>
            <w:sz w:val="22"/>
            <w:szCs w:val="22"/>
          </w:rPr>
          <w:t xml:space="preserve">Figure 2.11 Volume occupied by 400 mg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_Toc2349041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38</w:t>
        </w:r>
        <w:r>
          <w:rPr>
            <w:rFonts w:ascii="Times New Roman" w:hAnsi="Times New Roman" w:cs="Times New Roman"/>
            <w:noProof/>
            <w:webHidden/>
            <w:sz w:val="22"/>
            <w:szCs w:val="22"/>
          </w:rPr>
          <w:fldChar w:fldCharType="end"/>
        </w:r>
      </w:hyperlink>
    </w:p>
    <w:p w14:paraId="64F0E6DF" w14:textId="0FDFD822"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2" w:history="1">
        <w:r>
          <w:rPr>
            <w:rStyle w:val="Hyperlink"/>
            <w:rFonts w:ascii="Times New Roman" w:hAnsi="Times New Roman" w:cs="Times New Roman"/>
            <w:noProof/>
            <w:sz w:val="22"/>
            <w:szCs w:val="22"/>
          </w:rPr>
          <w:t>Figure 2.12 Manually injecting gas samples into GC</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_Toc2349042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39</w:t>
        </w:r>
        <w:r>
          <w:rPr>
            <w:rFonts w:ascii="Times New Roman" w:hAnsi="Times New Roman" w:cs="Times New Roman"/>
            <w:noProof/>
            <w:webHidden/>
            <w:sz w:val="22"/>
            <w:szCs w:val="22"/>
          </w:rPr>
          <w:fldChar w:fldCharType="end"/>
        </w:r>
      </w:hyperlink>
    </w:p>
    <w:p w14:paraId="08D5D3C1" w14:textId="765709AD"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3" w:history="1">
        <w:r>
          <w:rPr>
            <w:rStyle w:val="Hyperlink"/>
            <w:rFonts w:ascii="Times New Roman" w:hAnsi="Times New Roman" w:cs="Times New Roman"/>
            <w:noProof/>
            <w:sz w:val="22"/>
            <w:szCs w:val="22"/>
          </w:rPr>
          <w:t xml:space="preserve">Figure 2.13 Pattern of in vitro gas production over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_Toc2349043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46</w:t>
        </w:r>
        <w:r>
          <w:rPr>
            <w:rFonts w:ascii="Times New Roman" w:hAnsi="Times New Roman" w:cs="Times New Roman"/>
            <w:noProof/>
            <w:webHidden/>
            <w:sz w:val="22"/>
            <w:szCs w:val="22"/>
          </w:rPr>
          <w:fldChar w:fldCharType="end"/>
        </w:r>
      </w:hyperlink>
    </w:p>
    <w:p w14:paraId="0E294552" w14:textId="2064E507"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4" w:history="1">
        <w:r>
          <w:rPr>
            <w:rStyle w:val="Hyperlink"/>
            <w:rFonts w:ascii="Times New Roman" w:hAnsi="Times New Roman" w:cs="Times New Roman"/>
            <w:noProof/>
            <w:sz w:val="22"/>
            <w:szCs w:val="22"/>
          </w:rPr>
          <w:t xml:space="preserve">Figure 2.14 Relationship between CH4: TGP vs. IVOMD for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_Toc2349044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55</w:t>
        </w:r>
        <w:r>
          <w:rPr>
            <w:rFonts w:ascii="Times New Roman" w:hAnsi="Times New Roman" w:cs="Times New Roman"/>
            <w:noProof/>
            <w:webHidden/>
            <w:sz w:val="22"/>
            <w:szCs w:val="22"/>
          </w:rPr>
          <w:fldChar w:fldCharType="end"/>
        </w:r>
      </w:hyperlink>
    </w:p>
    <w:p w14:paraId="605502B9" w14:textId="455B8A5F"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5" w:history="1">
        <w:r>
          <w:rPr>
            <w:rStyle w:val="Hyperlink"/>
            <w:rFonts w:ascii="Times New Roman" w:hAnsi="Times New Roman" w:cs="Times New Roman"/>
            <w:noProof/>
            <w:sz w:val="22"/>
            <w:szCs w:val="22"/>
          </w:rPr>
          <w:t>Figure 3.1 60 mL of plant extract standard solution (1g/1000 mL) to be dissolved in 1000 mL distilled water</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_Toc2349045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60</w:t>
        </w:r>
        <w:r>
          <w:rPr>
            <w:rFonts w:ascii="Times New Roman" w:hAnsi="Times New Roman" w:cs="Times New Roman"/>
            <w:noProof/>
            <w:webHidden/>
            <w:sz w:val="22"/>
            <w:szCs w:val="22"/>
          </w:rPr>
          <w:fldChar w:fldCharType="end"/>
        </w:r>
      </w:hyperlink>
    </w:p>
    <w:p w14:paraId="38566C4B" w14:textId="77391A69"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6" w:history="1">
        <w:r>
          <w:rPr>
            <w:rStyle w:val="Hyperlink"/>
            <w:rFonts w:ascii="Times New Roman" w:hAnsi="Times New Roman" w:cs="Times New Roman"/>
            <w:noProof/>
            <w:sz w:val="22"/>
            <w:szCs w:val="22"/>
          </w:rPr>
          <w:t>Figure 3.2 Serum bottles (±120 mL) prewarming at 39°C in Inco-shake prior to incubation</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_Toc2349046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61</w:t>
        </w:r>
        <w:r>
          <w:rPr>
            <w:rFonts w:ascii="Times New Roman" w:hAnsi="Times New Roman" w:cs="Times New Roman"/>
            <w:noProof/>
            <w:webHidden/>
            <w:sz w:val="22"/>
            <w:szCs w:val="22"/>
          </w:rPr>
          <w:fldChar w:fldCharType="end"/>
        </w:r>
      </w:hyperlink>
    </w:p>
    <w:p w14:paraId="6685411A" w14:textId="6066161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7" w:history="1">
        <w:r>
          <w:rPr>
            <w:rStyle w:val="Hyperlink"/>
            <w:rFonts w:ascii="Times New Roman" w:hAnsi="Times New Roman" w:cs="Times New Roman"/>
            <w:noProof/>
            <w:sz w:val="22"/>
            <w:szCs w:val="22"/>
          </w:rPr>
          <w:t>Figure 3.3 Proportion of CH</w:t>
        </w:r>
        <w:r>
          <w:rPr>
            <w:rStyle w:val="Hyperlink"/>
            <w:rFonts w:ascii="Times New Roman" w:hAnsi="Times New Roman" w:cs="Times New Roman"/>
            <w:noProof/>
            <w:sz w:val="22"/>
            <w:szCs w:val="22"/>
            <w:vertAlign w:val="subscript"/>
          </w:rPr>
          <w:t>4</w:t>
        </w:r>
        <w:r>
          <w:rPr>
            <w:rStyle w:val="Hyperlink"/>
            <w:rFonts w:ascii="Times New Roman" w:hAnsi="Times New Roman" w:cs="Times New Roman"/>
            <w:noProof/>
            <w:sz w:val="22"/>
            <w:szCs w:val="22"/>
          </w:rPr>
          <w:t xml:space="preserve"> per unit of total gas production (%) after 48 hours of in vitro incubation</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_Toc2349047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71</w:t>
        </w:r>
        <w:r>
          <w:rPr>
            <w:rFonts w:ascii="Times New Roman" w:hAnsi="Times New Roman" w:cs="Times New Roman"/>
            <w:noProof/>
            <w:webHidden/>
            <w:sz w:val="22"/>
            <w:szCs w:val="22"/>
          </w:rPr>
          <w:fldChar w:fldCharType="end"/>
        </w:r>
      </w:hyperlink>
    </w:p>
    <w:p w14:paraId="211F63B4" w14:textId="43B8899C"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048" w:history="1">
        <w:r>
          <w:rPr>
            <w:rStyle w:val="Hyperlink"/>
            <w:rFonts w:ascii="Times New Roman" w:hAnsi="Times New Roman" w:cs="Times New Roman"/>
            <w:noProof/>
            <w:sz w:val="22"/>
            <w:szCs w:val="22"/>
          </w:rPr>
          <w:t xml:space="preserve">Figure 3.4 Relationship between CH4 vs. IVOMD for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300 and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_Toc2349048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73</w:t>
        </w:r>
        <w:r>
          <w:rPr>
            <w:rFonts w:ascii="Times New Roman" w:hAnsi="Times New Roman" w:cs="Times New Roman"/>
            <w:noProof/>
            <w:webHidden/>
            <w:sz w:val="22"/>
            <w:szCs w:val="22"/>
          </w:rPr>
          <w:fldChar w:fldCharType="end"/>
        </w:r>
      </w:hyperlink>
    </w:p>
    <w:p w14:paraId="4C40C163" w14:textId="77777777" w:rsidR="00EF65F1" w:rsidRDefault="00484A18">
      <w:pPr>
        <w:spacing w:line="14" w:lineRule="auto"/>
        <w:jc w:val="both"/>
        <w:rPr>
          <w:rFonts w:ascii="Times New Roman" w:hAnsi="Times New Roman" w:cs="Times New Roman"/>
          <w:noProof/>
          <w:sz w:val="22"/>
          <w:szCs w:val="22"/>
        </w:rPr>
      </w:pPr>
      <w:r>
        <w:rPr>
          <w:rFonts w:ascii="Times New Roman" w:hAnsi="Times New Roman" w:cs="Times New Roman"/>
          <w:sz w:val="22"/>
          <w:szCs w:val="22"/>
        </w:rPr>
        <w:fldChar w:fldCharType="end"/>
      </w:r>
      <w:r>
        <w:rPr>
          <w:rFonts w:ascii="Times New Roman" w:hAnsi="Times New Roman" w:cs="Times New Roman"/>
          <w:sz w:val="22"/>
          <w:szCs w:val="22"/>
        </w:rPr>
        <w:fldChar w:fldCharType="begin"/>
      </w:r>
      <w:r>
        <w:rPr>
          <w:rFonts w:ascii="Times New Roman" w:hAnsi="Times New Roman" w:cs="Times New Roman"/>
          <w:sz w:val="22"/>
          <w:szCs w:val="22"/>
        </w:rPr>
        <w:instrText xml:space="preserve"> TOC \h \z \c "Figure A" </w:instrText>
      </w:r>
      <w:r>
        <w:rPr>
          <w:rFonts w:ascii="Times New Roman" w:hAnsi="Times New Roman" w:cs="Times New Roman"/>
          <w:sz w:val="22"/>
          <w:szCs w:val="22"/>
        </w:rPr>
        <w:fldChar w:fldCharType="separate"/>
      </w:r>
    </w:p>
    <w:p w14:paraId="6B47DA5D" w14:textId="75D48E71"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606363" w:history="1">
        <w:r>
          <w:rPr>
            <w:rStyle w:val="Hyperlink"/>
            <w:rFonts w:ascii="Times New Roman" w:hAnsi="Times New Roman" w:cs="Times New Roman"/>
            <w:noProof/>
            <w:sz w:val="22"/>
            <w:szCs w:val="22"/>
          </w:rPr>
          <w:t>Figure A 1 Lower Standard Curve of gas chromatograph for methane area versus parts per million</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_Toc2606363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86</w:t>
        </w:r>
        <w:r>
          <w:rPr>
            <w:rFonts w:ascii="Times New Roman" w:hAnsi="Times New Roman" w:cs="Times New Roman"/>
            <w:noProof/>
            <w:webHidden/>
            <w:sz w:val="22"/>
            <w:szCs w:val="22"/>
          </w:rPr>
          <w:fldChar w:fldCharType="end"/>
        </w:r>
      </w:hyperlink>
    </w:p>
    <w:p w14:paraId="3E91151A" w14:textId="4999FB6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606364" w:history="1">
        <w:r>
          <w:rPr>
            <w:rStyle w:val="Hyperlink"/>
            <w:rFonts w:ascii="Times New Roman" w:hAnsi="Times New Roman" w:cs="Times New Roman"/>
            <w:noProof/>
            <w:sz w:val="22"/>
            <w:szCs w:val="22"/>
          </w:rPr>
          <w:t>Figure A 2 Upper Standard Curve of gas chromatograph for methane area versus parts per million</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_Toc2606364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87</w:t>
        </w:r>
        <w:r>
          <w:rPr>
            <w:rFonts w:ascii="Times New Roman" w:hAnsi="Times New Roman" w:cs="Times New Roman"/>
            <w:noProof/>
            <w:webHidden/>
            <w:sz w:val="22"/>
            <w:szCs w:val="22"/>
          </w:rPr>
          <w:fldChar w:fldCharType="end"/>
        </w:r>
      </w:hyperlink>
    </w:p>
    <w:p w14:paraId="5EE34EE6" w14:textId="77777777" w:rsidR="00EF65F1" w:rsidRDefault="00484A18">
      <w:pPr>
        <w:spacing w:line="360" w:lineRule="auto"/>
        <w:jc w:val="both"/>
        <w:rPr>
          <w:rFonts w:ascii="Times New Roman" w:hAnsi="Times New Roman" w:cs="Times New Roman"/>
          <w:sz w:val="22"/>
          <w:szCs w:val="22"/>
        </w:rPr>
      </w:pPr>
      <w:r>
        <w:rPr>
          <w:rFonts w:ascii="Times New Roman" w:hAnsi="Times New Roman" w:cs="Times New Roman"/>
          <w:sz w:val="22"/>
          <w:szCs w:val="22"/>
        </w:rPr>
        <w:fldChar w:fldCharType="end"/>
      </w:r>
    </w:p>
    <w:p w14:paraId="5156C032" w14:textId="77777777" w:rsidR="00EF65F1" w:rsidRDefault="00484A18">
      <w:pPr>
        <w:jc w:val="both"/>
        <w:rPr>
          <w:rFonts w:ascii="Times New Roman" w:hAnsi="Times New Roman" w:cs="Times New Roman"/>
          <w:sz w:val="22"/>
          <w:szCs w:val="22"/>
        </w:rPr>
      </w:pPr>
      <w:r>
        <w:rPr>
          <w:rFonts w:ascii="Times New Roman" w:hAnsi="Times New Roman" w:cs="Times New Roman"/>
          <w:sz w:val="22"/>
          <w:szCs w:val="22"/>
        </w:rPr>
        <w:br w:type="page"/>
      </w:r>
    </w:p>
    <w:p w14:paraId="0818148F" w14:textId="77777777" w:rsidR="00EF65F1" w:rsidRDefault="00484A18">
      <w:pPr>
        <w:pStyle w:val="Heading1"/>
        <w:numPr>
          <w:ilvl w:val="0"/>
          <w:numId w:val="0"/>
        </w:numPr>
        <w:ind w:left="141"/>
        <w:jc w:val="center"/>
        <w:rPr>
          <w:rFonts w:ascii="Times New Roman" w:hAnsi="Times New Roman" w:cs="Times New Roman"/>
          <w:b/>
          <w:color w:val="auto"/>
          <w:sz w:val="28"/>
          <w:szCs w:val="28"/>
        </w:rPr>
      </w:pPr>
      <w:bookmarkStart w:id="5" w:name="_Toc2691105"/>
      <w:r>
        <w:rPr>
          <w:rFonts w:ascii="Times New Roman" w:hAnsi="Times New Roman" w:cs="Times New Roman"/>
          <w:b/>
          <w:color w:val="auto"/>
          <w:sz w:val="28"/>
          <w:szCs w:val="28"/>
        </w:rPr>
        <w:lastRenderedPageBreak/>
        <w:t>List of tables</w:t>
      </w:r>
      <w:bookmarkEnd w:id="5"/>
    </w:p>
    <w:p w14:paraId="1ED975FD" w14:textId="77777777" w:rsidR="00EF65F1" w:rsidRDefault="00EF65F1">
      <w:pPr>
        <w:rPr>
          <w:rFonts w:ascii="Times New Roman" w:hAnsi="Times New Roman" w:cs="Times New Roman"/>
          <w:sz w:val="22"/>
          <w:szCs w:val="22"/>
        </w:rPr>
      </w:pPr>
    </w:p>
    <w:p w14:paraId="17901BB1" w14:textId="541A896E"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TOC \h \z \c "Table" </w:instrText>
      </w:r>
      <w:r>
        <w:rPr>
          <w:rFonts w:ascii="Times New Roman" w:hAnsi="Times New Roman" w:cs="Times New Roman"/>
          <w:sz w:val="22"/>
          <w:szCs w:val="22"/>
        </w:rPr>
        <w:fldChar w:fldCharType="separate"/>
      </w:r>
      <w:hyperlink w:anchor="_Toc2349133" w:history="1">
        <w:r>
          <w:rPr>
            <w:rStyle w:val="Hyperlink"/>
            <w:rFonts w:ascii="Times New Roman" w:hAnsi="Times New Roman" w:cs="Times New Roman"/>
            <w:noProof/>
            <w:sz w:val="22"/>
            <w:szCs w:val="22"/>
          </w:rPr>
          <w:t>Table 1.1 Literature review of plants with rumen mitigation potential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_Toc2349133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14</w:t>
        </w:r>
        <w:r>
          <w:rPr>
            <w:rFonts w:ascii="Times New Roman" w:hAnsi="Times New Roman" w:cs="Times New Roman"/>
            <w:noProof/>
            <w:webHidden/>
            <w:sz w:val="22"/>
            <w:szCs w:val="22"/>
          </w:rPr>
          <w:fldChar w:fldCharType="end"/>
        </w:r>
      </w:hyperlink>
    </w:p>
    <w:p w14:paraId="0E83124C" w14:textId="26383E79"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4" w:history="1">
        <w:r>
          <w:rPr>
            <w:rStyle w:val="Hyperlink"/>
            <w:rFonts w:ascii="Times New Roman" w:hAnsi="Times New Roman" w:cs="Times New Roman"/>
            <w:noProof/>
            <w:sz w:val="22"/>
            <w:szCs w:val="22"/>
          </w:rPr>
          <w:t xml:space="preserve">Table 2.1 Chemical composition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_Toc2349134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42</w:t>
        </w:r>
        <w:r>
          <w:rPr>
            <w:rFonts w:ascii="Times New Roman" w:hAnsi="Times New Roman" w:cs="Times New Roman"/>
            <w:noProof/>
            <w:webHidden/>
            <w:sz w:val="22"/>
            <w:szCs w:val="22"/>
          </w:rPr>
          <w:fldChar w:fldCharType="end"/>
        </w:r>
      </w:hyperlink>
    </w:p>
    <w:p w14:paraId="55619B8A" w14:textId="582A45F4"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5" w:history="1">
        <w:r>
          <w:rPr>
            <w:rStyle w:val="Hyperlink"/>
            <w:rFonts w:ascii="Times New Roman" w:hAnsi="Times New Roman" w:cs="Times New Roman"/>
            <w:noProof/>
            <w:sz w:val="22"/>
            <w:szCs w:val="22"/>
          </w:rPr>
          <w:t xml:space="preserve">Table 2.2 Cumulative gas production (mL gas/g DM)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_Toc2349135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44</w:t>
        </w:r>
        <w:r>
          <w:rPr>
            <w:rFonts w:ascii="Times New Roman" w:hAnsi="Times New Roman" w:cs="Times New Roman"/>
            <w:noProof/>
            <w:webHidden/>
            <w:sz w:val="22"/>
            <w:szCs w:val="22"/>
          </w:rPr>
          <w:fldChar w:fldCharType="end"/>
        </w:r>
      </w:hyperlink>
    </w:p>
    <w:p w14:paraId="1C98E43D" w14:textId="3C939C79"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6" w:history="1">
        <w:r>
          <w:rPr>
            <w:rStyle w:val="Hyperlink"/>
            <w:rFonts w:ascii="Times New Roman" w:hAnsi="Times New Roman" w:cs="Times New Roman"/>
            <w:noProof/>
            <w:sz w:val="22"/>
            <w:szCs w:val="22"/>
          </w:rPr>
          <w:t>Table 2.3 Cumulative methane production (mL CH</w:t>
        </w:r>
        <w:r>
          <w:rPr>
            <w:rStyle w:val="Hyperlink"/>
            <w:rFonts w:ascii="Times New Roman" w:hAnsi="Times New Roman" w:cs="Times New Roman"/>
            <w:noProof/>
            <w:sz w:val="22"/>
            <w:szCs w:val="22"/>
            <w:vertAlign w:val="subscript"/>
          </w:rPr>
          <w:t>4</w:t>
        </w:r>
        <w:r>
          <w:rPr>
            <w:rStyle w:val="Hyperlink"/>
            <w:rFonts w:ascii="Times New Roman" w:hAnsi="Times New Roman" w:cs="Times New Roman"/>
            <w:noProof/>
            <w:sz w:val="22"/>
            <w:szCs w:val="22"/>
          </w:rPr>
          <w:t xml:space="preserve"> /g DM)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_Toc2349136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49</w:t>
        </w:r>
        <w:r>
          <w:rPr>
            <w:rFonts w:ascii="Times New Roman" w:hAnsi="Times New Roman" w:cs="Times New Roman"/>
            <w:noProof/>
            <w:webHidden/>
            <w:sz w:val="22"/>
            <w:szCs w:val="22"/>
          </w:rPr>
          <w:fldChar w:fldCharType="end"/>
        </w:r>
      </w:hyperlink>
    </w:p>
    <w:p w14:paraId="3078A93D" w14:textId="7E807A9A"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7" w:history="1">
        <w:r>
          <w:rPr>
            <w:rStyle w:val="Hyperlink"/>
            <w:rFonts w:ascii="Times New Roman" w:hAnsi="Times New Roman" w:cs="Times New Roman"/>
            <w:noProof/>
            <w:sz w:val="22"/>
            <w:szCs w:val="22"/>
          </w:rPr>
          <w:t xml:space="preserve">Table 2.4 Methane per unit of gas production (%)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_Toc2349137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51</w:t>
        </w:r>
        <w:r>
          <w:rPr>
            <w:rFonts w:ascii="Times New Roman" w:hAnsi="Times New Roman" w:cs="Times New Roman"/>
            <w:noProof/>
            <w:webHidden/>
            <w:sz w:val="22"/>
            <w:szCs w:val="22"/>
          </w:rPr>
          <w:fldChar w:fldCharType="end"/>
        </w:r>
      </w:hyperlink>
    </w:p>
    <w:p w14:paraId="20016207" w14:textId="066AC24B"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8" w:history="1">
        <w:r>
          <w:rPr>
            <w:rStyle w:val="Hyperlink"/>
            <w:rFonts w:ascii="Times New Roman" w:hAnsi="Times New Roman" w:cs="Times New Roman"/>
            <w:noProof/>
            <w:sz w:val="22"/>
            <w:szCs w:val="22"/>
          </w:rPr>
          <w:t xml:space="preserve">Table 2.5 IVOMD (g/kg DM)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50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_Toc2349138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54</w:t>
        </w:r>
        <w:r>
          <w:rPr>
            <w:rFonts w:ascii="Times New Roman" w:hAnsi="Times New Roman" w:cs="Times New Roman"/>
            <w:noProof/>
            <w:webHidden/>
            <w:sz w:val="22"/>
            <w:szCs w:val="22"/>
          </w:rPr>
          <w:fldChar w:fldCharType="end"/>
        </w:r>
      </w:hyperlink>
    </w:p>
    <w:p w14:paraId="701A6A5A" w14:textId="1C5E4C29"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39" w:history="1">
        <w:r>
          <w:rPr>
            <w:rStyle w:val="Hyperlink"/>
            <w:rFonts w:ascii="Times New Roman" w:hAnsi="Times New Roman" w:cs="Times New Roman"/>
            <w:noProof/>
            <w:sz w:val="22"/>
            <w:szCs w:val="22"/>
          </w:rPr>
          <w:t xml:space="preserve">Table 3.1 Cumulative gas production (mL gas/g DM)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300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_Toc2349139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64</w:t>
        </w:r>
        <w:r>
          <w:rPr>
            <w:rFonts w:ascii="Times New Roman" w:hAnsi="Times New Roman" w:cs="Times New Roman"/>
            <w:noProof/>
            <w:webHidden/>
            <w:sz w:val="22"/>
            <w:szCs w:val="22"/>
          </w:rPr>
          <w:fldChar w:fldCharType="end"/>
        </w:r>
      </w:hyperlink>
    </w:p>
    <w:p w14:paraId="406EE74C" w14:textId="59D21C83"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0" w:history="1">
        <w:r>
          <w:rPr>
            <w:rStyle w:val="Hyperlink"/>
            <w:rFonts w:ascii="Times New Roman" w:hAnsi="Times New Roman" w:cs="Times New Roman"/>
            <w:noProof/>
            <w:sz w:val="22"/>
            <w:szCs w:val="22"/>
          </w:rPr>
          <w:t xml:space="preserve">Table 3.2 Cumulative gas production (mL gas/g DM)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_Toc2349140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65</w:t>
        </w:r>
        <w:r>
          <w:rPr>
            <w:rFonts w:ascii="Times New Roman" w:hAnsi="Times New Roman" w:cs="Times New Roman"/>
            <w:noProof/>
            <w:webHidden/>
            <w:sz w:val="22"/>
            <w:szCs w:val="22"/>
          </w:rPr>
          <w:fldChar w:fldCharType="end"/>
        </w:r>
      </w:hyperlink>
    </w:p>
    <w:p w14:paraId="79AC17F6" w14:textId="5328BD9A"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1" w:history="1">
        <w:r>
          <w:rPr>
            <w:rStyle w:val="Hyperlink"/>
            <w:rFonts w:ascii="Times New Roman" w:hAnsi="Times New Roman" w:cs="Times New Roman"/>
            <w:noProof/>
            <w:sz w:val="22"/>
            <w:szCs w:val="22"/>
          </w:rPr>
          <w:t>Table 3.3 Cumulative gas volumes (mL gas/g DM) of seven plant extracts analysed at 300 and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_Toc2349141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66</w:t>
        </w:r>
        <w:r>
          <w:rPr>
            <w:rFonts w:ascii="Times New Roman" w:hAnsi="Times New Roman" w:cs="Times New Roman"/>
            <w:noProof/>
            <w:webHidden/>
            <w:sz w:val="22"/>
            <w:szCs w:val="22"/>
          </w:rPr>
          <w:fldChar w:fldCharType="end"/>
        </w:r>
      </w:hyperlink>
    </w:p>
    <w:p w14:paraId="5A2031E6" w14:textId="3104CB00"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2" w:history="1">
        <w:r>
          <w:rPr>
            <w:rStyle w:val="Hyperlink"/>
            <w:rFonts w:ascii="Times New Roman" w:hAnsi="Times New Roman" w:cs="Times New Roman"/>
            <w:noProof/>
            <w:sz w:val="22"/>
            <w:szCs w:val="22"/>
          </w:rPr>
          <w:t>Table 3.4 Cumulative methane production (mL CH</w:t>
        </w:r>
        <w:r>
          <w:rPr>
            <w:rStyle w:val="Hyperlink"/>
            <w:rFonts w:ascii="Times New Roman" w:hAnsi="Times New Roman" w:cs="Times New Roman"/>
            <w:noProof/>
            <w:sz w:val="22"/>
            <w:szCs w:val="22"/>
            <w:vertAlign w:val="subscript"/>
          </w:rPr>
          <w:t>4</w:t>
        </w:r>
        <w:r>
          <w:rPr>
            <w:rStyle w:val="Hyperlink"/>
            <w:rFonts w:ascii="Times New Roman" w:hAnsi="Times New Roman" w:cs="Times New Roman"/>
            <w:noProof/>
            <w:sz w:val="22"/>
            <w:szCs w:val="22"/>
          </w:rPr>
          <w:t xml:space="preserve"> /g DM) after 2, 4, 8, 12, 24 &amp;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300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_Toc2349142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68</w:t>
        </w:r>
        <w:r>
          <w:rPr>
            <w:rFonts w:ascii="Times New Roman" w:hAnsi="Times New Roman" w:cs="Times New Roman"/>
            <w:noProof/>
            <w:webHidden/>
            <w:sz w:val="22"/>
            <w:szCs w:val="22"/>
          </w:rPr>
          <w:fldChar w:fldCharType="end"/>
        </w:r>
      </w:hyperlink>
    </w:p>
    <w:p w14:paraId="2027365F" w14:textId="4EE4AD7D"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3" w:history="1">
        <w:r>
          <w:rPr>
            <w:rStyle w:val="Hyperlink"/>
            <w:rFonts w:ascii="Times New Roman" w:hAnsi="Times New Roman" w:cs="Times New Roman"/>
            <w:noProof/>
            <w:sz w:val="22"/>
            <w:szCs w:val="22"/>
          </w:rPr>
          <w:t>Table 3.5 Cumulative methane production (mL CH</w:t>
        </w:r>
        <w:r>
          <w:rPr>
            <w:rStyle w:val="Hyperlink"/>
            <w:rFonts w:ascii="Times New Roman" w:hAnsi="Times New Roman" w:cs="Times New Roman"/>
            <w:noProof/>
            <w:sz w:val="22"/>
            <w:szCs w:val="22"/>
            <w:vertAlign w:val="subscript"/>
          </w:rPr>
          <w:t>4</w:t>
        </w:r>
        <w:r>
          <w:rPr>
            <w:rStyle w:val="Hyperlink"/>
            <w:rFonts w:ascii="Times New Roman" w:hAnsi="Times New Roman" w:cs="Times New Roman"/>
            <w:noProof/>
            <w:sz w:val="22"/>
            <w:szCs w:val="22"/>
          </w:rPr>
          <w:t xml:space="preserve"> /g DM) after 2, 4, 8, 12, 24 and 48 hours of </w:t>
        </w:r>
        <w:r>
          <w:rPr>
            <w:rStyle w:val="Hyperlink"/>
            <w:rFonts w:ascii="Times New Roman" w:hAnsi="Times New Roman" w:cs="Times New Roman"/>
            <w:i/>
            <w:noProof/>
            <w:sz w:val="22"/>
            <w:szCs w:val="22"/>
          </w:rPr>
          <w:t>Eragrostis curvula</w:t>
        </w:r>
        <w:r>
          <w:rPr>
            <w:rStyle w:val="Hyperlink"/>
            <w:rFonts w:ascii="Times New Roman" w:hAnsi="Times New Roman" w:cs="Times New Roman"/>
            <w:noProof/>
            <w:sz w:val="22"/>
            <w:szCs w:val="22"/>
          </w:rPr>
          <w:t xml:space="preserve"> hay treated with seven plant extracts at a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_Toc2349143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69</w:t>
        </w:r>
        <w:r>
          <w:rPr>
            <w:rFonts w:ascii="Times New Roman" w:hAnsi="Times New Roman" w:cs="Times New Roman"/>
            <w:noProof/>
            <w:webHidden/>
            <w:sz w:val="22"/>
            <w:szCs w:val="22"/>
          </w:rPr>
          <w:fldChar w:fldCharType="end"/>
        </w:r>
      </w:hyperlink>
    </w:p>
    <w:p w14:paraId="1B5DB0FB" w14:textId="7FA74B43"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4" w:history="1">
        <w:r>
          <w:rPr>
            <w:rStyle w:val="Hyperlink"/>
            <w:rFonts w:ascii="Times New Roman" w:hAnsi="Times New Roman" w:cs="Times New Roman"/>
            <w:noProof/>
            <w:sz w:val="22"/>
            <w:szCs w:val="22"/>
          </w:rPr>
          <w:t>Table 3.6 Cumulative methane volumes (mL CH</w:t>
        </w:r>
        <w:r>
          <w:rPr>
            <w:rStyle w:val="Hyperlink"/>
            <w:rFonts w:ascii="Times New Roman" w:hAnsi="Times New Roman" w:cs="Times New Roman"/>
            <w:noProof/>
            <w:sz w:val="22"/>
            <w:szCs w:val="22"/>
            <w:vertAlign w:val="subscript"/>
          </w:rPr>
          <w:t>4</w:t>
        </w:r>
        <w:r>
          <w:rPr>
            <w:rStyle w:val="Hyperlink"/>
            <w:rFonts w:ascii="Times New Roman" w:hAnsi="Times New Roman" w:cs="Times New Roman"/>
            <w:noProof/>
            <w:sz w:val="22"/>
            <w:szCs w:val="22"/>
          </w:rPr>
          <w:t xml:space="preserve"> /g DM) of seven plant extracts analysed at 300 and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_Toc2349144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70</w:t>
        </w:r>
        <w:r>
          <w:rPr>
            <w:rFonts w:ascii="Times New Roman" w:hAnsi="Times New Roman" w:cs="Times New Roman"/>
            <w:noProof/>
            <w:webHidden/>
            <w:sz w:val="22"/>
            <w:szCs w:val="22"/>
          </w:rPr>
          <w:fldChar w:fldCharType="end"/>
        </w:r>
      </w:hyperlink>
    </w:p>
    <w:p w14:paraId="745B582F" w14:textId="0DC101C0"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5" w:history="1">
        <w:r>
          <w:rPr>
            <w:rStyle w:val="Hyperlink"/>
            <w:rFonts w:ascii="Times New Roman" w:hAnsi="Times New Roman" w:cs="Times New Roman"/>
            <w:noProof/>
            <w:sz w:val="22"/>
            <w:szCs w:val="22"/>
          </w:rPr>
          <w:t>Table 3.7 IVOMD (g/kg DM) values for seven plant extracts treated at 300 and 600 mg/kg DM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_Toc2349145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72</w:t>
        </w:r>
        <w:r>
          <w:rPr>
            <w:rFonts w:ascii="Times New Roman" w:hAnsi="Times New Roman" w:cs="Times New Roman"/>
            <w:noProof/>
            <w:webHidden/>
            <w:sz w:val="22"/>
            <w:szCs w:val="22"/>
          </w:rPr>
          <w:fldChar w:fldCharType="end"/>
        </w:r>
      </w:hyperlink>
    </w:p>
    <w:p w14:paraId="6F52FC75" w14:textId="299729ED" w:rsidR="00EF65F1" w:rsidRDefault="00484A18">
      <w:pPr>
        <w:pStyle w:val="TableofFigures"/>
        <w:tabs>
          <w:tab w:val="right" w:leader="dot" w:pos="9016"/>
        </w:tabs>
        <w:rPr>
          <w:rFonts w:ascii="Times New Roman" w:eastAsiaTheme="minorEastAsia" w:hAnsi="Times New Roman" w:cs="Times New Roman"/>
          <w:noProof/>
          <w:sz w:val="22"/>
          <w:szCs w:val="22"/>
          <w:lang w:eastAsia="en-ZA"/>
        </w:rPr>
      </w:pPr>
      <w:hyperlink w:anchor="_Toc2349146" w:history="1">
        <w:r>
          <w:rPr>
            <w:rStyle w:val="Hyperlink"/>
            <w:rFonts w:ascii="Times New Roman" w:hAnsi="Times New Roman" w:cs="Times New Roman"/>
            <w:noProof/>
            <w:sz w:val="22"/>
            <w:szCs w:val="22"/>
          </w:rPr>
          <w:t>Table 3.8 IVOMD (g/kg DM) values of individual plant extracts as affected by dose level</w:t>
        </w:r>
        <w:r>
          <w:rPr>
            <w:rFonts w:ascii="Times New Roman" w:hAnsi="Times New Roman" w:cs="Times New Roman"/>
            <w:noProof/>
            <w:webHidden/>
            <w:sz w:val="22"/>
            <w:szCs w:val="22"/>
          </w:rPr>
          <w:tab/>
        </w:r>
        <w:r>
          <w:rPr>
            <w:rFonts w:ascii="Times New Roman" w:hAnsi="Times New Roman" w:cs="Times New Roman"/>
            <w:noProof/>
            <w:webHidden/>
            <w:sz w:val="22"/>
            <w:szCs w:val="22"/>
          </w:rPr>
          <w:fldChar w:fldCharType="begin"/>
        </w:r>
        <w:r>
          <w:rPr>
            <w:rFonts w:ascii="Times New Roman" w:hAnsi="Times New Roman" w:cs="Times New Roman"/>
            <w:noProof/>
            <w:webHidden/>
            <w:sz w:val="22"/>
            <w:szCs w:val="22"/>
          </w:rPr>
          <w:instrText xml:space="preserve"> PAGEREF _Toc2349146 \h </w:instrText>
        </w:r>
        <w:r>
          <w:rPr>
            <w:rFonts w:ascii="Times New Roman" w:hAnsi="Times New Roman" w:cs="Times New Roman"/>
            <w:noProof/>
            <w:webHidden/>
            <w:sz w:val="22"/>
            <w:szCs w:val="22"/>
          </w:rPr>
        </w:r>
        <w:r>
          <w:rPr>
            <w:rFonts w:ascii="Times New Roman" w:hAnsi="Times New Roman" w:cs="Times New Roman"/>
            <w:noProof/>
            <w:webHidden/>
            <w:sz w:val="22"/>
            <w:szCs w:val="22"/>
          </w:rPr>
          <w:fldChar w:fldCharType="separate"/>
        </w:r>
        <w:r w:rsidR="00E604B8">
          <w:rPr>
            <w:rFonts w:ascii="Times New Roman" w:hAnsi="Times New Roman" w:cs="Times New Roman"/>
            <w:noProof/>
            <w:webHidden/>
            <w:sz w:val="22"/>
            <w:szCs w:val="22"/>
          </w:rPr>
          <w:t>72</w:t>
        </w:r>
        <w:r>
          <w:rPr>
            <w:rFonts w:ascii="Times New Roman" w:hAnsi="Times New Roman" w:cs="Times New Roman"/>
            <w:noProof/>
            <w:webHidden/>
            <w:sz w:val="22"/>
            <w:szCs w:val="22"/>
          </w:rPr>
          <w:fldChar w:fldCharType="end"/>
        </w:r>
      </w:hyperlink>
    </w:p>
    <w:p w14:paraId="5DABF83B" w14:textId="77777777" w:rsidR="00EF65F1" w:rsidRDefault="00484A18">
      <w:pPr>
        <w:rPr>
          <w:rFonts w:ascii="Times New Roman" w:hAnsi="Times New Roman" w:cs="Times New Roman"/>
          <w:sz w:val="22"/>
          <w:szCs w:val="22"/>
        </w:rPr>
      </w:pPr>
      <w:r>
        <w:rPr>
          <w:rFonts w:ascii="Times New Roman" w:hAnsi="Times New Roman" w:cs="Times New Roman"/>
          <w:sz w:val="22"/>
          <w:szCs w:val="22"/>
        </w:rPr>
        <w:fldChar w:fldCharType="end"/>
      </w:r>
    </w:p>
    <w:p w14:paraId="295EE6A5" w14:textId="77777777" w:rsidR="00EF65F1" w:rsidRDefault="00484A18">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38C32168" w14:textId="77777777" w:rsidR="00EF65F1" w:rsidRDefault="00484A18">
      <w:pPr>
        <w:pStyle w:val="Heading1"/>
        <w:numPr>
          <w:ilvl w:val="0"/>
          <w:numId w:val="0"/>
        </w:numPr>
        <w:spacing w:before="0" w:line="360" w:lineRule="auto"/>
        <w:jc w:val="center"/>
        <w:rPr>
          <w:rFonts w:ascii="Times New Roman" w:hAnsi="Times New Roman" w:cs="Times New Roman"/>
          <w:b/>
          <w:color w:val="auto"/>
          <w:sz w:val="28"/>
          <w:szCs w:val="28"/>
        </w:rPr>
      </w:pPr>
      <w:bookmarkStart w:id="6" w:name="_Toc2691106"/>
      <w:r>
        <w:rPr>
          <w:rFonts w:ascii="Times New Roman" w:hAnsi="Times New Roman" w:cs="Times New Roman"/>
          <w:b/>
          <w:color w:val="auto"/>
          <w:sz w:val="28"/>
          <w:szCs w:val="28"/>
        </w:rPr>
        <w:lastRenderedPageBreak/>
        <w:t>List of abbreviations</w:t>
      </w:r>
      <w:bookmarkEnd w:id="6"/>
    </w:p>
    <w:p w14:paraId="30E567FA" w14:textId="77777777" w:rsidR="00EF65F1" w:rsidRDefault="00EF65F1">
      <w:pPr>
        <w:spacing w:after="0" w:line="360" w:lineRule="auto"/>
        <w:ind w:left="567" w:firstLine="567"/>
        <w:rPr>
          <w:rFonts w:ascii="Times New Roman" w:hAnsi="Times New Roman" w:cs="Times New Roman"/>
          <w:sz w:val="22"/>
          <w:szCs w:val="22"/>
        </w:rPr>
      </w:pPr>
    </w:p>
    <w:p w14:paraId="6BD2A973"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ADF</w:t>
      </w:r>
      <w:r>
        <w:rPr>
          <w:rFonts w:ascii="Times New Roman" w:hAnsi="Times New Roman" w:cs="Times New Roman"/>
          <w:sz w:val="22"/>
          <w:szCs w:val="22"/>
        </w:rPr>
        <w:tab/>
        <w:t>acid detergent fraction</w:t>
      </w:r>
    </w:p>
    <w:p w14:paraId="0BBB937F"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ADL</w:t>
      </w:r>
      <w:r>
        <w:rPr>
          <w:rFonts w:ascii="Times New Roman" w:hAnsi="Times New Roman" w:cs="Times New Roman"/>
          <w:sz w:val="22"/>
          <w:szCs w:val="22"/>
        </w:rPr>
        <w:tab/>
        <w:t>acid detergent lignin</w:t>
      </w:r>
    </w:p>
    <w:p w14:paraId="36162636"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ANOVA</w:t>
      </w:r>
      <w:r>
        <w:rPr>
          <w:rFonts w:ascii="Times New Roman" w:hAnsi="Times New Roman" w:cs="Times New Roman"/>
          <w:sz w:val="22"/>
          <w:szCs w:val="22"/>
        </w:rPr>
        <w:tab/>
        <w:t>analysis of variance</w:t>
      </w:r>
    </w:p>
    <w:p w14:paraId="0AC4AC81"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AOAC</w:t>
      </w:r>
      <w:r>
        <w:rPr>
          <w:rFonts w:ascii="Times New Roman" w:hAnsi="Times New Roman" w:cs="Times New Roman"/>
          <w:sz w:val="22"/>
          <w:szCs w:val="22"/>
        </w:rPr>
        <w:tab/>
        <w:t>Association of analytical communities</w:t>
      </w:r>
    </w:p>
    <w:p w14:paraId="361A7DE5"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hAnsi="Times New Roman" w:cs="Times New Roman"/>
          <w:sz w:val="22"/>
          <w:szCs w:val="22"/>
        </w:rPr>
        <w:tab/>
        <w:t>methane</w:t>
      </w:r>
    </w:p>
    <w:p w14:paraId="315C9A67"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CO</w:t>
      </w:r>
      <w:r>
        <w:rPr>
          <w:rFonts w:ascii="Times New Roman" w:hAnsi="Times New Roman" w:cs="Times New Roman"/>
          <w:sz w:val="22"/>
          <w:szCs w:val="22"/>
          <w:vertAlign w:val="subscript"/>
        </w:rPr>
        <w:t>2</w:t>
      </w:r>
      <w:r>
        <w:rPr>
          <w:rFonts w:ascii="Times New Roman" w:hAnsi="Times New Roman" w:cs="Times New Roman"/>
          <w:sz w:val="22"/>
          <w:szCs w:val="22"/>
          <w:vertAlign w:val="subscript"/>
        </w:rPr>
        <w:tab/>
      </w:r>
      <w:r>
        <w:rPr>
          <w:rFonts w:ascii="Times New Roman" w:hAnsi="Times New Roman" w:cs="Times New Roman"/>
          <w:sz w:val="22"/>
          <w:szCs w:val="22"/>
        </w:rPr>
        <w:t>carbon dioxide</w:t>
      </w:r>
    </w:p>
    <w:p w14:paraId="489C1D96"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CT</w:t>
      </w:r>
      <w:r>
        <w:rPr>
          <w:rFonts w:ascii="Times New Roman" w:hAnsi="Times New Roman" w:cs="Times New Roman"/>
          <w:sz w:val="22"/>
          <w:szCs w:val="22"/>
        </w:rPr>
        <w:tab/>
      </w:r>
      <w:r>
        <w:rPr>
          <w:rFonts w:ascii="Times New Roman" w:hAnsi="Times New Roman" w:cs="Times New Roman"/>
          <w:sz w:val="22"/>
          <w:szCs w:val="22"/>
        </w:rPr>
        <w:tab/>
        <w:t>condensed tannins</w:t>
      </w:r>
    </w:p>
    <w:p w14:paraId="2827D7DD"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CP</w:t>
      </w:r>
      <w:r>
        <w:rPr>
          <w:rFonts w:ascii="Times New Roman" w:hAnsi="Times New Roman" w:cs="Times New Roman"/>
          <w:sz w:val="22"/>
          <w:szCs w:val="22"/>
        </w:rPr>
        <w:tab/>
      </w:r>
      <w:r>
        <w:rPr>
          <w:rFonts w:ascii="Times New Roman" w:hAnsi="Times New Roman" w:cs="Times New Roman"/>
          <w:sz w:val="22"/>
          <w:szCs w:val="22"/>
        </w:rPr>
        <w:tab/>
        <w:t>crude protein</w:t>
      </w:r>
    </w:p>
    <w:p w14:paraId="1B9100FE"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DM</w:t>
      </w:r>
      <w:r>
        <w:rPr>
          <w:rFonts w:ascii="Times New Roman" w:hAnsi="Times New Roman" w:cs="Times New Roman"/>
          <w:sz w:val="22"/>
          <w:szCs w:val="22"/>
        </w:rPr>
        <w:tab/>
        <w:t>dry matter</w:t>
      </w:r>
    </w:p>
    <w:p w14:paraId="24DFE398"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DMI</w:t>
      </w:r>
      <w:r>
        <w:rPr>
          <w:rFonts w:ascii="Times New Roman" w:hAnsi="Times New Roman" w:cs="Times New Roman"/>
          <w:sz w:val="22"/>
          <w:szCs w:val="22"/>
        </w:rPr>
        <w:tab/>
        <w:t>dry matter intake</w:t>
      </w:r>
    </w:p>
    <w:p w14:paraId="3C2B1775"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EE</w:t>
      </w:r>
      <w:r>
        <w:rPr>
          <w:rFonts w:ascii="Times New Roman" w:hAnsi="Times New Roman" w:cs="Times New Roman"/>
          <w:sz w:val="22"/>
          <w:szCs w:val="22"/>
        </w:rPr>
        <w:tab/>
      </w:r>
      <w:r>
        <w:rPr>
          <w:rFonts w:ascii="Times New Roman" w:hAnsi="Times New Roman" w:cs="Times New Roman"/>
          <w:sz w:val="22"/>
          <w:szCs w:val="22"/>
        </w:rPr>
        <w:tab/>
        <w:t>ether extract</w:t>
      </w:r>
    </w:p>
    <w:p w14:paraId="5C2FCA27"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EO</w:t>
      </w:r>
      <w:r>
        <w:rPr>
          <w:rFonts w:ascii="Times New Roman" w:hAnsi="Times New Roman" w:cs="Times New Roman"/>
          <w:sz w:val="22"/>
          <w:szCs w:val="22"/>
        </w:rPr>
        <w:tab/>
      </w:r>
      <w:r>
        <w:rPr>
          <w:rFonts w:ascii="Times New Roman" w:hAnsi="Times New Roman" w:cs="Times New Roman"/>
          <w:sz w:val="22"/>
          <w:szCs w:val="22"/>
        </w:rPr>
        <w:tab/>
        <w:t>essential oils</w:t>
      </w:r>
    </w:p>
    <w:p w14:paraId="306B3487"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EU</w:t>
      </w:r>
      <w:r>
        <w:rPr>
          <w:rFonts w:ascii="Times New Roman" w:hAnsi="Times New Roman" w:cs="Times New Roman"/>
          <w:sz w:val="22"/>
          <w:szCs w:val="22"/>
        </w:rPr>
        <w:tab/>
      </w:r>
      <w:r>
        <w:rPr>
          <w:rFonts w:ascii="Times New Roman" w:hAnsi="Times New Roman" w:cs="Times New Roman"/>
          <w:sz w:val="22"/>
          <w:szCs w:val="22"/>
        </w:rPr>
        <w:tab/>
        <w:t>European Union</w:t>
      </w:r>
    </w:p>
    <w:p w14:paraId="1BCAEA46"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EQ</w:t>
      </w:r>
      <w:r>
        <w:rPr>
          <w:rFonts w:ascii="Times New Roman" w:hAnsi="Times New Roman" w:cs="Times New Roman"/>
          <w:sz w:val="22"/>
          <w:szCs w:val="22"/>
        </w:rPr>
        <w:tab/>
      </w:r>
      <w:r>
        <w:rPr>
          <w:rFonts w:ascii="Times New Roman" w:hAnsi="Times New Roman" w:cs="Times New Roman"/>
          <w:sz w:val="22"/>
          <w:szCs w:val="22"/>
        </w:rPr>
        <w:tab/>
        <w:t>equivalents</w:t>
      </w:r>
    </w:p>
    <w:p w14:paraId="528A40FE"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w:t>
      </w:r>
      <w:r>
        <w:rPr>
          <w:rFonts w:ascii="Times New Roman" w:hAnsi="Times New Roman" w:cs="Times New Roman"/>
          <w:sz w:val="22"/>
          <w:szCs w:val="22"/>
        </w:rPr>
        <w:tab/>
      </w:r>
      <w:r>
        <w:rPr>
          <w:rFonts w:ascii="Times New Roman" w:hAnsi="Times New Roman" w:cs="Times New Roman"/>
          <w:sz w:val="22"/>
          <w:szCs w:val="22"/>
        </w:rPr>
        <w:tab/>
        <w:t>gram</w:t>
      </w:r>
    </w:p>
    <w:p w14:paraId="1CEC27A4"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GC</w:t>
      </w:r>
      <w:r>
        <w:rPr>
          <w:rFonts w:ascii="Times New Roman" w:hAnsi="Times New Roman" w:cs="Times New Roman"/>
          <w:sz w:val="22"/>
          <w:szCs w:val="22"/>
        </w:rPr>
        <w:tab/>
      </w:r>
      <w:r>
        <w:rPr>
          <w:rFonts w:ascii="Times New Roman" w:hAnsi="Times New Roman" w:cs="Times New Roman"/>
          <w:sz w:val="22"/>
          <w:szCs w:val="22"/>
        </w:rPr>
        <w:tab/>
        <w:t>gas chromatograph</w:t>
      </w:r>
    </w:p>
    <w:p w14:paraId="2AB9907A"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GE</w:t>
      </w:r>
      <w:r>
        <w:rPr>
          <w:rFonts w:ascii="Times New Roman" w:hAnsi="Times New Roman" w:cs="Times New Roman"/>
          <w:sz w:val="22"/>
          <w:szCs w:val="22"/>
        </w:rPr>
        <w:tab/>
      </w:r>
      <w:r>
        <w:rPr>
          <w:rFonts w:ascii="Times New Roman" w:hAnsi="Times New Roman" w:cs="Times New Roman"/>
          <w:sz w:val="22"/>
          <w:szCs w:val="22"/>
        </w:rPr>
        <w:tab/>
        <w:t>gross energy</w:t>
      </w:r>
    </w:p>
    <w:p w14:paraId="2BE86041"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GHG</w:t>
      </w:r>
      <w:r>
        <w:rPr>
          <w:rFonts w:ascii="Times New Roman" w:hAnsi="Times New Roman" w:cs="Times New Roman"/>
          <w:sz w:val="22"/>
          <w:szCs w:val="22"/>
        </w:rPr>
        <w:tab/>
        <w:t>greenhouse gas</w:t>
      </w:r>
    </w:p>
    <w:p w14:paraId="0CC15F7B"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GIT</w:t>
      </w:r>
      <w:r>
        <w:rPr>
          <w:rFonts w:ascii="Times New Roman" w:hAnsi="Times New Roman" w:cs="Times New Roman"/>
          <w:sz w:val="22"/>
          <w:szCs w:val="22"/>
        </w:rPr>
        <w:tab/>
        <w:t>gastrointestinal tract</w:t>
      </w:r>
    </w:p>
    <w:p w14:paraId="71789832"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GP</w:t>
      </w:r>
      <w:r>
        <w:rPr>
          <w:rFonts w:ascii="Times New Roman" w:hAnsi="Times New Roman" w:cs="Times New Roman"/>
          <w:sz w:val="22"/>
          <w:szCs w:val="22"/>
        </w:rPr>
        <w:tab/>
      </w:r>
      <w:r>
        <w:rPr>
          <w:rFonts w:ascii="Times New Roman" w:hAnsi="Times New Roman" w:cs="Times New Roman"/>
          <w:sz w:val="22"/>
          <w:szCs w:val="22"/>
        </w:rPr>
        <w:tab/>
        <w:t>gas production</w:t>
      </w:r>
    </w:p>
    <w:p w14:paraId="3A739DF1"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H</w:t>
      </w:r>
      <w:r>
        <w:rPr>
          <w:rFonts w:ascii="Times New Roman" w:hAnsi="Times New Roman" w:cs="Times New Roman"/>
          <w:sz w:val="22"/>
          <w:szCs w:val="22"/>
          <w:vertAlign w:val="subscript"/>
        </w:rPr>
        <w:t>2</w:t>
      </w:r>
      <w:r>
        <w:rPr>
          <w:rFonts w:ascii="Times New Roman" w:hAnsi="Times New Roman" w:cs="Times New Roman"/>
          <w:sz w:val="22"/>
          <w:szCs w:val="22"/>
        </w:rPr>
        <w:tab/>
      </w:r>
      <w:r>
        <w:rPr>
          <w:rFonts w:ascii="Times New Roman" w:hAnsi="Times New Roman" w:cs="Times New Roman"/>
          <w:sz w:val="22"/>
          <w:szCs w:val="22"/>
        </w:rPr>
        <w:tab/>
        <w:t>hydrogen</w:t>
      </w:r>
    </w:p>
    <w:p w14:paraId="007EF00F"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HT</w:t>
      </w:r>
      <w:r>
        <w:rPr>
          <w:rFonts w:ascii="Times New Roman" w:hAnsi="Times New Roman" w:cs="Times New Roman"/>
          <w:sz w:val="22"/>
          <w:szCs w:val="22"/>
        </w:rPr>
        <w:tab/>
      </w:r>
      <w:r>
        <w:rPr>
          <w:rFonts w:ascii="Times New Roman" w:hAnsi="Times New Roman" w:cs="Times New Roman"/>
          <w:sz w:val="22"/>
          <w:szCs w:val="22"/>
        </w:rPr>
        <w:tab/>
        <w:t>hydrolysable tannins</w:t>
      </w:r>
    </w:p>
    <w:p w14:paraId="20CC2A32"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IVOMD</w:t>
      </w:r>
      <w:r>
        <w:rPr>
          <w:rFonts w:ascii="Times New Roman" w:hAnsi="Times New Roman" w:cs="Times New Roman"/>
          <w:sz w:val="22"/>
          <w:szCs w:val="22"/>
        </w:rPr>
        <w:tab/>
      </w:r>
      <w:r>
        <w:rPr>
          <w:rFonts w:ascii="Times New Roman" w:hAnsi="Times New Roman" w:cs="Times New Roman"/>
          <w:i/>
          <w:sz w:val="22"/>
          <w:szCs w:val="22"/>
        </w:rPr>
        <w:t xml:space="preserve">in vitro </w:t>
      </w:r>
      <w:r>
        <w:rPr>
          <w:rFonts w:ascii="Times New Roman" w:hAnsi="Times New Roman" w:cs="Times New Roman"/>
          <w:sz w:val="22"/>
          <w:szCs w:val="22"/>
        </w:rPr>
        <w:t>organic matter digestibility</w:t>
      </w:r>
    </w:p>
    <w:p w14:paraId="537B833A"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Kg</w:t>
      </w:r>
      <w:r>
        <w:rPr>
          <w:rFonts w:ascii="Times New Roman" w:hAnsi="Times New Roman" w:cs="Times New Roman"/>
          <w:sz w:val="22"/>
          <w:szCs w:val="22"/>
        </w:rPr>
        <w:tab/>
      </w:r>
      <w:r>
        <w:rPr>
          <w:rFonts w:ascii="Times New Roman" w:hAnsi="Times New Roman" w:cs="Times New Roman"/>
          <w:sz w:val="22"/>
          <w:szCs w:val="22"/>
        </w:rPr>
        <w:tab/>
        <w:t>kilogram</w:t>
      </w:r>
    </w:p>
    <w:p w14:paraId="44661CDA"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ME</w:t>
      </w:r>
      <w:r>
        <w:rPr>
          <w:rFonts w:ascii="Times New Roman" w:hAnsi="Times New Roman" w:cs="Times New Roman"/>
          <w:sz w:val="22"/>
          <w:szCs w:val="22"/>
        </w:rPr>
        <w:tab/>
        <w:t>metabolisable energy</w:t>
      </w:r>
    </w:p>
    <w:p w14:paraId="1C6DB203"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mg</w:t>
      </w:r>
      <w:r>
        <w:rPr>
          <w:rFonts w:ascii="Times New Roman" w:hAnsi="Times New Roman" w:cs="Times New Roman"/>
          <w:sz w:val="22"/>
          <w:szCs w:val="22"/>
        </w:rPr>
        <w:tab/>
      </w:r>
      <w:r>
        <w:rPr>
          <w:rFonts w:ascii="Times New Roman" w:hAnsi="Times New Roman" w:cs="Times New Roman"/>
          <w:sz w:val="22"/>
          <w:szCs w:val="22"/>
        </w:rPr>
        <w:tab/>
        <w:t>milligram</w:t>
      </w:r>
    </w:p>
    <w:p w14:paraId="3752D643"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mL</w:t>
      </w:r>
      <w:r>
        <w:rPr>
          <w:rFonts w:ascii="Times New Roman" w:hAnsi="Times New Roman" w:cs="Times New Roman"/>
          <w:sz w:val="22"/>
          <w:szCs w:val="22"/>
        </w:rPr>
        <w:tab/>
      </w:r>
      <w:r>
        <w:rPr>
          <w:rFonts w:ascii="Times New Roman" w:hAnsi="Times New Roman" w:cs="Times New Roman"/>
          <w:sz w:val="22"/>
          <w:szCs w:val="22"/>
        </w:rPr>
        <w:tab/>
        <w:t>millilitre</w:t>
      </w:r>
    </w:p>
    <w:p w14:paraId="7FF29284"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Mol</w:t>
      </w:r>
      <w:r>
        <w:rPr>
          <w:rFonts w:ascii="Times New Roman" w:hAnsi="Times New Roman" w:cs="Times New Roman"/>
          <w:sz w:val="22"/>
          <w:szCs w:val="22"/>
        </w:rPr>
        <w:tab/>
        <w:t>mole</w:t>
      </w:r>
    </w:p>
    <w:p w14:paraId="17EBCB6A"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NDF</w:t>
      </w:r>
      <w:r>
        <w:rPr>
          <w:rFonts w:ascii="Times New Roman" w:hAnsi="Times New Roman" w:cs="Times New Roman"/>
          <w:sz w:val="22"/>
          <w:szCs w:val="22"/>
        </w:rPr>
        <w:tab/>
        <w:t>neutral detergent fraction</w:t>
      </w:r>
    </w:p>
    <w:p w14:paraId="4BE765EB"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N</w:t>
      </w:r>
      <w:r>
        <w:rPr>
          <w:rFonts w:ascii="Times New Roman" w:hAnsi="Times New Roman" w:cs="Times New Roman"/>
          <w:sz w:val="22"/>
          <w:szCs w:val="22"/>
          <w:vertAlign w:val="subscript"/>
        </w:rPr>
        <w:t>2</w:t>
      </w:r>
      <w:r>
        <w:rPr>
          <w:rFonts w:ascii="Times New Roman" w:hAnsi="Times New Roman" w:cs="Times New Roman"/>
          <w:sz w:val="22"/>
          <w:szCs w:val="22"/>
        </w:rPr>
        <w:t>O</w:t>
      </w:r>
      <w:r>
        <w:rPr>
          <w:rFonts w:ascii="Times New Roman" w:hAnsi="Times New Roman" w:cs="Times New Roman"/>
          <w:sz w:val="22"/>
          <w:szCs w:val="22"/>
        </w:rPr>
        <w:tab/>
        <w:t>nitrous oxide</w:t>
      </w:r>
    </w:p>
    <w:p w14:paraId="073DBBFF"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NGO</w:t>
      </w:r>
      <w:r>
        <w:rPr>
          <w:rFonts w:ascii="Times New Roman" w:hAnsi="Times New Roman" w:cs="Times New Roman"/>
          <w:sz w:val="22"/>
          <w:szCs w:val="22"/>
        </w:rPr>
        <w:tab/>
        <w:t>non-governmental organisations</w:t>
      </w:r>
    </w:p>
    <w:p w14:paraId="6661CE05"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OM</w:t>
      </w:r>
      <w:r>
        <w:rPr>
          <w:rFonts w:ascii="Times New Roman" w:hAnsi="Times New Roman" w:cs="Times New Roman"/>
          <w:sz w:val="22"/>
          <w:szCs w:val="22"/>
        </w:rPr>
        <w:tab/>
        <w:t>organic matter</w:t>
      </w:r>
    </w:p>
    <w:p w14:paraId="51299259"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OMD</w:t>
      </w:r>
      <w:r>
        <w:rPr>
          <w:rFonts w:ascii="Times New Roman" w:hAnsi="Times New Roman" w:cs="Times New Roman"/>
          <w:sz w:val="22"/>
          <w:szCs w:val="22"/>
        </w:rPr>
        <w:tab/>
        <w:t>organic matter digestibility</w:t>
      </w:r>
    </w:p>
    <w:p w14:paraId="42E035D3"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PE</w:t>
      </w:r>
      <w:r>
        <w:rPr>
          <w:rFonts w:ascii="Times New Roman" w:hAnsi="Times New Roman" w:cs="Times New Roman"/>
          <w:sz w:val="22"/>
          <w:szCs w:val="22"/>
        </w:rPr>
        <w:tab/>
      </w:r>
      <w:r>
        <w:rPr>
          <w:rFonts w:ascii="Times New Roman" w:hAnsi="Times New Roman" w:cs="Times New Roman"/>
          <w:sz w:val="22"/>
          <w:szCs w:val="22"/>
        </w:rPr>
        <w:tab/>
        <w:t>plant extracts</w:t>
      </w:r>
    </w:p>
    <w:p w14:paraId="2E7DC329"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lastRenderedPageBreak/>
        <w:t>PPM</w:t>
      </w:r>
      <w:r>
        <w:rPr>
          <w:rFonts w:ascii="Times New Roman" w:hAnsi="Times New Roman" w:cs="Times New Roman"/>
          <w:sz w:val="22"/>
          <w:szCs w:val="22"/>
        </w:rPr>
        <w:tab/>
        <w:t>parts per million</w:t>
      </w:r>
    </w:p>
    <w:p w14:paraId="29B4B7C4"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RPM</w:t>
      </w:r>
      <w:r>
        <w:rPr>
          <w:rFonts w:ascii="Times New Roman" w:hAnsi="Times New Roman" w:cs="Times New Roman"/>
          <w:sz w:val="22"/>
          <w:szCs w:val="22"/>
        </w:rPr>
        <w:tab/>
        <w:t>revolutions per minute</w:t>
      </w:r>
    </w:p>
    <w:p w14:paraId="14FA92B4"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SAS</w:t>
      </w:r>
      <w:r>
        <w:rPr>
          <w:rFonts w:ascii="Times New Roman" w:hAnsi="Times New Roman" w:cs="Times New Roman"/>
          <w:sz w:val="22"/>
          <w:szCs w:val="22"/>
        </w:rPr>
        <w:tab/>
        <w:t>statistical analysis system</w:t>
      </w:r>
    </w:p>
    <w:p w14:paraId="6BDAB537"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SD</w:t>
      </w:r>
      <w:r>
        <w:rPr>
          <w:rFonts w:ascii="Times New Roman" w:hAnsi="Times New Roman" w:cs="Times New Roman"/>
          <w:sz w:val="22"/>
          <w:szCs w:val="22"/>
        </w:rPr>
        <w:tab/>
        <w:t xml:space="preserve">standard deviation  </w:t>
      </w:r>
    </w:p>
    <w:p w14:paraId="4066F72A"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SE</w:t>
      </w:r>
      <w:r>
        <w:rPr>
          <w:rFonts w:ascii="Times New Roman" w:hAnsi="Times New Roman" w:cs="Times New Roman"/>
          <w:sz w:val="22"/>
          <w:szCs w:val="22"/>
        </w:rPr>
        <w:tab/>
      </w:r>
      <w:r>
        <w:rPr>
          <w:rFonts w:ascii="Times New Roman" w:hAnsi="Times New Roman" w:cs="Times New Roman"/>
          <w:sz w:val="22"/>
          <w:szCs w:val="22"/>
        </w:rPr>
        <w:tab/>
        <w:t>standard error</w:t>
      </w:r>
    </w:p>
    <w:p w14:paraId="4924ED95"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SEM</w:t>
      </w:r>
      <w:r>
        <w:rPr>
          <w:rFonts w:ascii="Times New Roman" w:hAnsi="Times New Roman" w:cs="Times New Roman"/>
          <w:sz w:val="22"/>
          <w:szCs w:val="22"/>
        </w:rPr>
        <w:tab/>
        <w:t>standard error of the mean</w:t>
      </w:r>
    </w:p>
    <w:p w14:paraId="28BB597A"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SF</w:t>
      </w:r>
      <w:r>
        <w:rPr>
          <w:rFonts w:ascii="Times New Roman" w:hAnsi="Times New Roman" w:cs="Times New Roman"/>
          <w:sz w:val="22"/>
          <w:szCs w:val="22"/>
          <w:vertAlign w:val="subscript"/>
        </w:rPr>
        <w:t>6</w:t>
      </w:r>
      <w:r>
        <w:rPr>
          <w:rFonts w:ascii="Times New Roman" w:hAnsi="Times New Roman" w:cs="Times New Roman"/>
          <w:sz w:val="22"/>
          <w:szCs w:val="22"/>
          <w:vertAlign w:val="subscript"/>
        </w:rPr>
        <w:tab/>
      </w:r>
      <w:r>
        <w:rPr>
          <w:rFonts w:ascii="Times New Roman" w:hAnsi="Times New Roman" w:cs="Times New Roman"/>
          <w:sz w:val="22"/>
          <w:szCs w:val="22"/>
        </w:rPr>
        <w:t>sulphur hexafluoride</w:t>
      </w:r>
    </w:p>
    <w:p w14:paraId="366469D3"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Tg</w:t>
      </w:r>
      <w:r>
        <w:rPr>
          <w:rFonts w:ascii="Times New Roman" w:hAnsi="Times New Roman" w:cs="Times New Roman"/>
          <w:sz w:val="22"/>
          <w:szCs w:val="22"/>
        </w:rPr>
        <w:tab/>
      </w:r>
      <w:r>
        <w:rPr>
          <w:rFonts w:ascii="Times New Roman" w:hAnsi="Times New Roman" w:cs="Times New Roman"/>
          <w:sz w:val="22"/>
          <w:szCs w:val="22"/>
        </w:rPr>
        <w:tab/>
        <w:t>teragrams</w:t>
      </w:r>
    </w:p>
    <w:p w14:paraId="453C8896"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TGP</w:t>
      </w:r>
      <w:r>
        <w:rPr>
          <w:rFonts w:ascii="Times New Roman" w:hAnsi="Times New Roman" w:cs="Times New Roman"/>
          <w:sz w:val="22"/>
          <w:szCs w:val="22"/>
        </w:rPr>
        <w:tab/>
        <w:t>total gas pressure</w:t>
      </w:r>
    </w:p>
    <w:p w14:paraId="3E50C087" w14:textId="77777777" w:rsidR="00EF65F1" w:rsidRDefault="00484A18">
      <w:pPr>
        <w:spacing w:after="0" w:line="360" w:lineRule="auto"/>
        <w:ind w:left="2154" w:hanging="1020"/>
        <w:jc w:val="both"/>
        <w:rPr>
          <w:rFonts w:ascii="Times New Roman" w:hAnsi="Times New Roman" w:cs="Times New Roman"/>
          <w:sz w:val="22"/>
          <w:szCs w:val="22"/>
        </w:rPr>
      </w:pPr>
      <w:r>
        <w:rPr>
          <w:rFonts w:ascii="Times New Roman" w:hAnsi="Times New Roman" w:cs="Times New Roman"/>
          <w:sz w:val="22"/>
          <w:szCs w:val="22"/>
        </w:rPr>
        <w:t>WHO</w:t>
      </w:r>
      <w:r>
        <w:rPr>
          <w:rFonts w:ascii="Times New Roman" w:hAnsi="Times New Roman" w:cs="Times New Roman"/>
          <w:sz w:val="22"/>
          <w:szCs w:val="22"/>
        </w:rPr>
        <w:tab/>
        <w:t>World Health Organisation</w:t>
      </w:r>
    </w:p>
    <w:p w14:paraId="3AF6D34F" w14:textId="77777777" w:rsidR="00EF65F1" w:rsidRDefault="00484A18">
      <w:pPr>
        <w:spacing w:after="0" w:line="360" w:lineRule="auto"/>
        <w:ind w:left="567" w:firstLine="567"/>
        <w:jc w:val="both"/>
        <w:rPr>
          <w:rFonts w:ascii="Times New Roman" w:hAnsi="Times New Roman" w:cs="Times New Roman"/>
          <w:sz w:val="22"/>
          <w:szCs w:val="22"/>
        </w:rPr>
      </w:pPr>
      <w:r>
        <w:rPr>
          <w:rFonts w:ascii="Times New Roman" w:hAnsi="Times New Roman" w:cs="Times New Roman"/>
          <w:sz w:val="22"/>
          <w:szCs w:val="22"/>
        </w:rPr>
        <w:t>VFA(s)</w:t>
      </w:r>
      <w:r>
        <w:rPr>
          <w:rFonts w:ascii="Times New Roman" w:hAnsi="Times New Roman" w:cs="Times New Roman"/>
          <w:sz w:val="22"/>
          <w:szCs w:val="22"/>
        </w:rPr>
        <w:tab/>
        <w:t>volatile fatty acid(s)</w:t>
      </w:r>
    </w:p>
    <w:p w14:paraId="2A15567E" w14:textId="77777777" w:rsidR="00EF65F1" w:rsidRDefault="00484A18">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14:paraId="0FA3DC9E" w14:textId="77777777" w:rsidR="00EF65F1" w:rsidRDefault="00484A18">
      <w:pPr>
        <w:pStyle w:val="Heading1"/>
        <w:numPr>
          <w:ilvl w:val="0"/>
          <w:numId w:val="0"/>
        </w:numPr>
        <w:spacing w:line="360" w:lineRule="auto"/>
        <w:jc w:val="center"/>
        <w:rPr>
          <w:rFonts w:ascii="Times New Roman" w:hAnsi="Times New Roman" w:cs="Times New Roman"/>
          <w:b/>
          <w:color w:val="auto"/>
          <w:sz w:val="28"/>
          <w:szCs w:val="28"/>
        </w:rPr>
      </w:pPr>
      <w:bookmarkStart w:id="7" w:name="_Toc2691107"/>
      <w:r>
        <w:rPr>
          <w:rFonts w:ascii="Times New Roman" w:hAnsi="Times New Roman" w:cs="Times New Roman"/>
          <w:b/>
          <w:color w:val="auto"/>
          <w:sz w:val="28"/>
          <w:szCs w:val="28"/>
        </w:rPr>
        <w:lastRenderedPageBreak/>
        <w:t>Declaration</w:t>
      </w:r>
      <w:bookmarkEnd w:id="7"/>
    </w:p>
    <w:p w14:paraId="1C535FC2" w14:textId="77777777" w:rsidR="00EF65F1" w:rsidRDefault="00EF65F1">
      <w:pPr>
        <w:rPr>
          <w:rFonts w:ascii="Times New Roman" w:hAnsi="Times New Roman" w:cs="Times New Roman"/>
          <w:sz w:val="22"/>
          <w:szCs w:val="22"/>
        </w:rPr>
      </w:pPr>
    </w:p>
    <w:p w14:paraId="458D5E75" w14:textId="77777777" w:rsidR="00EF65F1" w:rsidRDefault="00484A18">
      <w:p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I, Jenna May Davis declare that this dissertation, which I hereby submit for the degree MSc (Agric) Animal Science: Animal Nutrition at the University of Pretoria, is my own work and has not previously been submitted by me for a degree at this or any other tertiary institution. </w:t>
      </w:r>
    </w:p>
    <w:p w14:paraId="5B6D8532" w14:textId="77777777" w:rsidR="00EF65F1" w:rsidRDefault="00EF65F1">
      <w:pPr>
        <w:spacing w:after="0" w:line="360" w:lineRule="auto"/>
        <w:ind w:firstLine="567"/>
        <w:jc w:val="both"/>
        <w:rPr>
          <w:rFonts w:ascii="Times New Roman" w:hAnsi="Times New Roman" w:cs="Times New Roman"/>
          <w:sz w:val="22"/>
          <w:szCs w:val="22"/>
        </w:rPr>
      </w:pPr>
    </w:p>
    <w:p w14:paraId="139BAF13"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Signature: ……………………</w:t>
      </w:r>
    </w:p>
    <w:p w14:paraId="5698328F" w14:textId="77777777" w:rsidR="00EF65F1" w:rsidRDefault="00EF65F1">
      <w:pPr>
        <w:spacing w:after="0" w:line="360" w:lineRule="auto"/>
        <w:ind w:firstLine="567"/>
        <w:jc w:val="both"/>
        <w:rPr>
          <w:rFonts w:ascii="Times New Roman" w:hAnsi="Times New Roman" w:cs="Times New Roman"/>
          <w:sz w:val="22"/>
          <w:szCs w:val="22"/>
        </w:rPr>
      </w:pPr>
    </w:p>
    <w:p w14:paraId="27D87CCE" w14:textId="77777777" w:rsidR="00EF65F1" w:rsidRDefault="00484A18">
      <w:pPr>
        <w:spacing w:after="0" w:line="360" w:lineRule="auto"/>
        <w:ind w:firstLine="567"/>
        <w:jc w:val="both"/>
        <w:rPr>
          <w:rFonts w:ascii="Times New Roman" w:hAnsi="Times New Roman" w:cs="Times New Roman"/>
          <w:sz w:val="22"/>
          <w:szCs w:val="22"/>
        </w:rPr>
        <w:sectPr w:rsidR="00EF65F1">
          <w:footerReference w:type="default" r:id="rId11"/>
          <w:pgSz w:w="11906" w:h="16838"/>
          <w:pgMar w:top="1440" w:right="1440" w:bottom="1440" w:left="1440" w:header="708" w:footer="708" w:gutter="0"/>
          <w:pgNumType w:fmt="upperRoman"/>
          <w:cols w:space="708"/>
          <w:docGrid w:linePitch="360"/>
        </w:sectPr>
      </w:pPr>
      <w:r>
        <w:rPr>
          <w:rFonts w:ascii="Times New Roman" w:hAnsi="Times New Roman" w:cs="Times New Roman"/>
          <w:sz w:val="22"/>
          <w:szCs w:val="22"/>
        </w:rPr>
        <w:t>Date: …………………………</w:t>
      </w:r>
    </w:p>
    <w:p w14:paraId="3738B10B" w14:textId="77777777" w:rsidR="00EF65F1" w:rsidRDefault="00484A18">
      <w:pPr>
        <w:pStyle w:val="Heading1"/>
        <w:numPr>
          <w:ilvl w:val="0"/>
          <w:numId w:val="0"/>
        </w:numPr>
        <w:spacing w:line="360" w:lineRule="auto"/>
        <w:jc w:val="center"/>
        <w:rPr>
          <w:rFonts w:ascii="Times New Roman" w:hAnsi="Times New Roman" w:cs="Times New Roman"/>
          <w:b/>
          <w:color w:val="auto"/>
          <w:sz w:val="28"/>
          <w:szCs w:val="28"/>
        </w:rPr>
      </w:pPr>
      <w:bookmarkStart w:id="8" w:name="_Toc2691108"/>
      <w:r>
        <w:rPr>
          <w:rFonts w:ascii="Times New Roman" w:hAnsi="Times New Roman" w:cs="Times New Roman"/>
          <w:b/>
          <w:color w:val="auto"/>
          <w:sz w:val="28"/>
          <w:szCs w:val="28"/>
        </w:rPr>
        <w:lastRenderedPageBreak/>
        <w:t>Acknowledgements</w:t>
      </w:r>
      <w:bookmarkEnd w:id="8"/>
    </w:p>
    <w:p w14:paraId="14ECD468" w14:textId="77777777" w:rsidR="00EF65F1" w:rsidRDefault="00EF65F1">
      <w:pPr>
        <w:spacing w:after="0" w:line="360" w:lineRule="auto"/>
        <w:jc w:val="both"/>
        <w:rPr>
          <w:rFonts w:ascii="Times New Roman" w:hAnsi="Times New Roman" w:cs="Times New Roman"/>
          <w:sz w:val="22"/>
          <w:szCs w:val="22"/>
        </w:rPr>
      </w:pPr>
    </w:p>
    <w:p w14:paraId="5C9D525A" w14:textId="77777777" w:rsidR="00EF65F1" w:rsidRDefault="00484A18">
      <w:pPr>
        <w:spacing w:after="0" w:line="360" w:lineRule="auto"/>
        <w:jc w:val="both"/>
        <w:rPr>
          <w:rFonts w:ascii="Times New Roman" w:hAnsi="Times New Roman" w:cs="Times New Roman"/>
          <w:sz w:val="22"/>
          <w:szCs w:val="22"/>
        </w:rPr>
      </w:pPr>
      <w:r>
        <w:rPr>
          <w:rFonts w:ascii="Times New Roman" w:hAnsi="Times New Roman" w:cs="Times New Roman"/>
          <w:sz w:val="22"/>
          <w:szCs w:val="22"/>
        </w:rPr>
        <w:t>My sincere thanks to all the people and organisations that supported me for the duration of my MSc and made this opportunity possible:</w:t>
      </w:r>
    </w:p>
    <w:p w14:paraId="1A6D25DB" w14:textId="77777777" w:rsidR="00EF65F1" w:rsidRDefault="00EF65F1">
      <w:pPr>
        <w:spacing w:after="0" w:line="360" w:lineRule="auto"/>
        <w:jc w:val="both"/>
        <w:rPr>
          <w:rFonts w:ascii="Times New Roman" w:hAnsi="Times New Roman" w:cs="Times New Roman"/>
          <w:sz w:val="22"/>
          <w:szCs w:val="22"/>
        </w:rPr>
      </w:pPr>
    </w:p>
    <w:p w14:paraId="68521042"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My supervisor, Prof. Abubeker Hassen, for his guidance, patience and support for the duration of my postgraduate experience.  </w:t>
      </w:r>
    </w:p>
    <w:p w14:paraId="2F469BAE"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Mr. A.M. Akanmu for his guidance and advice in all stages of my dissertation. </w:t>
      </w:r>
    </w:p>
    <w:p w14:paraId="42CF24AC"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Dr T. E. D Mpanza for his assistance with training and advice.  </w:t>
      </w:r>
    </w:p>
    <w:p w14:paraId="1FBEB8BF"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The National Research Foundation* (NRF) for providing me with a bursary for the duration of my MSc, and covering the running cost of the research through the NRF grant provided to Prof. A. Hassen (Grant Number: 98903)</w:t>
      </w:r>
    </w:p>
    <w:p w14:paraId="72C23E31"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Walter Sisulu National Botanical Gardens for allowing me collect plant material from their gardens and specifically Andrew Hankey who helped with location and identification of the trees within the garden.</w:t>
      </w:r>
    </w:p>
    <w:p w14:paraId="20D8D098" w14:textId="77777777" w:rsidR="00EF65F1" w:rsidRDefault="00484A18">
      <w:pPr>
        <w:pStyle w:val="ListParagraph"/>
        <w:numPr>
          <w:ilvl w:val="0"/>
          <w:numId w:val="4"/>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My family for providing support and encouragement throughout my undergraduate and postgraduate degrees. </w:t>
      </w:r>
    </w:p>
    <w:p w14:paraId="38C7152F" w14:textId="77777777" w:rsidR="00EF65F1" w:rsidRDefault="00EF65F1">
      <w:pPr>
        <w:pStyle w:val="ListParagraph"/>
        <w:spacing w:after="0" w:line="360" w:lineRule="auto"/>
        <w:jc w:val="both"/>
        <w:rPr>
          <w:rFonts w:ascii="Times New Roman" w:hAnsi="Times New Roman" w:cs="Times New Roman"/>
          <w:sz w:val="22"/>
          <w:szCs w:val="22"/>
        </w:rPr>
      </w:pPr>
    </w:p>
    <w:p w14:paraId="48848E3B" w14:textId="77777777" w:rsidR="00EF65F1" w:rsidRDefault="00EF65F1">
      <w:pPr>
        <w:rPr>
          <w:rFonts w:ascii="Times New Roman" w:eastAsia="Times New Roman" w:hAnsi="Times New Roman" w:cs="Times New Roman"/>
          <w:b/>
          <w:sz w:val="28"/>
          <w:szCs w:val="28"/>
          <w:lang w:val="af-ZA" w:eastAsia="en-GB"/>
        </w:rPr>
      </w:pPr>
    </w:p>
    <w:p w14:paraId="20514554" w14:textId="77777777" w:rsidR="00EF65F1" w:rsidRDefault="00EF65F1">
      <w:pPr>
        <w:rPr>
          <w:rFonts w:ascii="Times New Roman" w:eastAsia="Times New Roman" w:hAnsi="Times New Roman" w:cs="Times New Roman"/>
          <w:b/>
          <w:sz w:val="28"/>
          <w:szCs w:val="28"/>
          <w:lang w:val="af-ZA" w:eastAsia="en-GB"/>
        </w:rPr>
      </w:pPr>
    </w:p>
    <w:p w14:paraId="68DD5D76" w14:textId="77777777" w:rsidR="00EF65F1" w:rsidRDefault="00EF65F1">
      <w:pPr>
        <w:rPr>
          <w:rFonts w:ascii="Times New Roman" w:eastAsia="Times New Roman" w:hAnsi="Times New Roman" w:cs="Times New Roman"/>
          <w:b/>
          <w:sz w:val="28"/>
          <w:szCs w:val="28"/>
          <w:lang w:val="af-ZA" w:eastAsia="en-GB"/>
        </w:rPr>
      </w:pPr>
    </w:p>
    <w:p w14:paraId="0F576FAE" w14:textId="77777777" w:rsidR="00EF65F1" w:rsidRDefault="00EF65F1">
      <w:pPr>
        <w:rPr>
          <w:rFonts w:ascii="Times New Roman" w:eastAsia="Times New Roman" w:hAnsi="Times New Roman" w:cs="Times New Roman"/>
          <w:b/>
          <w:sz w:val="28"/>
          <w:szCs w:val="28"/>
          <w:lang w:val="af-ZA" w:eastAsia="en-GB"/>
        </w:rPr>
      </w:pPr>
    </w:p>
    <w:p w14:paraId="28642AB2" w14:textId="77777777" w:rsidR="00EF65F1" w:rsidRDefault="00EF65F1">
      <w:pPr>
        <w:rPr>
          <w:rFonts w:ascii="Times New Roman" w:eastAsia="Times New Roman" w:hAnsi="Times New Roman" w:cs="Times New Roman"/>
          <w:b/>
          <w:sz w:val="28"/>
          <w:szCs w:val="28"/>
          <w:lang w:val="af-ZA" w:eastAsia="en-GB"/>
        </w:rPr>
      </w:pPr>
    </w:p>
    <w:p w14:paraId="25C6C941" w14:textId="77777777" w:rsidR="00EF65F1" w:rsidRDefault="00EF65F1">
      <w:pPr>
        <w:rPr>
          <w:rFonts w:ascii="Times New Roman" w:eastAsia="Times New Roman" w:hAnsi="Times New Roman" w:cs="Times New Roman"/>
          <w:b/>
          <w:sz w:val="28"/>
          <w:szCs w:val="28"/>
          <w:lang w:val="af-ZA" w:eastAsia="en-GB"/>
        </w:rPr>
      </w:pPr>
    </w:p>
    <w:p w14:paraId="56238D3E" w14:textId="77777777" w:rsidR="00EF65F1" w:rsidRDefault="00EF65F1">
      <w:pPr>
        <w:rPr>
          <w:rFonts w:ascii="Times New Roman" w:eastAsia="Times New Roman" w:hAnsi="Times New Roman" w:cs="Times New Roman"/>
          <w:b/>
          <w:sz w:val="28"/>
          <w:szCs w:val="28"/>
          <w:lang w:val="af-ZA" w:eastAsia="en-GB"/>
        </w:rPr>
      </w:pPr>
    </w:p>
    <w:p w14:paraId="2CEE5A11" w14:textId="77777777" w:rsidR="00EF65F1" w:rsidRDefault="00EF65F1">
      <w:pPr>
        <w:rPr>
          <w:rFonts w:ascii="Times New Roman" w:eastAsia="Times New Roman" w:hAnsi="Times New Roman" w:cs="Times New Roman"/>
          <w:b/>
          <w:sz w:val="28"/>
          <w:szCs w:val="28"/>
          <w:lang w:val="af-ZA" w:eastAsia="en-GB"/>
        </w:rPr>
      </w:pPr>
    </w:p>
    <w:p w14:paraId="4F021026" w14:textId="77777777" w:rsidR="00484A18" w:rsidRDefault="00484A18">
      <w:pPr>
        <w:rPr>
          <w:rFonts w:ascii="Times New Roman" w:eastAsia="Times New Roman" w:hAnsi="Times New Roman" w:cs="Times New Roman"/>
          <w:b/>
          <w:sz w:val="28"/>
          <w:szCs w:val="28"/>
          <w:lang w:val="af-ZA" w:eastAsia="en-GB"/>
        </w:rPr>
      </w:pPr>
    </w:p>
    <w:p w14:paraId="1D3250B5" w14:textId="77777777" w:rsidR="00EF65F1" w:rsidRDefault="00EF65F1">
      <w:pPr>
        <w:rPr>
          <w:rFonts w:ascii="Times New Roman" w:eastAsia="Times New Roman" w:hAnsi="Times New Roman" w:cs="Times New Roman"/>
          <w:b/>
          <w:sz w:val="28"/>
          <w:szCs w:val="28"/>
          <w:lang w:val="af-ZA" w:eastAsia="en-GB"/>
        </w:rPr>
      </w:pPr>
    </w:p>
    <w:p w14:paraId="2E4EED7F" w14:textId="77777777" w:rsidR="00EF65F1" w:rsidRDefault="00EF65F1">
      <w:pPr>
        <w:pBdr>
          <w:bottom w:val="single" w:sz="6" w:space="1" w:color="auto"/>
        </w:pBdr>
        <w:rPr>
          <w:rFonts w:ascii="Times New Roman" w:eastAsia="Times New Roman" w:hAnsi="Times New Roman" w:cs="Times New Roman"/>
          <w:b/>
          <w:sz w:val="28"/>
          <w:szCs w:val="28"/>
          <w:lang w:val="af-ZA" w:eastAsia="en-GB"/>
        </w:rPr>
      </w:pPr>
    </w:p>
    <w:p w14:paraId="24F9EE64" w14:textId="77777777" w:rsidR="00EF65F1" w:rsidRPr="00484A18" w:rsidRDefault="00484A18">
      <w:pPr>
        <w:rPr>
          <w:rFonts w:ascii="Times New Roman" w:eastAsia="Times New Roman" w:hAnsi="Times New Roman" w:cs="Times New Roman"/>
          <w:b/>
          <w:szCs w:val="20"/>
          <w:lang w:val="af-ZA" w:eastAsia="en-GB"/>
        </w:rPr>
      </w:pPr>
      <w:r w:rsidRPr="00484A18">
        <w:rPr>
          <w:rFonts w:ascii="Times New Roman" w:eastAsia="Times New Roman" w:hAnsi="Times New Roman" w:cs="Times New Roman"/>
          <w:szCs w:val="20"/>
          <w:lang w:val="af-ZA" w:eastAsia="en-GB"/>
        </w:rPr>
        <w:t>*The financial assistance of the National Research Foundation (NRF) towards this research is hereby acknowledged.  Opinions expressed and conclusions arrived at, are those of the author and are not necessarily to be attributed to the NRF.</w:t>
      </w:r>
      <w:r w:rsidRPr="00484A18">
        <w:rPr>
          <w:rFonts w:ascii="Times New Roman" w:eastAsia="Times New Roman" w:hAnsi="Times New Roman" w:cs="Times New Roman"/>
          <w:b/>
          <w:szCs w:val="20"/>
          <w:lang w:val="af-ZA" w:eastAsia="en-GB"/>
        </w:rPr>
        <w:br w:type="page"/>
      </w:r>
    </w:p>
    <w:p w14:paraId="233B3039" w14:textId="77777777" w:rsidR="00EF65F1" w:rsidRDefault="00484A18">
      <w:pPr>
        <w:spacing w:after="0" w:line="360" w:lineRule="auto"/>
        <w:jc w:val="center"/>
        <w:rPr>
          <w:rFonts w:ascii="Times New Roman" w:eastAsia="Times New Roman" w:hAnsi="Times New Roman" w:cs="Times New Roman"/>
          <w:b/>
          <w:bCs/>
          <w:sz w:val="28"/>
          <w:szCs w:val="28"/>
          <w:lang w:val="af-ZA" w:eastAsia="en-GB"/>
        </w:rPr>
      </w:pPr>
      <w:r>
        <w:rPr>
          <w:rFonts w:ascii="Times New Roman" w:eastAsia="Times New Roman" w:hAnsi="Times New Roman" w:cs="Times New Roman"/>
          <w:b/>
          <w:bCs/>
          <w:i/>
          <w:sz w:val="28"/>
          <w:szCs w:val="28"/>
          <w:lang w:val="af-ZA" w:eastAsia="en-GB"/>
        </w:rPr>
        <w:lastRenderedPageBreak/>
        <w:t>In vitro</w:t>
      </w:r>
      <w:r>
        <w:rPr>
          <w:rFonts w:ascii="Times New Roman" w:eastAsia="Times New Roman" w:hAnsi="Times New Roman" w:cs="Times New Roman"/>
          <w:b/>
          <w:bCs/>
          <w:sz w:val="28"/>
          <w:szCs w:val="28"/>
          <w:lang w:val="af-ZA" w:eastAsia="en-GB"/>
        </w:rPr>
        <w:t xml:space="preserve"> methane and gas production characteristics of </w:t>
      </w:r>
      <w:r>
        <w:rPr>
          <w:rFonts w:ascii="Times New Roman" w:eastAsia="Times New Roman" w:hAnsi="Times New Roman" w:cs="Times New Roman"/>
          <w:b/>
          <w:bCs/>
          <w:i/>
          <w:sz w:val="28"/>
          <w:szCs w:val="28"/>
          <w:lang w:val="af-ZA" w:eastAsia="en-GB"/>
        </w:rPr>
        <w:t xml:space="preserve">Eragrostis curvula </w:t>
      </w:r>
      <w:r>
        <w:rPr>
          <w:rFonts w:ascii="Times New Roman" w:eastAsia="Times New Roman" w:hAnsi="Times New Roman" w:cs="Times New Roman"/>
          <w:b/>
          <w:bCs/>
          <w:sz w:val="28"/>
          <w:szCs w:val="28"/>
          <w:lang w:val="af-ZA" w:eastAsia="en-GB"/>
        </w:rPr>
        <w:t>feed supplemented with seven South African plant extract additives</w:t>
      </w:r>
    </w:p>
    <w:p w14:paraId="30B5AF88" w14:textId="77777777" w:rsidR="00EF65F1" w:rsidRDefault="00EF65F1">
      <w:pPr>
        <w:spacing w:after="0" w:line="360" w:lineRule="auto"/>
        <w:jc w:val="center"/>
        <w:rPr>
          <w:rFonts w:ascii="Times New Roman" w:eastAsia="Times New Roman" w:hAnsi="Times New Roman" w:cs="Times New Roman"/>
          <w:b/>
          <w:bCs/>
          <w:sz w:val="22"/>
          <w:szCs w:val="22"/>
          <w:lang w:val="af-ZA" w:eastAsia="en-GB"/>
        </w:rPr>
      </w:pPr>
    </w:p>
    <w:p w14:paraId="451BD06B" w14:textId="77777777" w:rsidR="00EF65F1" w:rsidRDefault="00484A18">
      <w:pPr>
        <w:spacing w:after="0" w:line="360" w:lineRule="auto"/>
        <w:jc w:val="center"/>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by</w:t>
      </w:r>
    </w:p>
    <w:p w14:paraId="571774CF" w14:textId="77777777" w:rsidR="00EF65F1" w:rsidRDefault="00484A18">
      <w:pPr>
        <w:spacing w:after="0" w:line="360" w:lineRule="auto"/>
        <w:jc w:val="center"/>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Jenna May Davis</w:t>
      </w:r>
    </w:p>
    <w:p w14:paraId="39E8FE2B" w14:textId="77777777" w:rsidR="00EF65F1" w:rsidRDefault="00EF65F1">
      <w:pPr>
        <w:spacing w:after="0" w:line="360" w:lineRule="auto"/>
        <w:jc w:val="both"/>
        <w:rPr>
          <w:rFonts w:ascii="Times New Roman" w:eastAsia="Times New Roman" w:hAnsi="Times New Roman" w:cs="Times New Roman"/>
          <w:bCs/>
          <w:sz w:val="22"/>
          <w:szCs w:val="22"/>
          <w:lang w:val="af-ZA" w:eastAsia="en-GB"/>
        </w:rPr>
      </w:pPr>
    </w:p>
    <w:p w14:paraId="3A6B90B6"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Supervisor</w:t>
      </w:r>
      <w:r>
        <w:rPr>
          <w:rFonts w:ascii="Times New Roman" w:eastAsia="Times New Roman" w:hAnsi="Times New Roman" w:cs="Times New Roman"/>
          <w:bCs/>
          <w:sz w:val="22"/>
          <w:szCs w:val="22"/>
          <w:lang w:val="af-ZA" w:eastAsia="en-GB"/>
        </w:rPr>
        <w:tab/>
        <w:t>:</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Prof. A. Hassen</w:t>
      </w:r>
    </w:p>
    <w:p w14:paraId="4B9B6ED5"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Department</w:t>
      </w:r>
      <w:r>
        <w:rPr>
          <w:rFonts w:ascii="Times New Roman" w:eastAsia="Times New Roman" w:hAnsi="Times New Roman" w:cs="Times New Roman"/>
          <w:bCs/>
          <w:sz w:val="22"/>
          <w:szCs w:val="22"/>
          <w:lang w:val="af-ZA" w:eastAsia="en-GB"/>
        </w:rPr>
        <w:tab/>
        <w:t>:</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Animal and Wildlife Sciences</w:t>
      </w:r>
    </w:p>
    <w:p w14:paraId="24F7BD9E"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Faculty</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Natural and Agricultural Sciences</w:t>
      </w:r>
    </w:p>
    <w:p w14:paraId="4F3220E0"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University of Pretoria</w:t>
      </w:r>
    </w:p>
    <w:p w14:paraId="51242058"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South Africa</w:t>
      </w:r>
    </w:p>
    <w:p w14:paraId="71F9AA2E" w14:textId="77777777" w:rsidR="00EF65F1" w:rsidRDefault="00484A18">
      <w:pPr>
        <w:spacing w:after="0" w:line="360" w:lineRule="auto"/>
        <w:jc w:val="both"/>
        <w:rPr>
          <w:rFonts w:ascii="Times New Roman" w:eastAsia="Times New Roman" w:hAnsi="Times New Roman" w:cs="Times New Roman"/>
          <w:bCs/>
          <w:sz w:val="22"/>
          <w:szCs w:val="22"/>
          <w:lang w:val="af-ZA" w:eastAsia="en-GB"/>
        </w:rPr>
      </w:pPr>
      <w:r>
        <w:rPr>
          <w:rFonts w:ascii="Times New Roman" w:eastAsia="Times New Roman" w:hAnsi="Times New Roman" w:cs="Times New Roman"/>
          <w:bCs/>
          <w:sz w:val="22"/>
          <w:szCs w:val="22"/>
          <w:lang w:val="af-ZA" w:eastAsia="en-GB"/>
        </w:rPr>
        <w:t>Degree</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w:t>
      </w:r>
      <w:r>
        <w:rPr>
          <w:rFonts w:ascii="Times New Roman" w:eastAsia="Times New Roman" w:hAnsi="Times New Roman" w:cs="Times New Roman"/>
          <w:bCs/>
          <w:sz w:val="22"/>
          <w:szCs w:val="22"/>
          <w:lang w:val="af-ZA" w:eastAsia="en-GB"/>
        </w:rPr>
        <w:tab/>
      </w:r>
      <w:r>
        <w:rPr>
          <w:rFonts w:ascii="Times New Roman" w:eastAsia="Times New Roman" w:hAnsi="Times New Roman" w:cs="Times New Roman"/>
          <w:bCs/>
          <w:sz w:val="22"/>
          <w:szCs w:val="22"/>
          <w:lang w:val="af-ZA" w:eastAsia="en-GB"/>
        </w:rPr>
        <w:tab/>
        <w:t>MSc (Agric) Animal Science: Animal Nutrition</w:t>
      </w:r>
    </w:p>
    <w:p w14:paraId="12029B3A" w14:textId="77777777" w:rsidR="00EF65F1" w:rsidRDefault="00EF65F1">
      <w:pPr>
        <w:spacing w:after="0" w:line="360" w:lineRule="auto"/>
        <w:jc w:val="both"/>
        <w:rPr>
          <w:rFonts w:ascii="Times New Roman" w:eastAsia="Times New Roman" w:hAnsi="Times New Roman" w:cs="Times New Roman"/>
          <w:bCs/>
          <w:sz w:val="22"/>
          <w:szCs w:val="22"/>
          <w:lang w:val="af-ZA" w:eastAsia="en-GB"/>
        </w:rPr>
      </w:pPr>
    </w:p>
    <w:p w14:paraId="0909C4EF" w14:textId="77777777" w:rsidR="00EF65F1" w:rsidRDefault="00484A18">
      <w:pPr>
        <w:pStyle w:val="Heading1"/>
        <w:numPr>
          <w:ilvl w:val="0"/>
          <w:numId w:val="0"/>
        </w:numPr>
        <w:spacing w:before="0" w:line="360" w:lineRule="auto"/>
        <w:ind w:left="141"/>
        <w:jc w:val="center"/>
        <w:rPr>
          <w:rFonts w:ascii="Times New Roman" w:eastAsia="Times New Roman" w:hAnsi="Times New Roman" w:cs="Times New Roman"/>
          <w:b/>
          <w:color w:val="auto"/>
          <w:sz w:val="28"/>
          <w:szCs w:val="28"/>
          <w:lang w:val="af-ZA" w:eastAsia="en-GB"/>
        </w:rPr>
      </w:pPr>
      <w:bookmarkStart w:id="9" w:name="_Toc2691109"/>
      <w:r>
        <w:rPr>
          <w:rFonts w:ascii="Times New Roman" w:eastAsia="Times New Roman" w:hAnsi="Times New Roman" w:cs="Times New Roman"/>
          <w:b/>
          <w:color w:val="auto"/>
          <w:sz w:val="28"/>
          <w:szCs w:val="28"/>
          <w:lang w:val="af-ZA" w:eastAsia="en-GB"/>
        </w:rPr>
        <w:t>Summary</w:t>
      </w:r>
      <w:bookmarkEnd w:id="9"/>
    </w:p>
    <w:p w14:paraId="56D4B587" w14:textId="77777777" w:rsidR="00EF65F1" w:rsidRDefault="00EF65F1">
      <w:pPr>
        <w:spacing w:after="0" w:line="360" w:lineRule="auto"/>
        <w:rPr>
          <w:rFonts w:ascii="Times New Roman" w:hAnsi="Times New Roman" w:cs="Times New Roman"/>
          <w:sz w:val="22"/>
          <w:szCs w:val="22"/>
          <w:lang w:val="af-ZA" w:eastAsia="en-GB"/>
        </w:rPr>
      </w:pPr>
    </w:p>
    <w:p w14:paraId="3944D86E" w14:textId="77777777" w:rsidR="00EF65F1" w:rsidRDefault="00484A18">
      <w:pPr>
        <w:spacing w:line="360" w:lineRule="auto"/>
        <w:ind w:firstLine="567"/>
        <w:jc w:val="both"/>
        <w:rPr>
          <w:rFonts w:ascii="Times New Roman" w:hAnsi="Times New Roman" w:cs="Times New Roman"/>
          <w:sz w:val="22"/>
          <w:szCs w:val="22"/>
        </w:rPr>
      </w:pPr>
      <w:bookmarkStart w:id="10" w:name="_Hlk2673844"/>
      <w:bookmarkStart w:id="11" w:name="_Hlk2674017"/>
      <w:r>
        <w:rPr>
          <w:rFonts w:ascii="Times New Roman" w:eastAsia="Times New Roman" w:hAnsi="Times New Roman" w:cs="Times New Roman"/>
          <w:bCs/>
          <w:sz w:val="22"/>
          <w:szCs w:val="22"/>
          <w:lang w:val="af-ZA" w:eastAsia="en-GB"/>
        </w:rPr>
        <w:t xml:space="preserve">The search for alternative feed additives for ruminants became essential due to restrictions on the use of antibiotics and synthetic growth promoters in the livestock industry, as well as extensive pressure on the farmers to reduce methane emissions whilst maintaining production levels.  Plant extracts showed some potential to use them as additives in the ruminant feed industry mainly due to their ability to act as rumen modifiers by means of their secondary compound’s activity.  Secondary compounds may exert changes to the activities of the microbial population in the rumen, and such changes may lead to modifications of rumen fermentation characteristics and methane production.  </w:t>
      </w:r>
      <w:bookmarkEnd w:id="10"/>
      <w:r>
        <w:rPr>
          <w:rFonts w:ascii="Times New Roman" w:eastAsia="Times New Roman" w:hAnsi="Times New Roman" w:cs="Times New Roman"/>
          <w:bCs/>
          <w:sz w:val="22"/>
          <w:szCs w:val="22"/>
          <w:lang w:val="af-ZA" w:eastAsia="en-GB"/>
        </w:rPr>
        <w:t xml:space="preserve">The aim of this study was to screen extracts from seven South African plant species for their potential to modify rumen fermentation charactertics using </w:t>
      </w:r>
      <w:r>
        <w:rPr>
          <w:rFonts w:ascii="Times New Roman" w:eastAsia="Times New Roman" w:hAnsi="Times New Roman" w:cs="Times New Roman"/>
          <w:bCs/>
          <w:i/>
          <w:sz w:val="22"/>
          <w:szCs w:val="22"/>
          <w:lang w:val="af-ZA" w:eastAsia="en-GB"/>
        </w:rPr>
        <w:t xml:space="preserve">in vitro </w:t>
      </w:r>
      <w:r>
        <w:rPr>
          <w:rFonts w:ascii="Times New Roman" w:eastAsia="Times New Roman" w:hAnsi="Times New Roman" w:cs="Times New Roman"/>
          <w:bCs/>
          <w:sz w:val="22"/>
          <w:szCs w:val="22"/>
          <w:lang w:val="af-ZA" w:eastAsia="en-GB"/>
        </w:rPr>
        <w:t xml:space="preserve">techniques.  The plant species included in this study were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bookmarkEnd w:id="11"/>
      <w:r>
        <w:rPr>
          <w:rFonts w:ascii="Times New Roman" w:hAnsi="Times New Roman" w:cs="Times New Roman"/>
          <w:i/>
          <w:sz w:val="22"/>
          <w:szCs w:val="22"/>
        </w:rPr>
        <w:t xml:space="preserve"> </w:t>
      </w:r>
      <w:bookmarkStart w:id="12" w:name="_Hlk2674035"/>
      <w:r>
        <w:rPr>
          <w:rFonts w:ascii="Times New Roman" w:hAnsi="Times New Roman" w:cs="Times New Roman"/>
          <w:sz w:val="22"/>
          <w:szCs w:val="22"/>
        </w:rPr>
        <w:t xml:space="preserve">The plant extracts were first evaluated at a recommended dose level of 50 mg/kg DM for their effects on </w:t>
      </w:r>
      <w:r>
        <w:rPr>
          <w:rFonts w:ascii="Times New Roman" w:hAnsi="Times New Roman" w:cs="Times New Roman"/>
          <w:i/>
          <w:sz w:val="22"/>
          <w:szCs w:val="22"/>
        </w:rPr>
        <w:t>in vitro</w:t>
      </w:r>
      <w:r>
        <w:rPr>
          <w:rFonts w:ascii="Times New Roman" w:hAnsi="Times New Roman" w:cs="Times New Roman"/>
          <w:sz w:val="22"/>
          <w:szCs w:val="22"/>
        </w:rPr>
        <w:t xml:space="preserve"> gas production (mL), methane production (mL), rate of gas production (mL/hr) and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organic matter digestibility.  </w:t>
      </w:r>
      <w:bookmarkEnd w:id="12"/>
      <w:r>
        <w:rPr>
          <w:rFonts w:ascii="Times New Roman" w:hAnsi="Times New Roman" w:cs="Times New Roman"/>
          <w:sz w:val="22"/>
          <w:szCs w:val="22"/>
        </w:rPr>
        <w:t xml:space="preserve">Subsequently, the effect of dose level was evaluated by testing the seven plant extracts at 300 and 600 mg/kg DM.  In the first study, where plant extracts were tested at a recommended dose level of 50 mg/kg DM, plant extracts from </w:t>
      </w:r>
      <w:r>
        <w:rPr>
          <w:rFonts w:ascii="Times New Roman" w:hAnsi="Times New Roman" w:cs="Times New Roman"/>
          <w:i/>
          <w:sz w:val="22"/>
          <w:szCs w:val="22"/>
        </w:rPr>
        <w:t>C. erythrophyllum</w:t>
      </w:r>
      <w:r>
        <w:rPr>
          <w:rFonts w:ascii="Times New Roman" w:hAnsi="Times New Roman" w:cs="Times New Roman"/>
          <w:sz w:val="22"/>
          <w:szCs w:val="22"/>
        </w:rPr>
        <w:t xml:space="preserve">,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and </w:t>
      </w:r>
      <w:r>
        <w:rPr>
          <w:rFonts w:ascii="Times New Roman" w:hAnsi="Times New Roman" w:cs="Times New Roman"/>
          <w:i/>
          <w:sz w:val="22"/>
          <w:szCs w:val="22"/>
        </w:rPr>
        <w:t>H. lucida</w:t>
      </w:r>
      <w:r>
        <w:rPr>
          <w:rFonts w:ascii="Times New Roman" w:hAnsi="Times New Roman" w:cs="Times New Roman"/>
          <w:sz w:val="22"/>
          <w:szCs w:val="22"/>
        </w:rPr>
        <w:t xml:space="preserve"> significantly increased (P &lt; 0.05) the rate at which gas was produced.  In the second study, the seven plant extracts were tested at two higher dose levels of 300 and 600 mg/kg DM.  When compared to the negative control, plant extracts from </w:t>
      </w:r>
      <w:r>
        <w:rPr>
          <w:rFonts w:ascii="Times New Roman" w:hAnsi="Times New Roman" w:cs="Times New Roman"/>
          <w:i/>
          <w:sz w:val="22"/>
          <w:szCs w:val="22"/>
        </w:rPr>
        <w:t>E. lysistemon</w:t>
      </w:r>
      <w:r>
        <w:rPr>
          <w:rFonts w:ascii="Times New Roman" w:hAnsi="Times New Roman" w:cs="Times New Roman"/>
          <w:sz w:val="22"/>
          <w:szCs w:val="22"/>
        </w:rPr>
        <w:t xml:space="preserve">, used at both 300 and 600 mg/kg DM dose levels, depressed the volume of gas produced after 4 hours of incubation.  In contrast, plant extracts from </w:t>
      </w:r>
      <w:r>
        <w:rPr>
          <w:rFonts w:ascii="Times New Roman" w:hAnsi="Times New Roman" w:cs="Times New Roman"/>
          <w:i/>
          <w:sz w:val="22"/>
          <w:szCs w:val="22"/>
        </w:rPr>
        <w:t>S. chirindensis</w:t>
      </w:r>
      <w:r>
        <w:rPr>
          <w:rFonts w:ascii="Times New Roman" w:hAnsi="Times New Roman" w:cs="Times New Roman"/>
          <w:sz w:val="22"/>
          <w:szCs w:val="22"/>
        </w:rPr>
        <w:t xml:space="preserve"> increased the volume of gas produced (P &lt; 0.05) at a 300 mg/kg DM dose level at 4-, 8-, and 12- hours of incubation and at a 600 </w:t>
      </w:r>
      <w:r>
        <w:rPr>
          <w:rFonts w:ascii="Times New Roman" w:hAnsi="Times New Roman" w:cs="Times New Roman"/>
          <w:sz w:val="22"/>
          <w:szCs w:val="22"/>
        </w:rPr>
        <w:lastRenderedPageBreak/>
        <w:t xml:space="preserve">mg/kg DM dose level at 8- and 12 hours of incubation.  The IVOMD values were not significantly (P &gt; 0.05) affected by plant extract treatments when applied at a dose level of 50 mg/kg DM or at either 300 or 600 mg/kg DM dose levels.  Therefore, results from these two studies indicate that plant extracts from the species </w:t>
      </w:r>
      <w:r>
        <w:rPr>
          <w:rFonts w:ascii="Times New Roman" w:hAnsi="Times New Roman" w:cs="Times New Roman"/>
          <w:i/>
          <w:sz w:val="22"/>
          <w:szCs w:val="22"/>
        </w:rPr>
        <w:t>C. erythrophyllum</w:t>
      </w:r>
      <w:r>
        <w:rPr>
          <w:rFonts w:ascii="Times New Roman" w:hAnsi="Times New Roman" w:cs="Times New Roman"/>
          <w:sz w:val="22"/>
          <w:szCs w:val="22"/>
        </w:rPr>
        <w:t xml:space="preserve"> and </w:t>
      </w:r>
      <w:r>
        <w:rPr>
          <w:rFonts w:ascii="Times New Roman" w:hAnsi="Times New Roman" w:cs="Times New Roman"/>
          <w:i/>
          <w:sz w:val="22"/>
          <w:szCs w:val="22"/>
        </w:rPr>
        <w:t xml:space="preserve">H. lucida </w:t>
      </w:r>
      <w:r>
        <w:rPr>
          <w:rFonts w:ascii="Times New Roman" w:hAnsi="Times New Roman" w:cs="Times New Roman"/>
          <w:sz w:val="22"/>
          <w:szCs w:val="22"/>
        </w:rPr>
        <w:t xml:space="preserve">when used at 50 mg/kg DM dose level, and plant extract from </w:t>
      </w:r>
      <w:r>
        <w:rPr>
          <w:rFonts w:ascii="Times New Roman" w:hAnsi="Times New Roman" w:cs="Times New Roman"/>
          <w:i/>
          <w:sz w:val="22"/>
          <w:szCs w:val="22"/>
        </w:rPr>
        <w:t xml:space="preserve">S. chirindensis </w:t>
      </w:r>
      <w:r>
        <w:rPr>
          <w:rFonts w:ascii="Times New Roman" w:hAnsi="Times New Roman" w:cs="Times New Roman"/>
          <w:sz w:val="22"/>
          <w:szCs w:val="22"/>
        </w:rPr>
        <w:t>used at either 50 or 300 mg/kg DM dose levels showed good potential as additives in ruminant diets to improve the rate of gas production of poor-quality roughage-based diets which may improve energy availability to the ruminant.  However, further studies are recommended to refine the optimal dose rate of these plant extracts for the purpose of reducing methane production without negatively altering the digestibility and the volume of gas produced.</w:t>
      </w:r>
    </w:p>
    <w:p w14:paraId="212FCC61" w14:textId="77777777" w:rsidR="00EF65F1" w:rsidRDefault="00EF65F1">
      <w:pPr>
        <w:rPr>
          <w:rFonts w:ascii="Times New Roman" w:eastAsiaTheme="majorEastAsia" w:hAnsi="Times New Roman" w:cs="Times New Roman"/>
          <w:b/>
          <w:sz w:val="28"/>
          <w:szCs w:val="28"/>
        </w:rPr>
      </w:pPr>
    </w:p>
    <w:p w14:paraId="41C0659A" w14:textId="77777777" w:rsidR="00EF65F1" w:rsidRDefault="00EF65F1">
      <w:pPr>
        <w:rPr>
          <w:rFonts w:ascii="Times New Roman" w:eastAsiaTheme="majorEastAsia" w:hAnsi="Times New Roman" w:cs="Times New Roman"/>
          <w:b/>
          <w:sz w:val="28"/>
          <w:szCs w:val="28"/>
        </w:rPr>
        <w:sectPr w:rsidR="00EF65F1">
          <w:pgSz w:w="11906" w:h="16838" w:code="9"/>
          <w:pgMar w:top="1440" w:right="1440" w:bottom="1440" w:left="1440" w:header="567" w:footer="794" w:gutter="0"/>
          <w:pgNumType w:fmt="upperRoman"/>
          <w:cols w:space="708"/>
          <w:docGrid w:linePitch="360"/>
        </w:sectPr>
      </w:pPr>
    </w:p>
    <w:p w14:paraId="0D069FE9" w14:textId="77777777" w:rsidR="00EF65F1" w:rsidRDefault="00484A18">
      <w:pPr>
        <w:pStyle w:val="Heading1"/>
        <w:numPr>
          <w:ilvl w:val="0"/>
          <w:numId w:val="0"/>
        </w:numPr>
        <w:spacing w:before="0" w:line="360" w:lineRule="auto"/>
        <w:jc w:val="center"/>
        <w:rPr>
          <w:rFonts w:ascii="Times New Roman" w:hAnsi="Times New Roman" w:cs="Times New Roman"/>
          <w:b/>
          <w:color w:val="auto"/>
          <w:sz w:val="28"/>
          <w:szCs w:val="28"/>
        </w:rPr>
      </w:pPr>
      <w:bookmarkStart w:id="13" w:name="_Toc2691110"/>
      <w:r>
        <w:rPr>
          <w:rFonts w:ascii="Times New Roman" w:hAnsi="Times New Roman" w:cs="Times New Roman"/>
          <w:b/>
          <w:color w:val="auto"/>
          <w:sz w:val="28"/>
          <w:szCs w:val="28"/>
        </w:rPr>
        <w:lastRenderedPageBreak/>
        <w:t>General Introduction</w:t>
      </w:r>
      <w:bookmarkEnd w:id="13"/>
    </w:p>
    <w:p w14:paraId="523174C0" w14:textId="77777777" w:rsidR="00EF65F1" w:rsidRDefault="00EF65F1">
      <w:pPr>
        <w:spacing w:after="0" w:line="360" w:lineRule="auto"/>
        <w:rPr>
          <w:rFonts w:ascii="Times New Roman" w:hAnsi="Times New Roman" w:cs="Times New Roman"/>
          <w:sz w:val="22"/>
          <w:szCs w:val="22"/>
        </w:rPr>
      </w:pPr>
    </w:p>
    <w:p w14:paraId="4E58D20D" w14:textId="77777777" w:rsidR="00EF65F1" w:rsidRDefault="00484A18">
      <w:pPr>
        <w:spacing w:after="0" w:line="360" w:lineRule="auto"/>
        <w:ind w:firstLine="567"/>
        <w:jc w:val="both"/>
        <w:rPr>
          <w:rFonts w:ascii="Times New Roman" w:hAnsi="Times New Roman" w:cs="Times New Roman"/>
          <w:sz w:val="22"/>
          <w:szCs w:val="22"/>
        </w:rPr>
      </w:pPr>
      <w:bookmarkStart w:id="14" w:name="_Hlk2673954"/>
      <w:r>
        <w:rPr>
          <w:rFonts w:ascii="Times New Roman" w:hAnsi="Times New Roman" w:cs="Times New Roman"/>
          <w:sz w:val="22"/>
          <w:szCs w:val="22"/>
        </w:rPr>
        <w:t xml:space="preserve">Ruminants play an important role in food security due to their ability to utilise non-competitive feed resources, with respect to human food, to produce animal food products (McCann </w:t>
      </w:r>
      <w:r>
        <w:rPr>
          <w:rFonts w:ascii="Times New Roman" w:hAnsi="Times New Roman" w:cs="Times New Roman"/>
          <w:i/>
          <w:sz w:val="22"/>
          <w:szCs w:val="22"/>
        </w:rPr>
        <w:t>et al.</w:t>
      </w:r>
      <w:r>
        <w:rPr>
          <w:rFonts w:ascii="Times New Roman" w:hAnsi="Times New Roman" w:cs="Times New Roman"/>
          <w:sz w:val="22"/>
          <w:szCs w:val="22"/>
        </w:rPr>
        <w:t xml:space="preserve">, 2017; Akanmu &amp; Hassen, 2018).  Ruminant production is also beneficial as ruminants can utilise land that is unusable for crop production, provide manure for fertilisers (Rojas-Downing </w:t>
      </w:r>
      <w:r>
        <w:rPr>
          <w:rFonts w:ascii="Times New Roman" w:hAnsi="Times New Roman" w:cs="Times New Roman"/>
          <w:i/>
          <w:sz w:val="22"/>
          <w:szCs w:val="22"/>
        </w:rPr>
        <w:t>et al.</w:t>
      </w:r>
      <w:r>
        <w:rPr>
          <w:rFonts w:ascii="Times New Roman" w:hAnsi="Times New Roman" w:cs="Times New Roman"/>
          <w:sz w:val="22"/>
          <w:szCs w:val="22"/>
        </w:rPr>
        <w:t xml:space="preserve">, 2017) and their ability to produce high quality protein from poor quality feeds by means of the rumen microbe population (Cobellis </w:t>
      </w:r>
      <w:r>
        <w:rPr>
          <w:rFonts w:ascii="Times New Roman" w:hAnsi="Times New Roman" w:cs="Times New Roman"/>
          <w:i/>
          <w:sz w:val="22"/>
          <w:szCs w:val="22"/>
        </w:rPr>
        <w:t>et al.</w:t>
      </w:r>
      <w:r>
        <w:rPr>
          <w:rFonts w:ascii="Times New Roman" w:hAnsi="Times New Roman" w:cs="Times New Roman"/>
          <w:sz w:val="22"/>
          <w:szCs w:val="22"/>
        </w:rPr>
        <w:t xml:space="preserve">, 2016), makes them a favourable producer of animal protein (Akanmu &amp; Hassen, 2018).  However, the ruminant industry is under public and political pressure, mainly due to the increasing global concerns about the levels of greenhouse gas emissions from farm animals, especially ruminants, and the antibiotic resistance syndrome, largely brought about by the overuse of feed antibiotics used in the livestock industry.  Nevertheless, there is a growing need for increased livestock productivity to meet the global food requirements of an ever-growing world population, which in turn has resulted in the need to find alternative feed additives to replace antibiotics and other synthetic pharmaceuticals used in the animal industry as performance enhancers (Garcia-González </w:t>
      </w:r>
      <w:r>
        <w:rPr>
          <w:rFonts w:ascii="Times New Roman" w:hAnsi="Times New Roman" w:cs="Times New Roman"/>
          <w:i/>
          <w:sz w:val="22"/>
          <w:szCs w:val="22"/>
        </w:rPr>
        <w:t>et al.</w:t>
      </w:r>
      <w:r>
        <w:rPr>
          <w:rFonts w:ascii="Times New Roman" w:hAnsi="Times New Roman" w:cs="Times New Roman"/>
          <w:sz w:val="22"/>
          <w:szCs w:val="22"/>
        </w:rPr>
        <w:t>, 2008).</w:t>
      </w:r>
    </w:p>
    <w:bookmarkEnd w:id="14"/>
    <w:p w14:paraId="407F1091" w14:textId="77777777" w:rsidR="00EF65F1" w:rsidRDefault="00EF65F1">
      <w:pPr>
        <w:spacing w:after="0" w:line="360" w:lineRule="auto"/>
        <w:ind w:firstLine="567"/>
        <w:jc w:val="both"/>
        <w:rPr>
          <w:rFonts w:ascii="Times New Roman" w:hAnsi="Times New Roman" w:cs="Times New Roman"/>
          <w:sz w:val="22"/>
          <w:szCs w:val="22"/>
        </w:rPr>
      </w:pPr>
    </w:p>
    <w:p w14:paraId="65AB6E54" w14:textId="77777777" w:rsidR="00EF65F1" w:rsidRDefault="00484A18">
      <w:pPr>
        <w:spacing w:after="0" w:line="360" w:lineRule="auto"/>
        <w:ind w:firstLine="567"/>
        <w:jc w:val="both"/>
        <w:rPr>
          <w:rFonts w:ascii="Times New Roman" w:hAnsi="Times New Roman" w:cs="Times New Roman"/>
          <w:sz w:val="22"/>
          <w:szCs w:val="22"/>
        </w:rPr>
      </w:pPr>
      <w:bookmarkStart w:id="15" w:name="_Hlk2674125"/>
      <w:r>
        <w:rPr>
          <w:rFonts w:ascii="Times New Roman" w:hAnsi="Times New Roman" w:cs="Times New Roman"/>
          <w:sz w:val="22"/>
          <w:szCs w:val="22"/>
        </w:rPr>
        <w:t>Methane, CH</w:t>
      </w:r>
      <w:r>
        <w:rPr>
          <w:rFonts w:ascii="Times New Roman" w:hAnsi="Times New Roman" w:cs="Times New Roman"/>
          <w:sz w:val="22"/>
          <w:szCs w:val="22"/>
          <w:vertAlign w:val="subscript"/>
        </w:rPr>
        <w:t>4</w:t>
      </w:r>
      <w:r>
        <w:rPr>
          <w:rFonts w:ascii="Times New Roman" w:hAnsi="Times New Roman" w:cs="Times New Roman"/>
          <w:sz w:val="22"/>
          <w:szCs w:val="22"/>
        </w:rPr>
        <w:t>, is a greenhouse gas which has been identified as a significant contributor to global warming and is produced by ruminants primarily through enteric fermentation.  Ruminants contribute about 15% towards total global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(Patra &amp; Saxena, 2010), therefore, a reduction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by ruminants is required in order to reduce their impact on the environment (Zhong </w:t>
      </w:r>
      <w:r>
        <w:rPr>
          <w:rFonts w:ascii="Times New Roman" w:hAnsi="Times New Roman" w:cs="Times New Roman"/>
          <w:i/>
          <w:sz w:val="22"/>
          <w:szCs w:val="22"/>
        </w:rPr>
        <w:t>et al.</w:t>
      </w:r>
      <w:r>
        <w:rPr>
          <w:rFonts w:ascii="Times New Roman" w:hAnsi="Times New Roman" w:cs="Times New Roman"/>
          <w:sz w:val="22"/>
          <w:szCs w:val="22"/>
        </w:rPr>
        <w:t>, 2016).</w:t>
      </w:r>
      <w:bookmarkEnd w:id="15"/>
      <w:r>
        <w:rPr>
          <w:rFonts w:ascii="Times New Roman" w:hAnsi="Times New Roman" w:cs="Times New Roman"/>
          <w:sz w:val="22"/>
          <w:szCs w:val="22"/>
        </w:rPr>
        <w:t xml:space="preserve">  Public and political pressure is a driving factor for the agriculture sector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produced by livestock (Medjekal </w:t>
      </w:r>
      <w:r>
        <w:rPr>
          <w:rFonts w:ascii="Times New Roman" w:hAnsi="Times New Roman" w:cs="Times New Roman"/>
          <w:i/>
          <w:sz w:val="22"/>
          <w:szCs w:val="22"/>
        </w:rPr>
        <w:t>et al.</w:t>
      </w:r>
      <w:r>
        <w:rPr>
          <w:rFonts w:ascii="Times New Roman" w:hAnsi="Times New Roman" w:cs="Times New Roman"/>
          <w:sz w:val="22"/>
          <w:szCs w:val="22"/>
        </w:rPr>
        <w:t xml:space="preserve">, 2017).  This, in turn, will reduce the South Africa’s greenhouse gas budget (Soliva </w:t>
      </w:r>
      <w:r>
        <w:rPr>
          <w:rFonts w:ascii="Times New Roman" w:hAnsi="Times New Roman" w:cs="Times New Roman"/>
          <w:i/>
          <w:sz w:val="22"/>
          <w:szCs w:val="22"/>
        </w:rPr>
        <w:t>et al.</w:t>
      </w:r>
      <w:r>
        <w:rPr>
          <w:rFonts w:ascii="Times New Roman" w:hAnsi="Times New Roman" w:cs="Times New Roman"/>
          <w:sz w:val="22"/>
          <w:szCs w:val="22"/>
        </w:rPr>
        <w:t xml:space="preserve">, 2008).  South Africa has the highest level of greenhouse gas emissions on the continent, and due to its geographical position, the country is extremely vulnerable to the effects of climate change (Seymore </w:t>
      </w:r>
      <w:r>
        <w:rPr>
          <w:rFonts w:ascii="Times New Roman" w:hAnsi="Times New Roman" w:cs="Times New Roman"/>
          <w:i/>
          <w:sz w:val="22"/>
          <w:szCs w:val="22"/>
        </w:rPr>
        <w:t>et al.</w:t>
      </w:r>
      <w:r>
        <w:rPr>
          <w:rFonts w:ascii="Times New Roman" w:hAnsi="Times New Roman" w:cs="Times New Roman"/>
          <w:sz w:val="22"/>
          <w:szCs w:val="22"/>
        </w:rPr>
        <w:t xml:space="preserve">, 2014).  </w:t>
      </w:r>
    </w:p>
    <w:p w14:paraId="7CB47CAE" w14:textId="77777777" w:rsidR="00EF65F1" w:rsidRDefault="00EF65F1">
      <w:pPr>
        <w:spacing w:after="0" w:line="360" w:lineRule="auto"/>
        <w:ind w:firstLine="567"/>
        <w:jc w:val="both"/>
        <w:rPr>
          <w:rFonts w:ascii="Times New Roman" w:hAnsi="Times New Roman" w:cs="Times New Roman"/>
          <w:sz w:val="22"/>
          <w:szCs w:val="22"/>
        </w:rPr>
      </w:pPr>
    </w:p>
    <w:p w14:paraId="33201C31" w14:textId="77777777" w:rsidR="00EF65F1" w:rsidRDefault="00484A18">
      <w:pPr>
        <w:spacing w:after="0" w:line="360" w:lineRule="auto"/>
        <w:ind w:firstLine="567"/>
        <w:jc w:val="both"/>
        <w:rPr>
          <w:rFonts w:ascii="Times New Roman" w:hAnsi="Times New Roman" w:cs="Times New Roman"/>
          <w:sz w:val="22"/>
          <w:szCs w:val="22"/>
        </w:rPr>
      </w:pPr>
      <w:bookmarkStart w:id="16" w:name="_Hlk2674144"/>
      <w:r>
        <w:rPr>
          <w:rFonts w:ascii="Times New Roman" w:hAnsi="Times New Roman" w:cs="Times New Roman"/>
          <w:sz w:val="22"/>
          <w:szCs w:val="22"/>
        </w:rPr>
        <w:t xml:space="preserve">Microbes are responsible for rumen fermentation, thus any substance that can manipulate their activity in a favourable direction can potentially be used as a feed additive in ruminant production (Klevenhusen </w:t>
      </w:r>
      <w:r>
        <w:rPr>
          <w:rFonts w:ascii="Times New Roman" w:hAnsi="Times New Roman" w:cs="Times New Roman"/>
          <w:i/>
          <w:sz w:val="22"/>
          <w:szCs w:val="22"/>
        </w:rPr>
        <w:t>et al.</w:t>
      </w:r>
      <w:r>
        <w:rPr>
          <w:rFonts w:ascii="Times New Roman" w:hAnsi="Times New Roman" w:cs="Times New Roman"/>
          <w:sz w:val="22"/>
          <w:szCs w:val="22"/>
        </w:rPr>
        <w:t xml:space="preserve">, 2012).  Feed additives can be defined as “products used in animal nutrition for purposes of improving the quality of feed and the quality of food from animal origin, or to improve the animals’ performance and health” (Rochfort </w:t>
      </w:r>
      <w:r>
        <w:rPr>
          <w:rFonts w:ascii="Times New Roman" w:hAnsi="Times New Roman" w:cs="Times New Roman"/>
          <w:i/>
          <w:sz w:val="22"/>
          <w:szCs w:val="22"/>
        </w:rPr>
        <w:t>et al.</w:t>
      </w:r>
      <w:r>
        <w:rPr>
          <w:rFonts w:ascii="Times New Roman" w:hAnsi="Times New Roman" w:cs="Times New Roman"/>
          <w:sz w:val="22"/>
          <w:szCs w:val="22"/>
        </w:rPr>
        <w:t xml:space="preserve">, 2008).  This is typically achieved through modifications to the microbial ecology of the rumen such as the balance of microorganisms and/or their activity (McCann </w:t>
      </w:r>
      <w:r>
        <w:rPr>
          <w:rFonts w:ascii="Times New Roman" w:hAnsi="Times New Roman" w:cs="Times New Roman"/>
          <w:i/>
          <w:sz w:val="22"/>
          <w:szCs w:val="22"/>
        </w:rPr>
        <w:t>et al.</w:t>
      </w:r>
      <w:r>
        <w:rPr>
          <w:rFonts w:ascii="Times New Roman" w:hAnsi="Times New Roman" w:cs="Times New Roman"/>
          <w:sz w:val="22"/>
          <w:szCs w:val="22"/>
        </w:rPr>
        <w:t>, 2017).</w:t>
      </w:r>
    </w:p>
    <w:bookmarkEnd w:id="16"/>
    <w:p w14:paraId="71E65CBD" w14:textId="77777777" w:rsidR="00EF65F1" w:rsidRDefault="00EF65F1">
      <w:pPr>
        <w:spacing w:after="0" w:line="360" w:lineRule="auto"/>
        <w:ind w:firstLine="567"/>
        <w:jc w:val="both"/>
        <w:rPr>
          <w:rFonts w:ascii="Times New Roman" w:hAnsi="Times New Roman" w:cs="Times New Roman"/>
          <w:sz w:val="22"/>
          <w:szCs w:val="22"/>
        </w:rPr>
      </w:pPr>
    </w:p>
    <w:p w14:paraId="2D80AFCE" w14:textId="77777777" w:rsidR="00EF65F1" w:rsidRDefault="00484A18">
      <w:pPr>
        <w:spacing w:after="0" w:line="360" w:lineRule="auto"/>
        <w:ind w:firstLine="567"/>
        <w:jc w:val="both"/>
        <w:rPr>
          <w:rFonts w:ascii="Times New Roman" w:hAnsi="Times New Roman" w:cs="Times New Roman"/>
          <w:sz w:val="22"/>
          <w:szCs w:val="22"/>
        </w:rPr>
      </w:pPr>
      <w:bookmarkStart w:id="17" w:name="_Hlk2674179"/>
      <w:r>
        <w:rPr>
          <w:rFonts w:ascii="Times New Roman" w:hAnsi="Times New Roman" w:cs="Times New Roman"/>
          <w:sz w:val="22"/>
          <w:szCs w:val="22"/>
        </w:rPr>
        <w:t xml:space="preserve">Interest in bioactive secondary compounds found in plants as feed additives for livestock, has been promoted due to changing legislation on the use of feed additives traditionally fed as performance </w:t>
      </w:r>
      <w:r>
        <w:rPr>
          <w:rFonts w:ascii="Times New Roman" w:hAnsi="Times New Roman" w:cs="Times New Roman"/>
          <w:sz w:val="22"/>
          <w:szCs w:val="22"/>
        </w:rPr>
        <w:lastRenderedPageBreak/>
        <w:t xml:space="preserve">enhancers in livestock (Greathead, 2003; Würger </w:t>
      </w:r>
      <w:r>
        <w:rPr>
          <w:rFonts w:ascii="Times New Roman" w:hAnsi="Times New Roman" w:cs="Times New Roman"/>
          <w:i/>
          <w:sz w:val="22"/>
          <w:szCs w:val="22"/>
        </w:rPr>
        <w:t>et al.</w:t>
      </w:r>
      <w:r>
        <w:rPr>
          <w:rFonts w:ascii="Times New Roman" w:hAnsi="Times New Roman" w:cs="Times New Roman"/>
          <w:sz w:val="22"/>
          <w:szCs w:val="22"/>
        </w:rPr>
        <w:t xml:space="preserve">, 2014), most notably, the banning of growth promoting antibiotics (i.e. ionophores) by the European Nation in January 2006 (EU regulation no. 1831/2003 of the European Parliament and of the Council of 22 September 2003) (Jouany &amp; Morgavi, 2007; Hart </w:t>
      </w:r>
      <w:r>
        <w:rPr>
          <w:rFonts w:ascii="Times New Roman" w:hAnsi="Times New Roman" w:cs="Times New Roman"/>
          <w:i/>
          <w:sz w:val="22"/>
          <w:szCs w:val="22"/>
        </w:rPr>
        <w:t>et al.</w:t>
      </w:r>
      <w:r>
        <w:rPr>
          <w:rFonts w:ascii="Times New Roman" w:hAnsi="Times New Roman" w:cs="Times New Roman"/>
          <w:sz w:val="22"/>
          <w:szCs w:val="22"/>
        </w:rPr>
        <w:t xml:space="preserve">, 2008; Cattani </w:t>
      </w:r>
      <w:r>
        <w:rPr>
          <w:rFonts w:ascii="Times New Roman" w:hAnsi="Times New Roman" w:cs="Times New Roman"/>
          <w:i/>
          <w:sz w:val="22"/>
          <w:szCs w:val="22"/>
        </w:rPr>
        <w:t>et al.</w:t>
      </w:r>
      <w:r>
        <w:rPr>
          <w:rFonts w:ascii="Times New Roman" w:hAnsi="Times New Roman" w:cs="Times New Roman"/>
          <w:sz w:val="22"/>
          <w:szCs w:val="22"/>
        </w:rPr>
        <w:t xml:space="preserve">, 2016).  Overuse of antibiotics and/or synthetic antimicrobials is a factor that has been attributed to the increase in microbial resistance, which poses a direct threat to human and animal health globally, as common infections will become more difficult and expensive to treat (National Department of Health, South Africa, 2015c).  </w:t>
      </w:r>
      <w:bookmarkEnd w:id="17"/>
      <w:r>
        <w:rPr>
          <w:rFonts w:ascii="Times New Roman" w:hAnsi="Times New Roman" w:cs="Times New Roman"/>
          <w:sz w:val="22"/>
          <w:szCs w:val="22"/>
        </w:rPr>
        <w:t>Currently around 80% of global antibiotics are used in the aquaculture and agricultural industries to treat infections or as growth promoters (National Department of Health, South Africa, 2015b).  In order to reduce the prevalence of antibiotic resistance, national legislations across the globe should be implemented to ensure that antimicrobials are only used for therapeutic purposes within the livestock industry (National Department of Health, South Africa, 2015c).</w:t>
      </w:r>
    </w:p>
    <w:p w14:paraId="3CE5301A" w14:textId="77777777" w:rsidR="00EF65F1" w:rsidRDefault="00EF65F1">
      <w:pPr>
        <w:spacing w:after="0" w:line="360" w:lineRule="auto"/>
        <w:ind w:firstLine="567"/>
        <w:jc w:val="both"/>
        <w:rPr>
          <w:rFonts w:ascii="Times New Roman" w:hAnsi="Times New Roman" w:cs="Times New Roman"/>
          <w:sz w:val="22"/>
          <w:szCs w:val="22"/>
        </w:rPr>
      </w:pPr>
    </w:p>
    <w:p w14:paraId="3F732D1D"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Natural products, such as plant extracts, provide an extensive source of potential for development of new drugs and/or feed additives for animals (Rochfort </w:t>
      </w:r>
      <w:r>
        <w:rPr>
          <w:rFonts w:ascii="Times New Roman" w:hAnsi="Times New Roman" w:cs="Times New Roman"/>
          <w:i/>
          <w:sz w:val="22"/>
          <w:szCs w:val="22"/>
        </w:rPr>
        <w:t>et al.</w:t>
      </w:r>
      <w:r>
        <w:rPr>
          <w:rFonts w:ascii="Times New Roman" w:hAnsi="Times New Roman" w:cs="Times New Roman"/>
          <w:sz w:val="22"/>
          <w:szCs w:val="22"/>
        </w:rPr>
        <w:t xml:space="preserve">, 2008; Gárcia-González </w:t>
      </w:r>
      <w:r>
        <w:rPr>
          <w:rFonts w:ascii="Times New Roman" w:hAnsi="Times New Roman" w:cs="Times New Roman"/>
          <w:i/>
          <w:sz w:val="22"/>
          <w:szCs w:val="22"/>
        </w:rPr>
        <w:t>et al.</w:t>
      </w:r>
      <w:r>
        <w:rPr>
          <w:rFonts w:ascii="Times New Roman" w:hAnsi="Times New Roman" w:cs="Times New Roman"/>
          <w:sz w:val="22"/>
          <w:szCs w:val="22"/>
        </w:rPr>
        <w:t>, 2008).  For a compound to be considered an effective replacement/alternative to antibiotics, it should have the ability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without reducing the digestibility and/or without inhibiting output of desirable rumen fermentation products e.g. volatile fatty acid production (Cattani </w:t>
      </w:r>
      <w:r>
        <w:rPr>
          <w:rFonts w:ascii="Times New Roman" w:hAnsi="Times New Roman" w:cs="Times New Roman"/>
          <w:i/>
          <w:sz w:val="22"/>
          <w:szCs w:val="22"/>
        </w:rPr>
        <w:t>et al.</w:t>
      </w:r>
      <w:r>
        <w:rPr>
          <w:rFonts w:ascii="Times New Roman" w:hAnsi="Times New Roman" w:cs="Times New Roman"/>
          <w:sz w:val="22"/>
          <w:szCs w:val="22"/>
        </w:rPr>
        <w:t xml:space="preserve">, 2016).  Plant secondary compounds have been shown to improve several production parameters including feed intake, wool growth, general growth and carcass composition (Rochfort </w:t>
      </w:r>
      <w:r>
        <w:rPr>
          <w:rFonts w:ascii="Times New Roman" w:hAnsi="Times New Roman" w:cs="Times New Roman"/>
          <w:i/>
          <w:sz w:val="22"/>
          <w:szCs w:val="22"/>
        </w:rPr>
        <w:t>et al.</w:t>
      </w:r>
      <w:r>
        <w:rPr>
          <w:rFonts w:ascii="Times New Roman" w:hAnsi="Times New Roman" w:cs="Times New Roman"/>
          <w:sz w:val="22"/>
          <w:szCs w:val="22"/>
        </w:rPr>
        <w:t xml:space="preserve">, 2008), and can have a positive effect on rumen fermentation (Cattani </w:t>
      </w:r>
      <w:r>
        <w:rPr>
          <w:rFonts w:ascii="Times New Roman" w:hAnsi="Times New Roman" w:cs="Times New Roman"/>
          <w:i/>
          <w:sz w:val="22"/>
          <w:szCs w:val="22"/>
        </w:rPr>
        <w:t>et al.</w:t>
      </w:r>
      <w:r>
        <w:rPr>
          <w:rFonts w:ascii="Times New Roman" w:hAnsi="Times New Roman" w:cs="Times New Roman"/>
          <w:sz w:val="22"/>
          <w:szCs w:val="22"/>
        </w:rPr>
        <w:t xml:space="preserve">, 2016).  Consumer perception of the use of natural feed additives is likely to be positive, due to the perceived idea that ‘natural’ is better and has stimulated a demand for these products (Greathead, 2003; Martin </w:t>
      </w:r>
      <w:r>
        <w:rPr>
          <w:rFonts w:ascii="Times New Roman" w:hAnsi="Times New Roman" w:cs="Times New Roman"/>
          <w:i/>
          <w:sz w:val="22"/>
          <w:szCs w:val="22"/>
        </w:rPr>
        <w:t>et al.</w:t>
      </w:r>
      <w:r>
        <w:rPr>
          <w:rFonts w:ascii="Times New Roman" w:hAnsi="Times New Roman" w:cs="Times New Roman"/>
          <w:sz w:val="22"/>
          <w:szCs w:val="22"/>
        </w:rPr>
        <w:t xml:space="preserve">, 2010; Arowolo &amp; He, 2018).  Plant extracts are generally considered safe for human consumption (Busquet </w:t>
      </w:r>
      <w:r>
        <w:rPr>
          <w:rFonts w:ascii="Times New Roman" w:hAnsi="Times New Roman" w:cs="Times New Roman"/>
          <w:i/>
          <w:sz w:val="22"/>
          <w:szCs w:val="22"/>
        </w:rPr>
        <w:t>et al.</w:t>
      </w:r>
      <w:r>
        <w:rPr>
          <w:rFonts w:ascii="Times New Roman" w:hAnsi="Times New Roman" w:cs="Times New Roman"/>
          <w:sz w:val="22"/>
          <w:szCs w:val="22"/>
        </w:rPr>
        <w:t xml:space="preserve">, 2006; Bodas </w:t>
      </w:r>
      <w:r>
        <w:rPr>
          <w:rFonts w:ascii="Times New Roman" w:hAnsi="Times New Roman" w:cs="Times New Roman"/>
          <w:i/>
          <w:sz w:val="22"/>
          <w:szCs w:val="22"/>
        </w:rPr>
        <w:t>et al.</w:t>
      </w:r>
      <w:r>
        <w:rPr>
          <w:rFonts w:ascii="Times New Roman" w:hAnsi="Times New Roman" w:cs="Times New Roman"/>
          <w:sz w:val="22"/>
          <w:szCs w:val="22"/>
        </w:rPr>
        <w:t>, 2008).</w:t>
      </w:r>
    </w:p>
    <w:p w14:paraId="409678F1" w14:textId="77777777" w:rsidR="00EF65F1" w:rsidRDefault="00EF65F1">
      <w:pPr>
        <w:spacing w:after="0" w:line="360" w:lineRule="auto"/>
        <w:ind w:firstLine="567"/>
        <w:jc w:val="both"/>
        <w:rPr>
          <w:rFonts w:ascii="Times New Roman" w:hAnsi="Times New Roman" w:cs="Times New Roman"/>
          <w:sz w:val="22"/>
          <w:szCs w:val="22"/>
        </w:rPr>
      </w:pPr>
    </w:p>
    <w:p w14:paraId="67AA935C" w14:textId="77777777" w:rsidR="00EF65F1" w:rsidRDefault="00484A18">
      <w:pPr>
        <w:spacing w:after="0" w:line="360" w:lineRule="auto"/>
        <w:ind w:firstLine="567"/>
        <w:jc w:val="both"/>
        <w:rPr>
          <w:rFonts w:ascii="Times New Roman" w:hAnsi="Times New Roman" w:cs="Times New Roman"/>
          <w:sz w:val="22"/>
          <w:szCs w:val="22"/>
        </w:rPr>
      </w:pPr>
      <w:bookmarkStart w:id="18" w:name="_Hlk2674223"/>
      <w:r>
        <w:rPr>
          <w:rFonts w:ascii="Times New Roman" w:hAnsi="Times New Roman" w:cs="Times New Roman"/>
          <w:sz w:val="22"/>
          <w:szCs w:val="22"/>
        </w:rPr>
        <w:t xml:space="preserve">Southern Africa has an extensive biodiversity of plants with over 30 000 species, with around 3000 of them being used for traditional medicinal purposes (van Vuuren, 2008; van Wyk </w:t>
      </w:r>
      <w:r>
        <w:rPr>
          <w:rFonts w:ascii="Times New Roman" w:hAnsi="Times New Roman" w:cs="Times New Roman"/>
          <w:i/>
          <w:sz w:val="22"/>
          <w:szCs w:val="22"/>
        </w:rPr>
        <w:t>et al.</w:t>
      </w:r>
      <w:r>
        <w:rPr>
          <w:rFonts w:ascii="Times New Roman" w:hAnsi="Times New Roman" w:cs="Times New Roman"/>
          <w:sz w:val="22"/>
          <w:szCs w:val="22"/>
        </w:rPr>
        <w:t xml:space="preserve">, 2013).  Among plant species there is a huge variety in the type, structure and number of secondary compounds contained, as well as differences in the interactions between compounds (Greathead, 2003), and these features will influence the plants activity and its ability to modulate rumen fermentation.  The wide variety of plant secondary compounds, as well as the molecular diversity within compounds, supplies researchers with an opportunity to investigate beneficial plants with the potential to identify new active compounds to be used as performance enhancers in ruminants (Hassen </w:t>
      </w:r>
      <w:r>
        <w:rPr>
          <w:rFonts w:ascii="Times New Roman" w:hAnsi="Times New Roman" w:cs="Times New Roman"/>
          <w:i/>
          <w:sz w:val="22"/>
          <w:szCs w:val="22"/>
        </w:rPr>
        <w:t>et al.</w:t>
      </w:r>
      <w:r>
        <w:rPr>
          <w:rFonts w:ascii="Times New Roman" w:hAnsi="Times New Roman" w:cs="Times New Roman"/>
          <w:sz w:val="22"/>
          <w:szCs w:val="22"/>
        </w:rPr>
        <w:t xml:space="preserve">, 2016; Bodas </w:t>
      </w:r>
      <w:r>
        <w:rPr>
          <w:rFonts w:ascii="Times New Roman" w:hAnsi="Times New Roman" w:cs="Times New Roman"/>
          <w:i/>
          <w:sz w:val="22"/>
          <w:szCs w:val="22"/>
        </w:rPr>
        <w:t>et al.</w:t>
      </w:r>
      <w:r>
        <w:rPr>
          <w:rFonts w:ascii="Times New Roman" w:hAnsi="Times New Roman" w:cs="Times New Roman"/>
          <w:sz w:val="22"/>
          <w:szCs w:val="22"/>
        </w:rPr>
        <w:t>, 2008).  Rural communities in South Africa have incorporated plants into traditional medicines for years, for treatment of both people and livestock for a multitude of sicknesses and disorders, and this knowledge should guide one in selecting plants to screen for potential feed additives for ruminants (Masika &amp; Afolayan, 2002).</w:t>
      </w:r>
    </w:p>
    <w:bookmarkEnd w:id="18"/>
    <w:p w14:paraId="15E41A26" w14:textId="77777777" w:rsidR="00EF65F1" w:rsidRDefault="00EF65F1">
      <w:pPr>
        <w:spacing w:after="0" w:line="360" w:lineRule="auto"/>
        <w:ind w:firstLine="567"/>
        <w:jc w:val="both"/>
        <w:rPr>
          <w:rFonts w:ascii="Times New Roman" w:hAnsi="Times New Roman" w:cs="Times New Roman"/>
          <w:sz w:val="22"/>
          <w:szCs w:val="22"/>
        </w:rPr>
      </w:pPr>
    </w:p>
    <w:p w14:paraId="6ACBE298" w14:textId="77777777" w:rsidR="00EF65F1" w:rsidRDefault="00484A18">
      <w:pPr>
        <w:spacing w:after="0" w:line="360" w:lineRule="auto"/>
        <w:ind w:firstLine="567"/>
        <w:jc w:val="both"/>
        <w:rPr>
          <w:rFonts w:ascii="Times New Roman" w:hAnsi="Times New Roman" w:cs="Times New Roman"/>
          <w:sz w:val="22"/>
          <w:szCs w:val="22"/>
        </w:rPr>
      </w:pPr>
      <w:bookmarkStart w:id="19" w:name="_Hlk2674232"/>
      <w:r>
        <w:rPr>
          <w:rFonts w:ascii="Times New Roman" w:hAnsi="Times New Roman" w:cs="Times New Roman"/>
          <w:sz w:val="22"/>
          <w:szCs w:val="22"/>
        </w:rPr>
        <w:t xml:space="preserve">The main objective of this study was to screen extracts from seven South African plants that have documented secondary compounds in an attempt to identify plant extracts that could potentially be used as feed additives to modulate rumen fermentation and increase the efficiency of rumen microbial fermentation.  The specific objectives were to investigate, through </w:t>
      </w:r>
      <w:r>
        <w:rPr>
          <w:rFonts w:ascii="Times New Roman" w:hAnsi="Times New Roman" w:cs="Times New Roman"/>
          <w:i/>
          <w:sz w:val="22"/>
          <w:szCs w:val="22"/>
        </w:rPr>
        <w:t xml:space="preserve">in vitro </w:t>
      </w:r>
      <w:r>
        <w:rPr>
          <w:rFonts w:ascii="Times New Roman" w:hAnsi="Times New Roman" w:cs="Times New Roman"/>
          <w:sz w:val="22"/>
          <w:szCs w:val="22"/>
        </w:rPr>
        <w:t>studies, the effects of plant extracts from seven plant species on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organic matter digestibility in order to reveal their potential as rumen modifiers.  </w:t>
      </w:r>
    </w:p>
    <w:bookmarkEnd w:id="19"/>
    <w:p w14:paraId="2AC0C34D" w14:textId="77777777" w:rsidR="00EF65F1" w:rsidRDefault="00484A18">
      <w:pPr>
        <w:rPr>
          <w:rFonts w:ascii="Times New Roman" w:hAnsi="Times New Roman" w:cs="Times New Roman"/>
          <w:sz w:val="22"/>
          <w:szCs w:val="22"/>
        </w:rPr>
      </w:pPr>
      <w:r>
        <w:rPr>
          <w:rFonts w:ascii="Times New Roman" w:hAnsi="Times New Roman" w:cs="Times New Roman"/>
          <w:sz w:val="22"/>
          <w:szCs w:val="22"/>
        </w:rPr>
        <w:br w:type="page"/>
      </w:r>
    </w:p>
    <w:p w14:paraId="401131F8" w14:textId="77777777" w:rsidR="00EF65F1" w:rsidRDefault="00484A18">
      <w:pPr>
        <w:pStyle w:val="Heading1"/>
        <w:jc w:val="center"/>
        <w:rPr>
          <w:rFonts w:ascii="Times New Roman" w:hAnsi="Times New Roman" w:cs="Times New Roman"/>
          <w:b/>
          <w:color w:val="auto"/>
          <w:sz w:val="28"/>
          <w:szCs w:val="28"/>
        </w:rPr>
      </w:pPr>
      <w:bookmarkStart w:id="20" w:name="_Toc2691111"/>
      <w:r>
        <w:rPr>
          <w:rFonts w:ascii="Times New Roman" w:hAnsi="Times New Roman" w:cs="Times New Roman"/>
          <w:b/>
          <w:color w:val="auto"/>
          <w:sz w:val="28"/>
          <w:szCs w:val="28"/>
        </w:rPr>
        <w:lastRenderedPageBreak/>
        <w:t>Literature review</w:t>
      </w:r>
      <w:bookmarkEnd w:id="20"/>
    </w:p>
    <w:p w14:paraId="6EB6DE7E" w14:textId="77777777" w:rsidR="00EF65F1" w:rsidRDefault="00EF65F1">
      <w:pPr>
        <w:spacing w:after="0" w:line="360" w:lineRule="auto"/>
        <w:ind w:firstLine="567"/>
        <w:contextualSpacing/>
        <w:rPr>
          <w:rFonts w:ascii="Times New Roman" w:hAnsi="Times New Roman" w:cs="Times New Roman"/>
          <w:sz w:val="22"/>
          <w:szCs w:val="22"/>
        </w:rPr>
      </w:pPr>
    </w:p>
    <w:p w14:paraId="78827B16"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21" w:name="_Toc2691112"/>
      <w:r>
        <w:rPr>
          <w:rFonts w:ascii="Times New Roman" w:hAnsi="Times New Roman" w:cs="Times New Roman"/>
          <w:b/>
          <w:color w:val="auto"/>
          <w:sz w:val="24"/>
          <w:szCs w:val="24"/>
        </w:rPr>
        <w:t>Overview</w:t>
      </w:r>
      <w:bookmarkEnd w:id="21"/>
    </w:p>
    <w:p w14:paraId="40B8E9D0" w14:textId="77777777" w:rsidR="00EF65F1" w:rsidRDefault="00EF65F1">
      <w:pPr>
        <w:spacing w:after="0" w:line="360" w:lineRule="auto"/>
        <w:ind w:firstLine="567"/>
        <w:contextualSpacing/>
        <w:jc w:val="both"/>
        <w:rPr>
          <w:rFonts w:ascii="Times New Roman" w:hAnsi="Times New Roman" w:cs="Times New Roman"/>
          <w:sz w:val="22"/>
          <w:szCs w:val="22"/>
        </w:rPr>
      </w:pPr>
    </w:p>
    <w:p w14:paraId="10EE9CEB"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22" w:name="_Hlk530497080"/>
      <w:r>
        <w:rPr>
          <w:rFonts w:ascii="Times New Roman" w:hAnsi="Times New Roman" w:cs="Times New Roman"/>
          <w:sz w:val="22"/>
          <w:szCs w:val="22"/>
        </w:rPr>
        <w:t xml:space="preserve">Many medicinal plants contain secondary compounds that have antimicrobial properties as a means of defence for the plants against microbial attack and predators (Martini </w:t>
      </w:r>
      <w:r>
        <w:rPr>
          <w:rFonts w:ascii="Times New Roman" w:hAnsi="Times New Roman" w:cs="Times New Roman"/>
          <w:i/>
          <w:sz w:val="22"/>
          <w:szCs w:val="22"/>
        </w:rPr>
        <w:t>et al.</w:t>
      </w:r>
      <w:r>
        <w:rPr>
          <w:rFonts w:ascii="Times New Roman" w:hAnsi="Times New Roman" w:cs="Times New Roman"/>
          <w:sz w:val="22"/>
          <w:szCs w:val="22"/>
        </w:rPr>
        <w:t xml:space="preserve">, 2004; van Wyk </w:t>
      </w:r>
      <w:r>
        <w:rPr>
          <w:rFonts w:ascii="Times New Roman" w:hAnsi="Times New Roman" w:cs="Times New Roman"/>
          <w:i/>
          <w:sz w:val="22"/>
          <w:szCs w:val="22"/>
        </w:rPr>
        <w:t>et al.</w:t>
      </w:r>
      <w:r>
        <w:rPr>
          <w:rFonts w:ascii="Times New Roman" w:hAnsi="Times New Roman" w:cs="Times New Roman"/>
          <w:sz w:val="22"/>
          <w:szCs w:val="22"/>
        </w:rPr>
        <w:t xml:space="preserve">, 2013; Kumar </w:t>
      </w:r>
      <w:r>
        <w:rPr>
          <w:rFonts w:ascii="Times New Roman" w:hAnsi="Times New Roman" w:cs="Times New Roman"/>
          <w:i/>
          <w:sz w:val="22"/>
          <w:szCs w:val="22"/>
        </w:rPr>
        <w:t>et al.</w:t>
      </w:r>
      <w:r>
        <w:rPr>
          <w:rFonts w:ascii="Times New Roman" w:hAnsi="Times New Roman" w:cs="Times New Roman"/>
          <w:sz w:val="22"/>
          <w:szCs w:val="22"/>
        </w:rPr>
        <w:t>, 2014;</w:t>
      </w:r>
      <w:r>
        <w:rPr>
          <w:rFonts w:ascii="Times New Roman" w:hAnsi="Times New Roman" w:cs="Times New Roman"/>
          <w:i/>
          <w:sz w:val="22"/>
          <w:szCs w:val="22"/>
        </w:rPr>
        <w:t xml:space="preserve"> </w:t>
      </w:r>
      <w:r>
        <w:rPr>
          <w:rFonts w:ascii="Times New Roman" w:hAnsi="Times New Roman" w:cs="Times New Roman"/>
          <w:sz w:val="22"/>
          <w:szCs w:val="22"/>
        </w:rPr>
        <w:t xml:space="preserve">Arowolo &amp; He, 2018).  </w:t>
      </w:r>
      <w:bookmarkStart w:id="23" w:name="_Hlk2674302"/>
      <w:r>
        <w:rPr>
          <w:rFonts w:ascii="Times New Roman" w:hAnsi="Times New Roman" w:cs="Times New Roman"/>
          <w:sz w:val="22"/>
          <w:szCs w:val="22"/>
        </w:rPr>
        <w:t xml:space="preserve">This antimicrobial activity has been attributed to secondary compounds such as saponins, essential oils and phenolic compounds (Bodas </w:t>
      </w:r>
      <w:r>
        <w:rPr>
          <w:rFonts w:ascii="Times New Roman" w:hAnsi="Times New Roman" w:cs="Times New Roman"/>
          <w:i/>
          <w:sz w:val="22"/>
          <w:szCs w:val="22"/>
        </w:rPr>
        <w:t>et al.</w:t>
      </w:r>
      <w:r>
        <w:rPr>
          <w:rFonts w:ascii="Times New Roman" w:hAnsi="Times New Roman" w:cs="Times New Roman"/>
          <w:sz w:val="22"/>
          <w:szCs w:val="22"/>
        </w:rPr>
        <w:t xml:space="preserve">, 2008).  </w:t>
      </w:r>
      <w:bookmarkEnd w:id="23"/>
      <w:r>
        <w:rPr>
          <w:rFonts w:ascii="Times New Roman" w:hAnsi="Times New Roman" w:cs="Times New Roman"/>
          <w:sz w:val="22"/>
          <w:szCs w:val="22"/>
        </w:rPr>
        <w:t xml:space="preserve">Certain rumen microbial species may be affected by these antimicrobial characteristics, in a positive or negative manner, thereby altering the microbial population diversity within the rumen (Durmic </w:t>
      </w:r>
      <w:r>
        <w:rPr>
          <w:rFonts w:ascii="Times New Roman" w:hAnsi="Times New Roman" w:cs="Times New Roman"/>
          <w:i/>
          <w:sz w:val="22"/>
          <w:szCs w:val="22"/>
        </w:rPr>
        <w:t>et al.</w:t>
      </w:r>
      <w:r>
        <w:rPr>
          <w:rFonts w:ascii="Times New Roman" w:hAnsi="Times New Roman" w:cs="Times New Roman"/>
          <w:sz w:val="22"/>
          <w:szCs w:val="22"/>
        </w:rPr>
        <w:t xml:space="preserve">, 2010; Kim </w:t>
      </w:r>
      <w:r>
        <w:rPr>
          <w:rFonts w:ascii="Times New Roman" w:hAnsi="Times New Roman" w:cs="Times New Roman"/>
          <w:i/>
          <w:sz w:val="22"/>
          <w:szCs w:val="22"/>
        </w:rPr>
        <w:t>et al.</w:t>
      </w:r>
      <w:r>
        <w:rPr>
          <w:rFonts w:ascii="Times New Roman" w:hAnsi="Times New Roman" w:cs="Times New Roman"/>
          <w:sz w:val="22"/>
          <w:szCs w:val="22"/>
        </w:rPr>
        <w:t>, 2013).  Therefore, these plant secondary compounds can potentially be used to alter both the digestive and metabolic processes in the animal in a positive manner.  This includes, for example, increasing feed utilisation, decreasing 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(Bodas </w:t>
      </w:r>
      <w:r>
        <w:rPr>
          <w:rFonts w:ascii="Times New Roman" w:hAnsi="Times New Roman" w:cs="Times New Roman"/>
          <w:i/>
          <w:sz w:val="22"/>
          <w:szCs w:val="22"/>
        </w:rPr>
        <w:t>et al.</w:t>
      </w:r>
      <w:r>
        <w:rPr>
          <w:rFonts w:ascii="Times New Roman" w:hAnsi="Times New Roman" w:cs="Times New Roman"/>
          <w:sz w:val="22"/>
          <w:szCs w:val="22"/>
        </w:rPr>
        <w:t xml:space="preserve">, 2008; Gárcia-González </w:t>
      </w:r>
      <w:r>
        <w:rPr>
          <w:rFonts w:ascii="Times New Roman" w:hAnsi="Times New Roman" w:cs="Times New Roman"/>
          <w:i/>
          <w:sz w:val="22"/>
          <w:szCs w:val="22"/>
        </w:rPr>
        <w:t>et al.</w:t>
      </w:r>
      <w:r>
        <w:rPr>
          <w:rFonts w:ascii="Times New Roman" w:hAnsi="Times New Roman" w:cs="Times New Roman"/>
          <w:sz w:val="22"/>
          <w:szCs w:val="22"/>
        </w:rPr>
        <w:t xml:space="preserve">, 2008), increased animal performance, manipulating product quality, boosting animal health and/or more efficient use of N in ruminants (Flachowsky &amp; Lebzien, 2012).  Hence it has been suggested that they could possibly be used as an alternative additive to replace antibiotics in ruminant feeds without a reduction in productivity (Bodas </w:t>
      </w:r>
      <w:r>
        <w:rPr>
          <w:rFonts w:ascii="Times New Roman" w:hAnsi="Times New Roman" w:cs="Times New Roman"/>
          <w:i/>
          <w:sz w:val="22"/>
          <w:szCs w:val="22"/>
        </w:rPr>
        <w:t>et al.</w:t>
      </w:r>
      <w:r>
        <w:rPr>
          <w:rFonts w:ascii="Times New Roman" w:hAnsi="Times New Roman" w:cs="Times New Roman"/>
          <w:sz w:val="22"/>
          <w:szCs w:val="22"/>
        </w:rPr>
        <w:t xml:space="preserve">, 2008; Klevenhusen </w:t>
      </w:r>
      <w:r>
        <w:rPr>
          <w:rFonts w:ascii="Times New Roman" w:hAnsi="Times New Roman" w:cs="Times New Roman"/>
          <w:i/>
          <w:sz w:val="22"/>
          <w:szCs w:val="22"/>
        </w:rPr>
        <w:t>et al.</w:t>
      </w:r>
      <w:r>
        <w:rPr>
          <w:rFonts w:ascii="Times New Roman" w:hAnsi="Times New Roman" w:cs="Times New Roman"/>
          <w:sz w:val="22"/>
          <w:szCs w:val="22"/>
        </w:rPr>
        <w:t xml:space="preserve">, 2012; Arowolo &amp; He, 2018; McGrath </w:t>
      </w:r>
      <w:r>
        <w:rPr>
          <w:rFonts w:ascii="Times New Roman" w:hAnsi="Times New Roman" w:cs="Times New Roman"/>
          <w:i/>
          <w:sz w:val="22"/>
          <w:szCs w:val="22"/>
        </w:rPr>
        <w:t>et al.</w:t>
      </w:r>
      <w:r>
        <w:rPr>
          <w:rFonts w:ascii="Times New Roman" w:hAnsi="Times New Roman" w:cs="Times New Roman"/>
          <w:sz w:val="22"/>
          <w:szCs w:val="22"/>
        </w:rPr>
        <w:t xml:space="preserve">, 2018).  </w:t>
      </w:r>
    </w:p>
    <w:bookmarkEnd w:id="22"/>
    <w:p w14:paraId="2D069A5F" w14:textId="77777777" w:rsidR="00EF65F1" w:rsidRDefault="00EF65F1">
      <w:pPr>
        <w:spacing w:line="360" w:lineRule="auto"/>
        <w:ind w:firstLine="567"/>
        <w:contextualSpacing/>
        <w:jc w:val="both"/>
        <w:rPr>
          <w:rFonts w:ascii="Times New Roman" w:hAnsi="Times New Roman" w:cs="Times New Roman"/>
          <w:b/>
          <w:sz w:val="22"/>
          <w:szCs w:val="22"/>
        </w:rPr>
      </w:pPr>
    </w:p>
    <w:p w14:paraId="715CEE6C"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24" w:name="_Hlk530497121"/>
      <w:bookmarkStart w:id="25" w:name="_Toc2691113"/>
      <w:r>
        <w:rPr>
          <w:rFonts w:ascii="Times New Roman" w:hAnsi="Times New Roman" w:cs="Times New Roman"/>
          <w:b/>
          <w:color w:val="auto"/>
          <w:sz w:val="24"/>
          <w:szCs w:val="24"/>
        </w:rPr>
        <w:t>Environmental and productivity concerns in the livestock sector</w:t>
      </w:r>
      <w:bookmarkEnd w:id="24"/>
      <w:bookmarkEnd w:id="25"/>
    </w:p>
    <w:p w14:paraId="1533A31E" w14:textId="77777777" w:rsidR="00EF65F1" w:rsidRDefault="00EF65F1">
      <w:pPr>
        <w:spacing w:after="0" w:line="360" w:lineRule="auto"/>
        <w:ind w:firstLine="567"/>
        <w:contextualSpacing/>
        <w:jc w:val="both"/>
        <w:rPr>
          <w:rFonts w:ascii="Times New Roman" w:hAnsi="Times New Roman" w:cs="Times New Roman"/>
          <w:sz w:val="22"/>
          <w:szCs w:val="22"/>
        </w:rPr>
      </w:pPr>
    </w:p>
    <w:p w14:paraId="79056F5E"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26" w:name="_Toc2691114"/>
      <w:r>
        <w:rPr>
          <w:rFonts w:ascii="Times New Roman" w:hAnsi="Times New Roman" w:cs="Times New Roman"/>
          <w:color w:val="auto"/>
        </w:rPr>
        <w:t>Greenhouse gases and livestock</w:t>
      </w:r>
      <w:bookmarkEnd w:id="26"/>
    </w:p>
    <w:p w14:paraId="608E4F33" w14:textId="77777777" w:rsidR="00EF65F1" w:rsidRDefault="00EF65F1">
      <w:pPr>
        <w:spacing w:after="0" w:line="360" w:lineRule="auto"/>
        <w:ind w:firstLine="567"/>
        <w:contextualSpacing/>
        <w:jc w:val="both"/>
        <w:rPr>
          <w:rFonts w:ascii="Times New Roman" w:hAnsi="Times New Roman" w:cs="Times New Roman"/>
          <w:sz w:val="22"/>
          <w:szCs w:val="22"/>
        </w:rPr>
      </w:pPr>
    </w:p>
    <w:p w14:paraId="4E8140A7"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27" w:name="_Hlk2674415"/>
      <w:r>
        <w:rPr>
          <w:rFonts w:ascii="Times New Roman" w:hAnsi="Times New Roman" w:cs="Times New Roman"/>
          <w:sz w:val="22"/>
          <w:szCs w:val="22"/>
        </w:rPr>
        <w:t>Greenhouse gases (GHG), primarily carbon dioxide (CO</w:t>
      </w:r>
      <w:r>
        <w:rPr>
          <w:rFonts w:ascii="Times New Roman" w:hAnsi="Times New Roman" w:cs="Times New Roman"/>
          <w:sz w:val="22"/>
          <w:szCs w:val="22"/>
          <w:vertAlign w:val="subscript"/>
        </w:rPr>
        <w:t>2</w:t>
      </w:r>
      <w:r>
        <w:rPr>
          <w:rFonts w:ascii="Times New Roman" w:hAnsi="Times New Roman" w:cs="Times New Roman"/>
          <w:sz w:val="22"/>
          <w:szCs w:val="22"/>
        </w:rPr>
        <w:t>), nitrous oxide (N</w:t>
      </w:r>
      <w:r>
        <w:rPr>
          <w:rFonts w:ascii="Times New Roman" w:hAnsi="Times New Roman" w:cs="Times New Roman"/>
          <w:sz w:val="22"/>
          <w:szCs w:val="22"/>
          <w:vertAlign w:val="subscript"/>
        </w:rPr>
        <w:t>2</w:t>
      </w:r>
      <w:r>
        <w:rPr>
          <w:rFonts w:ascii="Times New Roman" w:hAnsi="Times New Roman" w:cs="Times New Roman"/>
          <w:sz w:val="22"/>
          <w:szCs w:val="22"/>
        </w:rPr>
        <w:t>O) and methane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are largely responsible for global climate change (Martin </w:t>
      </w:r>
      <w:r>
        <w:rPr>
          <w:rFonts w:ascii="Times New Roman" w:hAnsi="Times New Roman" w:cs="Times New Roman"/>
          <w:i/>
          <w:sz w:val="22"/>
          <w:szCs w:val="22"/>
        </w:rPr>
        <w:t>et al.</w:t>
      </w:r>
      <w:r>
        <w:rPr>
          <w:rFonts w:ascii="Times New Roman" w:hAnsi="Times New Roman" w:cs="Times New Roman"/>
          <w:sz w:val="22"/>
          <w:szCs w:val="22"/>
        </w:rPr>
        <w:t xml:space="preserve">, 2010) accounting for 44, 29 and 27% of total global greenhouse gas emissions, respectively.  </w:t>
      </w:r>
      <w:bookmarkEnd w:id="27"/>
      <w:r>
        <w:rPr>
          <w:rFonts w:ascii="Times New Roman" w:hAnsi="Times New Roman" w:cs="Times New Roman"/>
          <w:sz w:val="22"/>
          <w:szCs w:val="22"/>
        </w:rPr>
        <w:t xml:space="preserve">The livestock production sector is estimated to be accountable for 14.5 to 15% of global GHG emissions (Bodas </w:t>
      </w:r>
      <w:r>
        <w:rPr>
          <w:rFonts w:ascii="Times New Roman" w:hAnsi="Times New Roman" w:cs="Times New Roman"/>
          <w:i/>
          <w:sz w:val="22"/>
          <w:szCs w:val="22"/>
        </w:rPr>
        <w:t>et al.</w:t>
      </w:r>
      <w:r>
        <w:rPr>
          <w:rFonts w:ascii="Times New Roman" w:hAnsi="Times New Roman" w:cs="Times New Roman"/>
          <w:sz w:val="22"/>
          <w:szCs w:val="22"/>
        </w:rPr>
        <w:t xml:space="preserve">, 2012; Rojas-Downing </w:t>
      </w:r>
      <w:r>
        <w:rPr>
          <w:rFonts w:ascii="Times New Roman" w:hAnsi="Times New Roman" w:cs="Times New Roman"/>
          <w:i/>
          <w:sz w:val="22"/>
          <w:szCs w:val="22"/>
        </w:rPr>
        <w:t>et al.</w:t>
      </w:r>
      <w:r>
        <w:rPr>
          <w:rFonts w:ascii="Times New Roman" w:hAnsi="Times New Roman" w:cs="Times New Roman"/>
          <w:sz w:val="22"/>
          <w:szCs w:val="22"/>
        </w:rPr>
        <w:t>, 2017).  When evaluated in terms of CO</w:t>
      </w:r>
      <w:r>
        <w:rPr>
          <w:rFonts w:ascii="Times New Roman" w:hAnsi="Times New Roman" w:cs="Times New Roman"/>
          <w:sz w:val="22"/>
          <w:szCs w:val="22"/>
          <w:vertAlign w:val="subscript"/>
        </w:rPr>
        <w:t>2</w:t>
      </w:r>
      <w:r>
        <w:rPr>
          <w:rFonts w:ascii="Times New Roman" w:hAnsi="Times New Roman" w:cs="Times New Roman"/>
          <w:sz w:val="22"/>
          <w:szCs w:val="22"/>
        </w:rPr>
        <w:t xml:space="preserve"> equivalents, the livestock sector contributes more to GHG emissions (7100 Tg CO</w:t>
      </w:r>
      <w:r>
        <w:rPr>
          <w:rFonts w:ascii="Times New Roman" w:hAnsi="Times New Roman" w:cs="Times New Roman"/>
          <w:sz w:val="22"/>
          <w:szCs w:val="22"/>
          <w:vertAlign w:val="subscript"/>
        </w:rPr>
        <w:t>2</w:t>
      </w:r>
      <w:r>
        <w:rPr>
          <w:rFonts w:ascii="Times New Roman" w:hAnsi="Times New Roman" w:cs="Times New Roman"/>
          <w:sz w:val="22"/>
          <w:szCs w:val="22"/>
        </w:rPr>
        <w:t>-eq yr</w:t>
      </w:r>
      <w:r>
        <w:rPr>
          <w:rFonts w:ascii="Times New Roman" w:hAnsi="Times New Roman" w:cs="Times New Roman"/>
          <w:sz w:val="22"/>
          <w:szCs w:val="22"/>
          <w:vertAlign w:val="superscript"/>
        </w:rPr>
        <w:t>-1</w:t>
      </w:r>
      <w:r>
        <w:rPr>
          <w:rFonts w:ascii="Times New Roman" w:hAnsi="Times New Roman" w:cs="Times New Roman"/>
          <w:sz w:val="22"/>
          <w:szCs w:val="22"/>
        </w:rPr>
        <w:t>) than the transport sector (5656 Tg CO</w:t>
      </w:r>
      <w:r>
        <w:rPr>
          <w:rFonts w:ascii="Times New Roman" w:hAnsi="Times New Roman" w:cs="Times New Roman"/>
          <w:sz w:val="22"/>
          <w:szCs w:val="22"/>
          <w:vertAlign w:val="subscript"/>
        </w:rPr>
        <w:t>2</w:t>
      </w:r>
      <w:r>
        <w:rPr>
          <w:rFonts w:ascii="Times New Roman" w:hAnsi="Times New Roman" w:cs="Times New Roman"/>
          <w:sz w:val="22"/>
          <w:szCs w:val="22"/>
        </w:rPr>
        <w:t xml:space="preserve"> eq yr</w:t>
      </w:r>
      <w:r>
        <w:rPr>
          <w:rFonts w:ascii="Times New Roman" w:hAnsi="Times New Roman" w:cs="Times New Roman"/>
          <w:sz w:val="22"/>
          <w:szCs w:val="22"/>
          <w:vertAlign w:val="superscript"/>
        </w:rPr>
        <w:t>-1</w:t>
      </w:r>
      <w:r>
        <w:rPr>
          <w:rFonts w:ascii="Times New Roman" w:hAnsi="Times New Roman" w:cs="Times New Roman"/>
          <w:sz w:val="22"/>
          <w:szCs w:val="22"/>
        </w:rPr>
        <w:t xml:space="preserve">) (Rojas- Downing </w:t>
      </w:r>
      <w:r>
        <w:rPr>
          <w:rFonts w:ascii="Times New Roman" w:hAnsi="Times New Roman" w:cs="Times New Roman"/>
          <w:i/>
          <w:sz w:val="22"/>
          <w:szCs w:val="22"/>
        </w:rPr>
        <w:t>et al.</w:t>
      </w:r>
      <w:r>
        <w:rPr>
          <w:rFonts w:ascii="Times New Roman" w:hAnsi="Times New Roman" w:cs="Times New Roman"/>
          <w:sz w:val="22"/>
          <w:szCs w:val="22"/>
        </w:rPr>
        <w:t>, 2017).</w:t>
      </w:r>
    </w:p>
    <w:p w14:paraId="4F9A1A70" w14:textId="77777777" w:rsidR="00EF65F1" w:rsidRDefault="00EF65F1">
      <w:pPr>
        <w:spacing w:after="0" w:line="360" w:lineRule="auto"/>
        <w:ind w:firstLine="567"/>
        <w:contextualSpacing/>
        <w:jc w:val="both"/>
        <w:rPr>
          <w:rFonts w:ascii="Times New Roman" w:hAnsi="Times New Roman" w:cs="Times New Roman"/>
          <w:sz w:val="22"/>
          <w:szCs w:val="22"/>
        </w:rPr>
      </w:pPr>
    </w:p>
    <w:p w14:paraId="65F5175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Africa is not currently one of the top continents for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however,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is expected to rise due to the anticipated increase of domestic ruminant numbers in this region (Rojas-Downing </w:t>
      </w:r>
      <w:r>
        <w:rPr>
          <w:rFonts w:ascii="Times New Roman" w:hAnsi="Times New Roman" w:cs="Times New Roman"/>
          <w:i/>
          <w:sz w:val="22"/>
          <w:szCs w:val="22"/>
        </w:rPr>
        <w:t>et al.</w:t>
      </w:r>
      <w:r>
        <w:rPr>
          <w:rFonts w:ascii="Times New Roman" w:hAnsi="Times New Roman" w:cs="Times New Roman"/>
          <w:sz w:val="22"/>
          <w:szCs w:val="22"/>
        </w:rPr>
        <w:t>, 2017), due to population growth and an increased standard of living.  As cattle and sheep can release between 150 to 420 L and 25 to 55 L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day, respectively (Janssen, 2010).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by livestock account for 60% of total agriculture CO</w:t>
      </w:r>
      <w:r>
        <w:rPr>
          <w:rFonts w:ascii="Times New Roman" w:hAnsi="Times New Roman" w:cs="Times New Roman"/>
          <w:sz w:val="22"/>
          <w:szCs w:val="22"/>
          <w:vertAlign w:val="subscript"/>
        </w:rPr>
        <w:t>2</w:t>
      </w:r>
      <w:r>
        <w:rPr>
          <w:rFonts w:ascii="Times New Roman" w:hAnsi="Times New Roman" w:cs="Times New Roman"/>
          <w:sz w:val="22"/>
          <w:szCs w:val="22"/>
        </w:rPr>
        <w:t xml:space="preserve"> equivalent emissions in South </w:t>
      </w:r>
      <w:r>
        <w:rPr>
          <w:rFonts w:ascii="Times New Roman" w:hAnsi="Times New Roman" w:cs="Times New Roman"/>
          <w:sz w:val="22"/>
          <w:szCs w:val="22"/>
        </w:rPr>
        <w:lastRenderedPageBreak/>
        <w:t xml:space="preserve">Africa (Du Toit </w:t>
      </w:r>
      <w:r>
        <w:rPr>
          <w:rFonts w:ascii="Times New Roman" w:hAnsi="Times New Roman" w:cs="Times New Roman"/>
          <w:i/>
          <w:sz w:val="22"/>
          <w:szCs w:val="22"/>
        </w:rPr>
        <w:t>et al.</w:t>
      </w:r>
      <w:r>
        <w:rPr>
          <w:rFonts w:ascii="Times New Roman" w:hAnsi="Times New Roman" w:cs="Times New Roman"/>
          <w:sz w:val="22"/>
          <w:szCs w:val="22"/>
        </w:rPr>
        <w:t>, 2018), therefore, reducing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by livestock, would enhance efforts at stabilizing atmospheric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concentrations (Medjekal </w:t>
      </w:r>
      <w:r>
        <w:rPr>
          <w:rFonts w:ascii="Times New Roman" w:hAnsi="Times New Roman" w:cs="Times New Roman"/>
          <w:i/>
          <w:sz w:val="22"/>
          <w:szCs w:val="22"/>
        </w:rPr>
        <w:t>et al.</w:t>
      </w:r>
      <w:r>
        <w:rPr>
          <w:rFonts w:ascii="Times New Roman" w:hAnsi="Times New Roman" w:cs="Times New Roman"/>
          <w:sz w:val="22"/>
          <w:szCs w:val="22"/>
        </w:rPr>
        <w:t xml:space="preserve">, 2017).  </w:t>
      </w:r>
      <w:bookmarkStart w:id="28" w:name="_Hlk2674495"/>
      <w:r>
        <w:rPr>
          <w:rFonts w:ascii="Times New Roman" w:hAnsi="Times New Roman" w:cs="Times New Roman"/>
          <w:sz w:val="22"/>
          <w:szCs w:val="22"/>
        </w:rPr>
        <w:t>Atmospheric levels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are a cause for concern, as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has a much higher global warming potential than CO</w:t>
      </w:r>
      <w:r>
        <w:rPr>
          <w:rFonts w:ascii="Times New Roman" w:hAnsi="Times New Roman" w:cs="Times New Roman"/>
          <w:sz w:val="22"/>
          <w:szCs w:val="22"/>
          <w:vertAlign w:val="subscript"/>
        </w:rPr>
        <w:t>2</w:t>
      </w:r>
      <w:r>
        <w:rPr>
          <w:rFonts w:ascii="Times New Roman" w:hAnsi="Times New Roman" w:cs="Times New Roman"/>
          <w:sz w:val="22"/>
          <w:szCs w:val="22"/>
        </w:rPr>
        <w:t xml:space="preserve"> (Kim </w:t>
      </w:r>
      <w:r>
        <w:rPr>
          <w:rFonts w:ascii="Times New Roman" w:hAnsi="Times New Roman" w:cs="Times New Roman"/>
          <w:i/>
          <w:sz w:val="22"/>
          <w:szCs w:val="22"/>
        </w:rPr>
        <w:t>et al.</w:t>
      </w:r>
      <w:r>
        <w:rPr>
          <w:rFonts w:ascii="Times New Roman" w:hAnsi="Times New Roman" w:cs="Times New Roman"/>
          <w:sz w:val="22"/>
          <w:szCs w:val="22"/>
        </w:rPr>
        <w:t xml:space="preserve">, 2013; Montenegro </w:t>
      </w:r>
      <w:r>
        <w:rPr>
          <w:rFonts w:ascii="Times New Roman" w:hAnsi="Times New Roman" w:cs="Times New Roman"/>
          <w:i/>
          <w:sz w:val="22"/>
          <w:szCs w:val="22"/>
        </w:rPr>
        <w:t>et al.</w:t>
      </w:r>
      <w:r>
        <w:rPr>
          <w:rFonts w:ascii="Times New Roman" w:hAnsi="Times New Roman" w:cs="Times New Roman"/>
          <w:sz w:val="22"/>
          <w:szCs w:val="22"/>
        </w:rPr>
        <w:t xml:space="preserve">, 2016; McGrath </w:t>
      </w:r>
      <w:r>
        <w:rPr>
          <w:rFonts w:ascii="Times New Roman" w:hAnsi="Times New Roman" w:cs="Times New Roman"/>
          <w:i/>
          <w:sz w:val="22"/>
          <w:szCs w:val="22"/>
        </w:rPr>
        <w:t>et al.</w:t>
      </w:r>
      <w:r>
        <w:rPr>
          <w:rFonts w:ascii="Times New Roman" w:hAnsi="Times New Roman" w:cs="Times New Roman"/>
          <w:sz w:val="22"/>
          <w:szCs w:val="22"/>
        </w:rPr>
        <w:t>, 2018).</w:t>
      </w:r>
      <w:bookmarkEnd w:id="28"/>
      <w:r>
        <w:rPr>
          <w:rFonts w:ascii="Times New Roman" w:hAnsi="Times New Roman" w:cs="Times New Roman"/>
          <w:sz w:val="22"/>
          <w:szCs w:val="22"/>
        </w:rPr>
        <w:t xml:space="preserve">  The average surface temperatures are projected to increase between 0.3 and 4.8°C by 2100 due to climate change, which will pose a direct threat to livestock production efficiency (Rojas-Downing </w:t>
      </w:r>
      <w:r>
        <w:rPr>
          <w:rFonts w:ascii="Times New Roman" w:hAnsi="Times New Roman" w:cs="Times New Roman"/>
          <w:i/>
          <w:sz w:val="22"/>
          <w:szCs w:val="22"/>
        </w:rPr>
        <w:t>et al.</w:t>
      </w:r>
      <w:r>
        <w:rPr>
          <w:rFonts w:ascii="Times New Roman" w:hAnsi="Times New Roman" w:cs="Times New Roman"/>
          <w:sz w:val="22"/>
          <w:szCs w:val="22"/>
        </w:rPr>
        <w:t>, 2017).</w:t>
      </w:r>
    </w:p>
    <w:p w14:paraId="068E8BCE" w14:textId="77777777" w:rsidR="00EF65F1" w:rsidRDefault="00EF65F1">
      <w:pPr>
        <w:spacing w:after="0" w:line="360" w:lineRule="auto"/>
        <w:ind w:firstLine="567"/>
        <w:contextualSpacing/>
        <w:jc w:val="both"/>
        <w:rPr>
          <w:rFonts w:ascii="Times New Roman" w:hAnsi="Times New Roman" w:cs="Times New Roman"/>
          <w:sz w:val="22"/>
          <w:szCs w:val="22"/>
        </w:rPr>
      </w:pPr>
    </w:p>
    <w:p w14:paraId="25960DB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Bodas </w:t>
      </w:r>
      <w:r>
        <w:rPr>
          <w:rFonts w:ascii="Times New Roman" w:hAnsi="Times New Roman" w:cs="Times New Roman"/>
          <w:i/>
          <w:sz w:val="22"/>
          <w:szCs w:val="22"/>
        </w:rPr>
        <w:t xml:space="preserve">et al </w:t>
      </w:r>
      <w:r>
        <w:rPr>
          <w:rFonts w:ascii="Times New Roman" w:hAnsi="Times New Roman" w:cs="Times New Roman"/>
          <w:sz w:val="22"/>
          <w:szCs w:val="22"/>
        </w:rPr>
        <w:t>(2012) reported that domestic ruminants contribute between 15 to 33% to total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while Rojas-Downing </w:t>
      </w:r>
      <w:r>
        <w:rPr>
          <w:rFonts w:ascii="Times New Roman" w:hAnsi="Times New Roman" w:cs="Times New Roman"/>
          <w:i/>
          <w:sz w:val="22"/>
          <w:szCs w:val="22"/>
        </w:rPr>
        <w:t xml:space="preserve">et al </w:t>
      </w:r>
      <w:r>
        <w:rPr>
          <w:rFonts w:ascii="Times New Roman" w:hAnsi="Times New Roman" w:cs="Times New Roman"/>
          <w:sz w:val="22"/>
          <w:szCs w:val="22"/>
        </w:rPr>
        <w:t xml:space="preserve">(2017) reported this figure to be 44%.   These discrepancies in values were consistent with findings from Montenegro </w:t>
      </w:r>
      <w:r>
        <w:rPr>
          <w:rFonts w:ascii="Times New Roman" w:hAnsi="Times New Roman" w:cs="Times New Roman"/>
          <w:i/>
          <w:sz w:val="22"/>
          <w:szCs w:val="22"/>
        </w:rPr>
        <w:t>et al</w:t>
      </w:r>
      <w:r>
        <w:rPr>
          <w:rFonts w:ascii="Times New Roman" w:hAnsi="Times New Roman" w:cs="Times New Roman"/>
          <w:sz w:val="22"/>
          <w:szCs w:val="22"/>
        </w:rPr>
        <w:t xml:space="preserve"> (2016) who found a large variation in values between reported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from ruminants, especially CH</w:t>
      </w:r>
      <w:r>
        <w:rPr>
          <w:rFonts w:ascii="Times New Roman" w:hAnsi="Times New Roman" w:cs="Times New Roman"/>
          <w:sz w:val="22"/>
          <w:szCs w:val="22"/>
          <w:vertAlign w:val="subscript"/>
        </w:rPr>
        <w:t>4</w:t>
      </w:r>
      <w:r>
        <w:rPr>
          <w:rFonts w:ascii="Times New Roman" w:hAnsi="Times New Roman" w:cs="Times New Roman"/>
          <w:sz w:val="22"/>
          <w:szCs w:val="22"/>
        </w:rPr>
        <w:t xml:space="preserve"> released from enteric production.  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is produced as a by-product of rumen fermentation of feed by the microbes (Zhong </w:t>
      </w:r>
      <w:r>
        <w:rPr>
          <w:rFonts w:ascii="Times New Roman" w:hAnsi="Times New Roman" w:cs="Times New Roman"/>
          <w:i/>
          <w:sz w:val="22"/>
          <w:szCs w:val="22"/>
        </w:rPr>
        <w:t>et al.</w:t>
      </w:r>
      <w:r>
        <w:rPr>
          <w:rFonts w:ascii="Times New Roman" w:hAnsi="Times New Roman" w:cs="Times New Roman"/>
          <w:sz w:val="22"/>
          <w:szCs w:val="22"/>
        </w:rPr>
        <w:t xml:space="preserve">, 2016), and the quantity produced is dependent on factors such as the quantity and quality of the diet, NDF and ADF portions and the nature of fermented carbohydrates (Gemeda &amp; Hassen, 2014; Montenegro </w:t>
      </w:r>
      <w:r>
        <w:rPr>
          <w:rFonts w:ascii="Times New Roman" w:hAnsi="Times New Roman" w:cs="Times New Roman"/>
          <w:i/>
          <w:sz w:val="22"/>
          <w:szCs w:val="22"/>
        </w:rPr>
        <w:t>et al.</w:t>
      </w:r>
      <w:r>
        <w:rPr>
          <w:rFonts w:ascii="Times New Roman" w:hAnsi="Times New Roman" w:cs="Times New Roman"/>
          <w:sz w:val="22"/>
          <w:szCs w:val="22"/>
        </w:rPr>
        <w:t>, 2016).  About 44 to 60%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released from ruminant production systems is from 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formation (Martin </w:t>
      </w:r>
      <w:r>
        <w:rPr>
          <w:rFonts w:ascii="Times New Roman" w:hAnsi="Times New Roman" w:cs="Times New Roman"/>
          <w:i/>
          <w:sz w:val="22"/>
          <w:szCs w:val="22"/>
        </w:rPr>
        <w:t>et al.</w:t>
      </w:r>
      <w:r>
        <w:rPr>
          <w:rFonts w:ascii="Times New Roman" w:hAnsi="Times New Roman" w:cs="Times New Roman"/>
          <w:sz w:val="22"/>
          <w:szCs w:val="22"/>
        </w:rPr>
        <w:t xml:space="preserve">, 2010; Mendel </w:t>
      </w:r>
      <w:r>
        <w:rPr>
          <w:rFonts w:ascii="Times New Roman" w:hAnsi="Times New Roman" w:cs="Times New Roman"/>
          <w:i/>
          <w:sz w:val="22"/>
          <w:szCs w:val="22"/>
        </w:rPr>
        <w:t>et al.</w:t>
      </w:r>
      <w:r>
        <w:rPr>
          <w:rFonts w:ascii="Times New Roman" w:hAnsi="Times New Roman" w:cs="Times New Roman"/>
          <w:sz w:val="22"/>
          <w:szCs w:val="22"/>
        </w:rPr>
        <w:t>, 2017), and rumen fermentation accounts for 90% of all enteric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released (Martin </w:t>
      </w:r>
      <w:r>
        <w:rPr>
          <w:rFonts w:ascii="Times New Roman" w:hAnsi="Times New Roman" w:cs="Times New Roman"/>
          <w:i/>
          <w:sz w:val="22"/>
          <w:szCs w:val="22"/>
        </w:rPr>
        <w:t>et al.</w:t>
      </w:r>
      <w:r>
        <w:rPr>
          <w:rFonts w:ascii="Times New Roman" w:hAnsi="Times New Roman" w:cs="Times New Roman"/>
          <w:sz w:val="22"/>
          <w:szCs w:val="22"/>
        </w:rPr>
        <w:t>, 2010).  Increased fermentable substrates, provided by feeds with high digestibility values, are often associated with increased net CH</w:t>
      </w:r>
      <w:r>
        <w:rPr>
          <w:rFonts w:ascii="Times New Roman" w:hAnsi="Times New Roman" w:cs="Times New Roman"/>
          <w:sz w:val="22"/>
          <w:szCs w:val="22"/>
          <w:vertAlign w:val="subscript"/>
        </w:rPr>
        <w:t>4</w:t>
      </w:r>
      <w:r>
        <w:rPr>
          <w:rFonts w:ascii="Times New Roman" w:hAnsi="Times New Roman" w:cs="Times New Roman"/>
          <w:sz w:val="22"/>
          <w:szCs w:val="22"/>
        </w:rPr>
        <w:t xml:space="preserve"> levels due to increased substrates from methanogenic bacteria (Montenegro </w:t>
      </w:r>
      <w:r>
        <w:rPr>
          <w:rFonts w:ascii="Times New Roman" w:hAnsi="Times New Roman" w:cs="Times New Roman"/>
          <w:i/>
          <w:sz w:val="22"/>
          <w:szCs w:val="22"/>
        </w:rPr>
        <w:t>et al.</w:t>
      </w:r>
      <w:r>
        <w:rPr>
          <w:rFonts w:ascii="Times New Roman" w:hAnsi="Times New Roman" w:cs="Times New Roman"/>
          <w:sz w:val="22"/>
          <w:szCs w:val="22"/>
        </w:rPr>
        <w:t>, 2016), therefore, animal productivity must be considered relative to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when evaluating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(Montenegro </w:t>
      </w:r>
      <w:r>
        <w:rPr>
          <w:rFonts w:ascii="Times New Roman" w:hAnsi="Times New Roman" w:cs="Times New Roman"/>
          <w:i/>
          <w:sz w:val="22"/>
          <w:szCs w:val="22"/>
        </w:rPr>
        <w:t>et al.</w:t>
      </w:r>
      <w:r>
        <w:rPr>
          <w:rFonts w:ascii="Times New Roman" w:hAnsi="Times New Roman" w:cs="Times New Roman"/>
          <w:sz w:val="22"/>
          <w:szCs w:val="22"/>
        </w:rPr>
        <w:t>, 2016).  Other factors to consider in respect to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are animal factors such as the breed, animal characteristics, capacity for feed selection, rumen volume, rumen retention time of feed particles and ability to digest fibre (Montenegro </w:t>
      </w:r>
      <w:r>
        <w:rPr>
          <w:rFonts w:ascii="Times New Roman" w:hAnsi="Times New Roman" w:cs="Times New Roman"/>
          <w:i/>
          <w:sz w:val="22"/>
          <w:szCs w:val="22"/>
        </w:rPr>
        <w:t>et al.</w:t>
      </w:r>
      <w:r>
        <w:rPr>
          <w:rFonts w:ascii="Times New Roman" w:hAnsi="Times New Roman" w:cs="Times New Roman"/>
          <w:sz w:val="22"/>
          <w:szCs w:val="22"/>
        </w:rPr>
        <w:t>, 2016).</w:t>
      </w:r>
    </w:p>
    <w:p w14:paraId="089901F2" w14:textId="77777777" w:rsidR="00EF65F1" w:rsidRDefault="00EF65F1">
      <w:pPr>
        <w:spacing w:after="0" w:line="360" w:lineRule="auto"/>
        <w:ind w:firstLine="567"/>
        <w:contextualSpacing/>
        <w:jc w:val="both"/>
        <w:rPr>
          <w:rFonts w:ascii="Times New Roman" w:hAnsi="Times New Roman" w:cs="Times New Roman"/>
          <w:sz w:val="22"/>
          <w:szCs w:val="22"/>
        </w:rPr>
      </w:pPr>
    </w:p>
    <w:p w14:paraId="70EC59E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impact of climate change on livestock production and the interactions between various variables is shown in Figure 1.1.  The increases in CO</w:t>
      </w:r>
      <w:r>
        <w:rPr>
          <w:rFonts w:ascii="Times New Roman" w:hAnsi="Times New Roman" w:cs="Times New Roman"/>
          <w:sz w:val="22"/>
          <w:szCs w:val="22"/>
          <w:vertAlign w:val="subscript"/>
        </w:rPr>
        <w:t>2</w:t>
      </w:r>
      <w:r>
        <w:rPr>
          <w:rFonts w:ascii="Times New Roman" w:hAnsi="Times New Roman" w:cs="Times New Roman"/>
          <w:sz w:val="22"/>
          <w:szCs w:val="22"/>
        </w:rPr>
        <w:t xml:space="preserve">, temperature and changes in precipitation levels and patterns associated with climate change have detrimental effects on animal health, productivity, reproduction, as well as influencing water and forage composition, supply and quality (Thornton </w:t>
      </w:r>
      <w:r>
        <w:rPr>
          <w:rFonts w:ascii="Times New Roman" w:hAnsi="Times New Roman" w:cs="Times New Roman"/>
          <w:i/>
          <w:sz w:val="22"/>
          <w:szCs w:val="22"/>
        </w:rPr>
        <w:t>et al.</w:t>
      </w:r>
      <w:r>
        <w:rPr>
          <w:rFonts w:ascii="Times New Roman" w:hAnsi="Times New Roman" w:cs="Times New Roman"/>
          <w:sz w:val="22"/>
          <w:szCs w:val="22"/>
        </w:rPr>
        <w:t xml:space="preserve">, 2009; Rojas-Downing </w:t>
      </w:r>
      <w:r>
        <w:rPr>
          <w:rFonts w:ascii="Times New Roman" w:hAnsi="Times New Roman" w:cs="Times New Roman"/>
          <w:i/>
          <w:sz w:val="22"/>
          <w:szCs w:val="22"/>
        </w:rPr>
        <w:t>et al.</w:t>
      </w:r>
      <w:r>
        <w:rPr>
          <w:rFonts w:ascii="Times New Roman" w:hAnsi="Times New Roman" w:cs="Times New Roman"/>
          <w:sz w:val="22"/>
          <w:szCs w:val="22"/>
        </w:rPr>
        <w:t xml:space="preserve">, 2017).  For example, increasing temperatures will lead to increased lignification of plant tissues thereby reducing digestibility and passage rates of forages in ruminants (Thornton </w:t>
      </w:r>
      <w:r>
        <w:rPr>
          <w:rFonts w:ascii="Times New Roman" w:hAnsi="Times New Roman" w:cs="Times New Roman"/>
          <w:i/>
          <w:sz w:val="22"/>
          <w:szCs w:val="22"/>
        </w:rPr>
        <w:t>et al.</w:t>
      </w:r>
      <w:r>
        <w:rPr>
          <w:rFonts w:ascii="Times New Roman" w:hAnsi="Times New Roman" w:cs="Times New Roman"/>
          <w:sz w:val="22"/>
          <w:szCs w:val="22"/>
        </w:rPr>
        <w:t xml:space="preserve">, 2009).  The impact of climate change will be largely influenced by locality, with sub-Saharan Africa predicted to experience severe effects, with pasture and water availability being primary concerns (Thorton </w:t>
      </w:r>
      <w:r>
        <w:rPr>
          <w:rFonts w:ascii="Times New Roman" w:hAnsi="Times New Roman" w:cs="Times New Roman"/>
          <w:i/>
          <w:sz w:val="22"/>
          <w:szCs w:val="22"/>
        </w:rPr>
        <w:t>et al.</w:t>
      </w:r>
      <w:r>
        <w:rPr>
          <w:rFonts w:ascii="Times New Roman" w:hAnsi="Times New Roman" w:cs="Times New Roman"/>
          <w:sz w:val="22"/>
          <w:szCs w:val="22"/>
        </w:rPr>
        <w:t>, 2009).</w:t>
      </w:r>
    </w:p>
    <w:p w14:paraId="3643086E" w14:textId="77777777" w:rsidR="00EF65F1" w:rsidRDefault="00EF65F1">
      <w:pPr>
        <w:spacing w:after="0" w:line="360" w:lineRule="auto"/>
        <w:ind w:firstLine="567"/>
        <w:contextualSpacing/>
        <w:jc w:val="both"/>
        <w:rPr>
          <w:rFonts w:ascii="Times New Roman" w:hAnsi="Times New Roman" w:cs="Times New Roman"/>
          <w:sz w:val="22"/>
          <w:szCs w:val="22"/>
        </w:rPr>
      </w:pPr>
    </w:p>
    <w:p w14:paraId="44A73F4C" w14:textId="77777777" w:rsidR="00EF65F1" w:rsidRDefault="00EF65F1">
      <w:pPr>
        <w:spacing w:after="0" w:line="360" w:lineRule="auto"/>
        <w:ind w:firstLine="567"/>
        <w:contextualSpacing/>
        <w:rPr>
          <w:rFonts w:ascii="Times New Roman" w:hAnsi="Times New Roman" w:cs="Times New Roman"/>
          <w:sz w:val="22"/>
          <w:szCs w:val="22"/>
        </w:rPr>
      </w:pPr>
    </w:p>
    <w:p w14:paraId="5F34308E" w14:textId="77777777" w:rsidR="00EF65F1" w:rsidRDefault="00EF65F1">
      <w:pPr>
        <w:spacing w:after="0" w:line="360" w:lineRule="auto"/>
        <w:ind w:firstLine="567"/>
        <w:contextualSpacing/>
        <w:rPr>
          <w:rFonts w:ascii="Times New Roman" w:hAnsi="Times New Roman" w:cs="Times New Roman"/>
          <w:sz w:val="22"/>
          <w:szCs w:val="22"/>
        </w:rPr>
      </w:pPr>
    </w:p>
    <w:p w14:paraId="7037B1A4" w14:textId="77777777" w:rsidR="00EF65F1" w:rsidRDefault="00EF65F1">
      <w:pPr>
        <w:spacing w:after="0" w:line="360" w:lineRule="auto"/>
        <w:ind w:firstLine="567"/>
        <w:contextualSpacing/>
        <w:rPr>
          <w:rFonts w:ascii="Times New Roman" w:hAnsi="Times New Roman" w:cs="Times New Roman"/>
          <w:sz w:val="22"/>
          <w:szCs w:val="22"/>
        </w:rPr>
      </w:pPr>
    </w:p>
    <w:p w14:paraId="23A6DCA9" w14:textId="77777777" w:rsidR="00EF65F1" w:rsidRDefault="00EF65F1">
      <w:pPr>
        <w:spacing w:before="240" w:after="0" w:line="360" w:lineRule="auto"/>
        <w:contextualSpacing/>
        <w:jc w:val="both"/>
        <w:rPr>
          <w:rFonts w:ascii="Times New Roman" w:hAnsi="Times New Roman" w:cs="Times New Roman"/>
          <w:sz w:val="24"/>
          <w:szCs w:val="24"/>
        </w:rPr>
      </w:pPr>
      <w:bookmarkStart w:id="29" w:name="_Toc530512566"/>
      <w:bookmarkStart w:id="30" w:name="_Toc2349029"/>
    </w:p>
    <w:p w14:paraId="536C1171" w14:textId="4F969AE3" w:rsidR="00EF65F1" w:rsidRDefault="00484A18">
      <w:pPr>
        <w:spacing w:before="240" w:after="0" w:line="360" w:lineRule="auto"/>
        <w:contextualSpacing/>
        <w:jc w:val="both"/>
        <w:rPr>
          <w:rFonts w:ascii="Times New Roman" w:hAnsi="Times New Roman" w:cs="Times New Roman"/>
          <w:sz w:val="22"/>
          <w:szCs w:val="22"/>
        </w:rPr>
      </w:pPr>
      <w:r>
        <w:rPr>
          <w:rFonts w:ascii="Times New Roman" w:hAnsi="Times New Roman" w:cs="Times New Roman"/>
          <w:sz w:val="24"/>
          <w:szCs w:val="24"/>
        </w:rPr>
        <w:t xml:space="preserve">Figure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STYLEREF 1 \s </w:instrText>
      </w:r>
      <w:r>
        <w:rPr>
          <w:rFonts w:ascii="Times New Roman" w:hAnsi="Times New Roman" w:cs="Times New Roman"/>
          <w:sz w:val="24"/>
          <w:szCs w:val="24"/>
        </w:rPr>
        <w:fldChar w:fldCharType="separate"/>
      </w:r>
      <w:r w:rsidR="00E604B8">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Figure \* ARABIC \s 1 </w:instrText>
      </w:r>
      <w:r>
        <w:rPr>
          <w:rFonts w:ascii="Times New Roman" w:hAnsi="Times New Roman" w:cs="Times New Roman"/>
          <w:sz w:val="24"/>
          <w:szCs w:val="24"/>
        </w:rPr>
        <w:fldChar w:fldCharType="separate"/>
      </w:r>
      <w:r w:rsidR="00E604B8">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t xml:space="preserve"> Impacts of climate change on livestock (Rojas-Downing </w:t>
      </w:r>
      <w:r>
        <w:rPr>
          <w:rFonts w:ascii="Times New Roman" w:hAnsi="Times New Roman" w:cs="Times New Roman"/>
          <w:i/>
          <w:sz w:val="24"/>
          <w:szCs w:val="24"/>
        </w:rPr>
        <w:t>et al.</w:t>
      </w:r>
      <w:r>
        <w:rPr>
          <w:rFonts w:ascii="Times New Roman" w:hAnsi="Times New Roman" w:cs="Times New Roman"/>
          <w:sz w:val="24"/>
          <w:szCs w:val="24"/>
        </w:rPr>
        <w:t>, 2017)</w:t>
      </w:r>
      <w:bookmarkEnd w:id="29"/>
      <w:bookmarkEnd w:id="30"/>
    </w:p>
    <w:p w14:paraId="73E5F1EA" w14:textId="77777777" w:rsidR="00EF65F1" w:rsidRDefault="00484A18">
      <w:pPr>
        <w:spacing w:after="0" w:line="360" w:lineRule="auto"/>
        <w:ind w:firstLine="567"/>
        <w:contextualSpacing/>
        <w:rPr>
          <w:rFonts w:ascii="Times New Roman" w:hAnsi="Times New Roman" w:cs="Times New Roman"/>
          <w:sz w:val="22"/>
          <w:szCs w:val="22"/>
        </w:rPr>
      </w:pPr>
      <w:r>
        <w:rPr>
          <w:rFonts w:ascii="Times New Roman" w:hAnsi="Times New Roman" w:cs="Times New Roman"/>
          <w:noProof/>
          <w:sz w:val="22"/>
          <w:szCs w:val="22"/>
          <w:lang w:eastAsia="en-ZA"/>
        </w:rPr>
        <w:drawing>
          <wp:anchor distT="0" distB="0" distL="114300" distR="114300" simplePos="0" relativeHeight="251659264" behindDoc="0" locked="0" layoutInCell="1" allowOverlap="1" wp14:anchorId="25BF6B1E" wp14:editId="3B7D32A5">
            <wp:simplePos x="0" y="0"/>
            <wp:positionH relativeFrom="margin">
              <wp:posOffset>-372745</wp:posOffset>
            </wp:positionH>
            <wp:positionV relativeFrom="margin">
              <wp:posOffset>0</wp:posOffset>
            </wp:positionV>
            <wp:extent cx="6467475" cy="3771265"/>
            <wp:effectExtent l="0" t="0" r="9525" b="63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 (7).png"/>
                    <pic:cNvPicPr/>
                  </pic:nvPicPr>
                  <pic:blipFill>
                    <a:blip r:embed="rId12">
                      <a:extLst>
                        <a:ext uri="{28A0092B-C50C-407E-A947-70E740481C1C}">
                          <a14:useLocalDpi xmlns:a14="http://schemas.microsoft.com/office/drawing/2010/main" val="0"/>
                        </a:ext>
                      </a:extLst>
                    </a:blip>
                    <a:stretch>
                      <a:fillRect/>
                    </a:stretch>
                  </pic:blipFill>
                  <pic:spPr>
                    <a:xfrm>
                      <a:off x="0" y="0"/>
                      <a:ext cx="6467475" cy="3771265"/>
                    </a:xfrm>
                    <a:prstGeom prst="rect">
                      <a:avLst/>
                    </a:prstGeom>
                  </pic:spPr>
                </pic:pic>
              </a:graphicData>
            </a:graphic>
          </wp:anchor>
        </w:drawing>
      </w:r>
      <w:r>
        <w:rPr>
          <w:rFonts w:ascii="Times New Roman" w:hAnsi="Times New Roman" w:cs="Times New Roman"/>
          <w:sz w:val="22"/>
          <w:szCs w:val="22"/>
        </w:rPr>
        <w:t xml:space="preserve"> </w:t>
      </w:r>
    </w:p>
    <w:p w14:paraId="577EA45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 order to produce suitable mitigation strategies for reduced greenhouse gases and ammonia emissions from livestock, it is important that we establish reliable and accurate measures of emissions (Santos </w:t>
      </w:r>
      <w:r>
        <w:rPr>
          <w:rFonts w:ascii="Times New Roman" w:hAnsi="Times New Roman" w:cs="Times New Roman"/>
          <w:i/>
          <w:sz w:val="22"/>
          <w:szCs w:val="22"/>
        </w:rPr>
        <w:t>et al.</w:t>
      </w:r>
      <w:r>
        <w:rPr>
          <w:rFonts w:ascii="Times New Roman" w:hAnsi="Times New Roman" w:cs="Times New Roman"/>
          <w:sz w:val="22"/>
          <w:szCs w:val="22"/>
        </w:rPr>
        <w:t>, 2018).  Enteric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production can be estimated via several methods including respiration chambers, </w:t>
      </w:r>
      <w:r>
        <w:rPr>
          <w:rFonts w:ascii="Times New Roman" w:hAnsi="Times New Roman" w:cs="Times New Roman"/>
          <w:i/>
          <w:sz w:val="22"/>
          <w:szCs w:val="22"/>
        </w:rPr>
        <w:t xml:space="preserve">in vitro </w:t>
      </w:r>
      <w:r>
        <w:rPr>
          <w:rFonts w:ascii="Times New Roman" w:hAnsi="Times New Roman" w:cs="Times New Roman"/>
          <w:sz w:val="22"/>
          <w:szCs w:val="22"/>
        </w:rPr>
        <w:t>systems, SF</w:t>
      </w:r>
      <w:r>
        <w:rPr>
          <w:rFonts w:ascii="Times New Roman" w:hAnsi="Times New Roman" w:cs="Times New Roman"/>
          <w:sz w:val="22"/>
          <w:szCs w:val="22"/>
          <w:vertAlign w:val="subscript"/>
        </w:rPr>
        <w:t>6</w:t>
      </w:r>
      <w:r>
        <w:rPr>
          <w:rFonts w:ascii="Times New Roman" w:hAnsi="Times New Roman" w:cs="Times New Roman"/>
          <w:sz w:val="22"/>
          <w:szCs w:val="22"/>
        </w:rPr>
        <w:t xml:space="preserve"> tracer gas technique, simulation and prediction equations (Montenegro </w:t>
      </w:r>
      <w:r>
        <w:rPr>
          <w:rFonts w:ascii="Times New Roman" w:hAnsi="Times New Roman" w:cs="Times New Roman"/>
          <w:i/>
          <w:sz w:val="22"/>
          <w:szCs w:val="22"/>
        </w:rPr>
        <w:t>et al.</w:t>
      </w:r>
      <w:r>
        <w:rPr>
          <w:rFonts w:ascii="Times New Roman" w:hAnsi="Times New Roman" w:cs="Times New Roman"/>
          <w:sz w:val="22"/>
          <w:szCs w:val="22"/>
        </w:rPr>
        <w:t xml:space="preserve">, 2016).  However accurate estimates from livestock sector is complicated due to the variety of farming systems and variability associated with animal differences (Santos </w:t>
      </w:r>
      <w:r>
        <w:rPr>
          <w:rFonts w:ascii="Times New Roman" w:hAnsi="Times New Roman" w:cs="Times New Roman"/>
          <w:i/>
          <w:sz w:val="22"/>
          <w:szCs w:val="22"/>
        </w:rPr>
        <w:t>et al.</w:t>
      </w:r>
      <w:r>
        <w:rPr>
          <w:rFonts w:ascii="Times New Roman" w:hAnsi="Times New Roman" w:cs="Times New Roman"/>
          <w:sz w:val="22"/>
          <w:szCs w:val="22"/>
        </w:rPr>
        <w:t xml:space="preserve">, 2018).  </w:t>
      </w:r>
    </w:p>
    <w:p w14:paraId="307404C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 xml:space="preserve"> </w:t>
      </w:r>
    </w:p>
    <w:p w14:paraId="6DE76E2D"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31" w:name="_Toc2691115"/>
      <w:r>
        <w:rPr>
          <w:rFonts w:ascii="Times New Roman" w:hAnsi="Times New Roman" w:cs="Times New Roman"/>
          <w:color w:val="auto"/>
        </w:rPr>
        <w:t>Regulations of synthetic growth promoters</w:t>
      </w:r>
      <w:bookmarkEnd w:id="31"/>
    </w:p>
    <w:p w14:paraId="627A9D2C" w14:textId="77777777" w:rsidR="00EF65F1" w:rsidRDefault="00EF65F1">
      <w:pPr>
        <w:spacing w:after="0" w:line="360" w:lineRule="auto"/>
        <w:ind w:firstLine="567"/>
        <w:contextualSpacing/>
        <w:jc w:val="both"/>
        <w:rPr>
          <w:rFonts w:ascii="Times New Roman" w:hAnsi="Times New Roman" w:cs="Times New Roman"/>
          <w:sz w:val="22"/>
          <w:szCs w:val="22"/>
        </w:rPr>
      </w:pPr>
    </w:p>
    <w:p w14:paraId="14EC7F52"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32" w:name="_Hlk2674524"/>
      <w:r>
        <w:rPr>
          <w:rFonts w:ascii="Times New Roman" w:hAnsi="Times New Roman" w:cs="Times New Roman"/>
          <w:sz w:val="22"/>
          <w:szCs w:val="22"/>
        </w:rPr>
        <w:t xml:space="preserve">Worldwide pressure to remove antibiotics as growth promoters from the livestock industry is increasing, with more countries implementing stricter regulations each year.  The EU ban of animal feed antibiotics used as growth promotors was necessitated by the upsurge of drug resistant bacterial strains, especially human pathogens, attributed to the indiscriminate use of antibiotics (Martini &amp; Eloff, 1998; Hart </w:t>
      </w:r>
      <w:r>
        <w:rPr>
          <w:rFonts w:ascii="Times New Roman" w:hAnsi="Times New Roman" w:cs="Times New Roman"/>
          <w:i/>
          <w:sz w:val="22"/>
          <w:szCs w:val="22"/>
        </w:rPr>
        <w:t>et al.</w:t>
      </w:r>
      <w:r>
        <w:rPr>
          <w:rFonts w:ascii="Times New Roman" w:hAnsi="Times New Roman" w:cs="Times New Roman"/>
          <w:sz w:val="22"/>
          <w:szCs w:val="22"/>
        </w:rPr>
        <w:t xml:space="preserve">, 2008; Rochfort </w:t>
      </w:r>
      <w:r>
        <w:rPr>
          <w:rFonts w:ascii="Times New Roman" w:hAnsi="Times New Roman" w:cs="Times New Roman"/>
          <w:i/>
          <w:sz w:val="22"/>
          <w:szCs w:val="22"/>
        </w:rPr>
        <w:t>et al.</w:t>
      </w:r>
      <w:r>
        <w:rPr>
          <w:rFonts w:ascii="Times New Roman" w:hAnsi="Times New Roman" w:cs="Times New Roman"/>
          <w:sz w:val="22"/>
          <w:szCs w:val="22"/>
        </w:rPr>
        <w:t xml:space="preserve">, 2008; Cattani </w:t>
      </w:r>
      <w:r>
        <w:rPr>
          <w:rFonts w:ascii="Times New Roman" w:hAnsi="Times New Roman" w:cs="Times New Roman"/>
          <w:i/>
          <w:sz w:val="22"/>
          <w:szCs w:val="22"/>
        </w:rPr>
        <w:t>et al.</w:t>
      </w:r>
      <w:r>
        <w:rPr>
          <w:rFonts w:ascii="Times New Roman" w:hAnsi="Times New Roman" w:cs="Times New Roman"/>
          <w:sz w:val="22"/>
          <w:szCs w:val="22"/>
        </w:rPr>
        <w:t>, 2016).</w:t>
      </w:r>
      <w:bookmarkEnd w:id="32"/>
      <w:r>
        <w:rPr>
          <w:rFonts w:ascii="Times New Roman" w:hAnsi="Times New Roman" w:cs="Times New Roman"/>
          <w:sz w:val="22"/>
          <w:szCs w:val="22"/>
        </w:rPr>
        <w:t xml:space="preserve">  Concern over the potential increase of transmissible resistance factors that may compromise the effectiveness of human antibiotics led to the ban (Hart </w:t>
      </w:r>
      <w:r>
        <w:rPr>
          <w:rFonts w:ascii="Times New Roman" w:hAnsi="Times New Roman" w:cs="Times New Roman"/>
          <w:i/>
          <w:sz w:val="22"/>
          <w:szCs w:val="22"/>
        </w:rPr>
        <w:t>et al.</w:t>
      </w:r>
      <w:r>
        <w:rPr>
          <w:rFonts w:ascii="Times New Roman" w:hAnsi="Times New Roman" w:cs="Times New Roman"/>
          <w:sz w:val="22"/>
          <w:szCs w:val="22"/>
        </w:rPr>
        <w:t xml:space="preserve">, 2008).  Microorganisms can acquire resistance either via natural selection, whereby a natural resistance gene mutation occurs, or through the development of acquired resistance due to horizontal gene transfer (National Department of Health, South Africa, 2015c).  Any antimicrobial </w:t>
      </w:r>
      <w:r>
        <w:rPr>
          <w:rFonts w:ascii="Times New Roman" w:hAnsi="Times New Roman" w:cs="Times New Roman"/>
          <w:sz w:val="22"/>
          <w:szCs w:val="22"/>
        </w:rPr>
        <w:lastRenderedPageBreak/>
        <w:t xml:space="preserve">agent that has been attributed to resistance in human medicine should not be used as growth promoters in livestock (National Department of Health, South Africa, 2015b).  </w:t>
      </w:r>
    </w:p>
    <w:p w14:paraId="4FDD3A90" w14:textId="77777777" w:rsidR="00EF65F1" w:rsidRDefault="00EF65F1">
      <w:pPr>
        <w:spacing w:after="0" w:line="360" w:lineRule="auto"/>
        <w:ind w:firstLine="567"/>
        <w:contextualSpacing/>
        <w:jc w:val="both"/>
        <w:rPr>
          <w:rFonts w:ascii="Times New Roman" w:hAnsi="Times New Roman" w:cs="Times New Roman"/>
          <w:sz w:val="22"/>
          <w:szCs w:val="22"/>
        </w:rPr>
      </w:pPr>
    </w:p>
    <w:p w14:paraId="751C94F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Import and export pressure from trading partners of animal products fed antimicrobial feed additives may cause some countries to re-evaluate their policies (National Department of Health, South Africa, 2015b), due to concern over potential residues in animal products, meat and milk (Busquet </w:t>
      </w:r>
      <w:r>
        <w:rPr>
          <w:rFonts w:ascii="Times New Roman" w:hAnsi="Times New Roman" w:cs="Times New Roman"/>
          <w:i/>
          <w:sz w:val="22"/>
          <w:szCs w:val="22"/>
        </w:rPr>
        <w:t>et al.</w:t>
      </w:r>
      <w:r>
        <w:rPr>
          <w:rFonts w:ascii="Times New Roman" w:hAnsi="Times New Roman" w:cs="Times New Roman"/>
          <w:sz w:val="22"/>
          <w:szCs w:val="22"/>
        </w:rPr>
        <w:t xml:space="preserve">, 2006; Boussaada </w:t>
      </w:r>
      <w:r>
        <w:rPr>
          <w:rFonts w:ascii="Times New Roman" w:hAnsi="Times New Roman" w:cs="Times New Roman"/>
          <w:i/>
          <w:sz w:val="22"/>
          <w:szCs w:val="22"/>
        </w:rPr>
        <w:t>et al.</w:t>
      </w:r>
      <w:r>
        <w:rPr>
          <w:rFonts w:ascii="Times New Roman" w:hAnsi="Times New Roman" w:cs="Times New Roman"/>
          <w:sz w:val="22"/>
          <w:szCs w:val="22"/>
        </w:rPr>
        <w:t xml:space="preserve">, 2018; Soltan </w:t>
      </w:r>
      <w:r>
        <w:rPr>
          <w:rFonts w:ascii="Times New Roman" w:hAnsi="Times New Roman" w:cs="Times New Roman"/>
          <w:i/>
          <w:sz w:val="22"/>
          <w:szCs w:val="22"/>
        </w:rPr>
        <w:t>et al.</w:t>
      </w:r>
      <w:r>
        <w:rPr>
          <w:rFonts w:ascii="Times New Roman" w:hAnsi="Times New Roman" w:cs="Times New Roman"/>
          <w:sz w:val="22"/>
          <w:szCs w:val="22"/>
        </w:rPr>
        <w:t xml:space="preserve">, 2018).  A “One Health” approach for development and implementation of techniques and/or regulations to manage antimicrobial resistance between the human, animal and environmental sectors as one is paramount due to the cross-sector implications of the problem (Schellack </w:t>
      </w:r>
      <w:r>
        <w:rPr>
          <w:rFonts w:ascii="Times New Roman" w:hAnsi="Times New Roman" w:cs="Times New Roman"/>
          <w:i/>
          <w:sz w:val="22"/>
          <w:szCs w:val="22"/>
        </w:rPr>
        <w:t>et al.</w:t>
      </w:r>
      <w:r>
        <w:rPr>
          <w:rFonts w:ascii="Times New Roman" w:hAnsi="Times New Roman" w:cs="Times New Roman"/>
          <w:sz w:val="22"/>
          <w:szCs w:val="22"/>
        </w:rPr>
        <w:t xml:space="preserve">, 2017).  According to a report released by the World Health Organisation (WHO) in 2003, antibiotics can be removed from the livestock industry as growth promoters without severe repercussions, citing Denmark as an example who have been free from the use of antibiotic growth promoters since 1999 (Rochfort </w:t>
      </w:r>
      <w:r>
        <w:rPr>
          <w:rFonts w:ascii="Times New Roman" w:hAnsi="Times New Roman" w:cs="Times New Roman"/>
          <w:i/>
          <w:sz w:val="22"/>
          <w:szCs w:val="22"/>
        </w:rPr>
        <w:t>et al.</w:t>
      </w:r>
      <w:r>
        <w:rPr>
          <w:rFonts w:ascii="Times New Roman" w:hAnsi="Times New Roman" w:cs="Times New Roman"/>
          <w:sz w:val="22"/>
          <w:szCs w:val="22"/>
        </w:rPr>
        <w:t>, 2008).</w:t>
      </w:r>
    </w:p>
    <w:p w14:paraId="648C45E3" w14:textId="77777777" w:rsidR="00EF65F1" w:rsidRDefault="00EF65F1">
      <w:pPr>
        <w:spacing w:after="0" w:line="360" w:lineRule="auto"/>
        <w:ind w:firstLine="567"/>
        <w:contextualSpacing/>
        <w:jc w:val="both"/>
        <w:rPr>
          <w:rFonts w:ascii="Times New Roman" w:hAnsi="Times New Roman" w:cs="Times New Roman"/>
          <w:sz w:val="22"/>
          <w:szCs w:val="22"/>
        </w:rPr>
      </w:pPr>
    </w:p>
    <w:p w14:paraId="7461F419"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negative consumer perception on synthetic chemicals used as growth promoters in the livestock sector is primarily related to human and animal health risks (Valenzuela-Grijalva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and public pressure is compelling large NGOs to supply antibiotic free meat, forcing meat producers to exclude antibiotics in their operations.  For example, McDonald’s corporation released a ‘Global Policy on Antibiotics’ in 2003 including their request to their supplies to phase out antibiotics as growth promoters (Rochfort </w:t>
      </w:r>
      <w:r>
        <w:rPr>
          <w:rFonts w:ascii="Times New Roman" w:hAnsi="Times New Roman" w:cs="Times New Roman"/>
          <w:i/>
          <w:sz w:val="22"/>
          <w:szCs w:val="22"/>
        </w:rPr>
        <w:t>et al.</w:t>
      </w:r>
      <w:r>
        <w:rPr>
          <w:rFonts w:ascii="Times New Roman" w:hAnsi="Times New Roman" w:cs="Times New Roman"/>
          <w:sz w:val="22"/>
          <w:szCs w:val="22"/>
        </w:rPr>
        <w:t xml:space="preserve">, 2008).  The Food and Drug Administration in the USA in 2005 banned the use of Baytril, an antibiotic used in poultry, due to potentially increasing human drug resistance (Rochfort </w:t>
      </w:r>
      <w:r>
        <w:rPr>
          <w:rFonts w:ascii="Times New Roman" w:hAnsi="Times New Roman" w:cs="Times New Roman"/>
          <w:i/>
          <w:sz w:val="22"/>
          <w:szCs w:val="22"/>
        </w:rPr>
        <w:t>et al.</w:t>
      </w:r>
      <w:r>
        <w:rPr>
          <w:rFonts w:ascii="Times New Roman" w:hAnsi="Times New Roman" w:cs="Times New Roman"/>
          <w:sz w:val="22"/>
          <w:szCs w:val="22"/>
        </w:rPr>
        <w:t>, 2008), followed by a voluntary phasing out of antibiotic growth promoters in December 2013 (National Department of Health, South Africa, 2015c).</w:t>
      </w:r>
    </w:p>
    <w:p w14:paraId="6CDE4CBB" w14:textId="77777777" w:rsidR="00EF65F1" w:rsidRDefault="00EF65F1">
      <w:pPr>
        <w:spacing w:after="0" w:line="360" w:lineRule="auto"/>
        <w:ind w:firstLine="567"/>
        <w:contextualSpacing/>
        <w:jc w:val="both"/>
        <w:rPr>
          <w:rFonts w:ascii="Times New Roman" w:hAnsi="Times New Roman" w:cs="Times New Roman"/>
          <w:sz w:val="22"/>
          <w:szCs w:val="22"/>
        </w:rPr>
      </w:pPr>
    </w:p>
    <w:p w14:paraId="2732804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 South Africa regulations governing antibiotic growth promoters have been limited, with farmers and producers being able to purchase these products without a veterinary prescription under the Fertilisers, Farm, Feeds, Agricultural Remedies and Stock Remedies Act 36 of 1947 (National Department of Health, South Africa, 2015b; Schellack </w:t>
      </w:r>
      <w:r>
        <w:rPr>
          <w:rFonts w:ascii="Times New Roman" w:hAnsi="Times New Roman" w:cs="Times New Roman"/>
          <w:i/>
          <w:sz w:val="22"/>
          <w:szCs w:val="22"/>
        </w:rPr>
        <w:t>et al.</w:t>
      </w:r>
      <w:r>
        <w:rPr>
          <w:rFonts w:ascii="Times New Roman" w:hAnsi="Times New Roman" w:cs="Times New Roman"/>
          <w:sz w:val="22"/>
          <w:szCs w:val="22"/>
        </w:rPr>
        <w:t xml:space="preserve">, 2017).  Around 28% of antimicrobials used in South Africa for treatment of animals are classified under the Medicines and Related Substances Control Act 101 of 1965 which require a veterinary prescription (National Department of Health, South Africa, 2015c).  This highlights the ease at which the public has availability to antibiotic growth promoters.   A 2012 published study evaluating the use of antimicrobial products in the South Africa livestock industry showed that 64 different antimicrobial drugs with 19 active ingredients were in use between the years 2002 to 2004, including tylosin, spiramycin, bacitracin and virginiamycin which are on the WHO’s banned antimicrobials list (National Department of Health, South Africa., 2015c).  However, the South African National Veterinary Strategy 2016 to 2026 has identified the need for more stringent regulations in this regard (Schellack </w:t>
      </w:r>
      <w:r>
        <w:rPr>
          <w:rFonts w:ascii="Times New Roman" w:hAnsi="Times New Roman" w:cs="Times New Roman"/>
          <w:i/>
          <w:sz w:val="22"/>
          <w:szCs w:val="22"/>
        </w:rPr>
        <w:t>et al.</w:t>
      </w:r>
      <w:r>
        <w:rPr>
          <w:rFonts w:ascii="Times New Roman" w:hAnsi="Times New Roman" w:cs="Times New Roman"/>
          <w:sz w:val="22"/>
          <w:szCs w:val="22"/>
        </w:rPr>
        <w:t xml:space="preserve">, 2017).  The 2012 founding of a South African </w:t>
      </w:r>
      <w:r>
        <w:rPr>
          <w:rFonts w:ascii="Times New Roman" w:hAnsi="Times New Roman" w:cs="Times New Roman"/>
          <w:sz w:val="22"/>
          <w:szCs w:val="22"/>
        </w:rPr>
        <w:lastRenderedPageBreak/>
        <w:t xml:space="preserve">Antibiotic Stewardship Programme (SAASP), along with the publication of South Africa’s Antimicrobial Resistance National Strategy Framework 2014 to 2024 in 2014 which identifies the need to regulate antimicrobial utilisation across all sectors is likely to result in reduced accessibility and/or banning on antibiotics used as growth promoters in the livestock industry in South Africa (National Department of Health, South Africa, 2015a; Schellack </w:t>
      </w:r>
      <w:r>
        <w:rPr>
          <w:rFonts w:ascii="Times New Roman" w:hAnsi="Times New Roman" w:cs="Times New Roman"/>
          <w:i/>
          <w:sz w:val="22"/>
          <w:szCs w:val="22"/>
        </w:rPr>
        <w:t>et al.</w:t>
      </w:r>
      <w:r>
        <w:rPr>
          <w:rFonts w:ascii="Times New Roman" w:hAnsi="Times New Roman" w:cs="Times New Roman"/>
          <w:sz w:val="22"/>
          <w:szCs w:val="22"/>
        </w:rPr>
        <w:t>, 2017).  The South African Veterinary Association in conjunction with the University of Pretoria’s faculty of Veterinary Science has published guidelines regarding the use of antimicrobials in veterinary medicine, however, there are currently no bans or plans to stop use of antimicrobial growth promoters in South Africa (National Department of Health, South Africa, 2015c).</w:t>
      </w:r>
    </w:p>
    <w:p w14:paraId="576FA4EA" w14:textId="77777777" w:rsidR="00EF65F1" w:rsidRDefault="00EF65F1">
      <w:pPr>
        <w:spacing w:after="0" w:line="360" w:lineRule="auto"/>
        <w:ind w:firstLine="567"/>
        <w:contextualSpacing/>
        <w:jc w:val="both"/>
        <w:rPr>
          <w:rFonts w:ascii="Times New Roman" w:hAnsi="Times New Roman" w:cs="Times New Roman"/>
          <w:sz w:val="22"/>
          <w:szCs w:val="22"/>
        </w:rPr>
      </w:pPr>
    </w:p>
    <w:p w14:paraId="71169AA4"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Guidelines on the use of antimicrobial drugs in veterinary medicine and antimicrobial resistance were released in 2003 by the International Committee of the World Organisation for Animal Health (OIE) and should assist countries in developing regulations regarding the use of antibiotics, especially as growth promoters in the livestock industry (National Department of Health, South Africa, 2015c).  These guidelines are aimed to reduce antibiotics used as growth promoters in the livestock sector and are not intended to dictate use of antibiotics for therapeutic purposes (McGrath </w:t>
      </w:r>
      <w:r>
        <w:rPr>
          <w:rFonts w:ascii="Times New Roman" w:hAnsi="Times New Roman" w:cs="Times New Roman"/>
          <w:i/>
          <w:sz w:val="22"/>
          <w:szCs w:val="22"/>
        </w:rPr>
        <w:t>et al.</w:t>
      </w:r>
      <w:r>
        <w:rPr>
          <w:rFonts w:ascii="Times New Roman" w:hAnsi="Times New Roman" w:cs="Times New Roman"/>
          <w:sz w:val="22"/>
          <w:szCs w:val="22"/>
        </w:rPr>
        <w:t>, 2018).</w:t>
      </w:r>
    </w:p>
    <w:p w14:paraId="0B378C87" w14:textId="77777777" w:rsidR="00EF65F1" w:rsidRDefault="00EF65F1">
      <w:pPr>
        <w:spacing w:after="0" w:line="360" w:lineRule="auto"/>
        <w:ind w:firstLine="567"/>
        <w:contextualSpacing/>
        <w:jc w:val="both"/>
        <w:rPr>
          <w:rFonts w:ascii="Times New Roman" w:hAnsi="Times New Roman" w:cs="Times New Roman"/>
          <w:sz w:val="22"/>
          <w:szCs w:val="22"/>
        </w:rPr>
      </w:pPr>
    </w:p>
    <w:p w14:paraId="6D16CFC3"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33" w:name="_Toc2691116"/>
      <w:r>
        <w:rPr>
          <w:rFonts w:ascii="Times New Roman" w:hAnsi="Times New Roman" w:cs="Times New Roman"/>
          <w:color w:val="auto"/>
        </w:rPr>
        <w:t>Impact on productivity</w:t>
      </w:r>
      <w:bookmarkEnd w:id="33"/>
    </w:p>
    <w:p w14:paraId="1F2D58F0" w14:textId="77777777" w:rsidR="00EF65F1" w:rsidRDefault="00EF65F1">
      <w:pPr>
        <w:spacing w:after="0" w:line="360" w:lineRule="auto"/>
        <w:ind w:firstLine="567"/>
        <w:contextualSpacing/>
        <w:jc w:val="both"/>
        <w:rPr>
          <w:rFonts w:ascii="Times New Roman" w:hAnsi="Times New Roman" w:cs="Times New Roman"/>
          <w:sz w:val="22"/>
          <w:szCs w:val="22"/>
        </w:rPr>
      </w:pPr>
    </w:p>
    <w:p w14:paraId="29B9B4A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human population is estimated to reach 9.6 billion people by 2050 (Rojas-Downing </w:t>
      </w:r>
      <w:r>
        <w:rPr>
          <w:rFonts w:ascii="Times New Roman" w:hAnsi="Times New Roman" w:cs="Times New Roman"/>
          <w:i/>
          <w:sz w:val="22"/>
          <w:szCs w:val="22"/>
        </w:rPr>
        <w:t>et al.</w:t>
      </w:r>
      <w:r>
        <w:rPr>
          <w:rFonts w:ascii="Times New Roman" w:hAnsi="Times New Roman" w:cs="Times New Roman"/>
          <w:sz w:val="22"/>
          <w:szCs w:val="22"/>
        </w:rPr>
        <w:t xml:space="preserve">, 2017), with 1 billion of this increase occurring in Africa (Thorton </w:t>
      </w:r>
      <w:r>
        <w:rPr>
          <w:rFonts w:ascii="Times New Roman" w:hAnsi="Times New Roman" w:cs="Times New Roman"/>
          <w:i/>
          <w:sz w:val="22"/>
          <w:szCs w:val="22"/>
        </w:rPr>
        <w:t>et al.</w:t>
      </w:r>
      <w:r>
        <w:rPr>
          <w:rFonts w:ascii="Times New Roman" w:hAnsi="Times New Roman" w:cs="Times New Roman"/>
          <w:sz w:val="22"/>
          <w:szCs w:val="22"/>
        </w:rPr>
        <w:t>, 2009).  By the mid-21</w:t>
      </w:r>
      <w:r>
        <w:rPr>
          <w:rFonts w:ascii="Times New Roman" w:hAnsi="Times New Roman" w:cs="Times New Roman"/>
          <w:sz w:val="22"/>
          <w:szCs w:val="22"/>
          <w:vertAlign w:val="superscript"/>
        </w:rPr>
        <w:t>st</w:t>
      </w:r>
      <w:r>
        <w:rPr>
          <w:rFonts w:ascii="Times New Roman" w:hAnsi="Times New Roman" w:cs="Times New Roman"/>
          <w:sz w:val="22"/>
          <w:szCs w:val="22"/>
        </w:rPr>
        <w:t xml:space="preserve"> century the demand for livestock products is expected to increase by 100% due to population growth and an increased standard of living (Rojas- Downing </w:t>
      </w:r>
      <w:r>
        <w:rPr>
          <w:rFonts w:ascii="Times New Roman" w:hAnsi="Times New Roman" w:cs="Times New Roman"/>
          <w:i/>
          <w:sz w:val="22"/>
          <w:szCs w:val="22"/>
        </w:rPr>
        <w:t>et al.</w:t>
      </w:r>
      <w:r>
        <w:rPr>
          <w:rFonts w:ascii="Times New Roman" w:hAnsi="Times New Roman" w:cs="Times New Roman"/>
          <w:sz w:val="22"/>
          <w:szCs w:val="22"/>
        </w:rPr>
        <w:t>, 2017).</w:t>
      </w:r>
    </w:p>
    <w:p w14:paraId="54540664" w14:textId="77777777" w:rsidR="00EF65F1" w:rsidRDefault="00EF65F1">
      <w:pPr>
        <w:spacing w:after="0" w:line="360" w:lineRule="auto"/>
        <w:ind w:firstLine="567"/>
        <w:contextualSpacing/>
        <w:jc w:val="both"/>
        <w:rPr>
          <w:rFonts w:ascii="Times New Roman" w:hAnsi="Times New Roman" w:cs="Times New Roman"/>
          <w:sz w:val="22"/>
          <w:szCs w:val="22"/>
        </w:rPr>
      </w:pPr>
    </w:p>
    <w:p w14:paraId="36860C1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About 75.7% of global livestock are ruminants (Arowolo &amp; He, 2018), therefore, by improving performance in ruminants through improved digestibility of feeds, especially fibrous feeds, as well as reducing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and N excretion through manipulating the rumen environment, are important avenues to pursue as animal scientist (Bodas </w:t>
      </w:r>
      <w:r>
        <w:rPr>
          <w:rFonts w:ascii="Times New Roman" w:hAnsi="Times New Roman" w:cs="Times New Roman"/>
          <w:i/>
          <w:sz w:val="22"/>
          <w:szCs w:val="22"/>
        </w:rPr>
        <w:t>et al.</w:t>
      </w:r>
      <w:r>
        <w:rPr>
          <w:rFonts w:ascii="Times New Roman" w:hAnsi="Times New Roman" w:cs="Times New Roman"/>
          <w:sz w:val="22"/>
          <w:szCs w:val="22"/>
        </w:rPr>
        <w:t xml:space="preserve">, 2008).  Efficiency of digestion of high fibre diets by ruminants is low (McCann </w:t>
      </w:r>
      <w:r>
        <w:rPr>
          <w:rFonts w:ascii="Times New Roman" w:hAnsi="Times New Roman" w:cs="Times New Roman"/>
          <w:i/>
          <w:sz w:val="22"/>
          <w:szCs w:val="22"/>
        </w:rPr>
        <w:t>et al.</w:t>
      </w:r>
      <w:r>
        <w:rPr>
          <w:rFonts w:ascii="Times New Roman" w:hAnsi="Times New Roman" w:cs="Times New Roman"/>
          <w:sz w:val="22"/>
          <w:szCs w:val="22"/>
        </w:rPr>
        <w:t xml:space="preserve">, 2017), reducing the energy supply to the animal, as forage digestibility is the main factor affecting energy intake of the animal (McGrath </w:t>
      </w:r>
      <w:r>
        <w:rPr>
          <w:rFonts w:ascii="Times New Roman" w:hAnsi="Times New Roman" w:cs="Times New Roman"/>
          <w:i/>
          <w:sz w:val="22"/>
          <w:szCs w:val="22"/>
        </w:rPr>
        <w:t>et al.</w:t>
      </w:r>
      <w:r>
        <w:rPr>
          <w:rFonts w:ascii="Times New Roman" w:hAnsi="Times New Roman" w:cs="Times New Roman"/>
          <w:sz w:val="22"/>
          <w:szCs w:val="22"/>
        </w:rPr>
        <w:t xml:space="preserve">, 2018).  In ruminant production systems feed costs can contribute up to 75% of production costs, therefore, improving the feed efficiency can significantly increase profitability of the system (McGrath </w:t>
      </w:r>
      <w:r>
        <w:rPr>
          <w:rFonts w:ascii="Times New Roman" w:hAnsi="Times New Roman" w:cs="Times New Roman"/>
          <w:i/>
          <w:sz w:val="22"/>
          <w:szCs w:val="22"/>
        </w:rPr>
        <w:t>et al.</w:t>
      </w:r>
      <w:r>
        <w:rPr>
          <w:rFonts w:ascii="Times New Roman" w:hAnsi="Times New Roman" w:cs="Times New Roman"/>
          <w:sz w:val="22"/>
          <w:szCs w:val="22"/>
        </w:rPr>
        <w:t xml:space="preserve">, 2018).  </w:t>
      </w:r>
    </w:p>
    <w:p w14:paraId="4F8B6995" w14:textId="77777777" w:rsidR="00EF65F1" w:rsidRDefault="00EF65F1">
      <w:pPr>
        <w:spacing w:after="0" w:line="360" w:lineRule="auto"/>
        <w:ind w:firstLine="567"/>
        <w:contextualSpacing/>
        <w:jc w:val="both"/>
        <w:rPr>
          <w:rFonts w:ascii="Times New Roman" w:hAnsi="Times New Roman" w:cs="Times New Roman"/>
          <w:sz w:val="22"/>
          <w:szCs w:val="22"/>
        </w:rPr>
      </w:pPr>
    </w:p>
    <w:p w14:paraId="325E6A0C"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34" w:name="_Hlk2674626"/>
      <w:r>
        <w:rPr>
          <w:rFonts w:ascii="Times New Roman" w:hAnsi="Times New Roman" w:cs="Times New Roman"/>
          <w:sz w:val="22"/>
          <w:szCs w:val="22"/>
        </w:rPr>
        <w:t>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results in a significant loss of energy for the animal (Gemeda &amp; Hassen, 2015).  Ruminal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constitutes around 8 to 15% of dietary energy intake when poor quality forage is fed (Busquet </w:t>
      </w:r>
      <w:r>
        <w:rPr>
          <w:rFonts w:ascii="Times New Roman" w:hAnsi="Times New Roman" w:cs="Times New Roman"/>
          <w:i/>
          <w:sz w:val="22"/>
          <w:szCs w:val="22"/>
        </w:rPr>
        <w:t>et al.</w:t>
      </w:r>
      <w:r>
        <w:rPr>
          <w:rFonts w:ascii="Times New Roman" w:hAnsi="Times New Roman" w:cs="Times New Roman"/>
          <w:sz w:val="22"/>
          <w:szCs w:val="22"/>
        </w:rPr>
        <w:t xml:space="preserve">, 2006; Patra &amp; Saxena, 2010; Rodriguez </w:t>
      </w:r>
      <w:r>
        <w:rPr>
          <w:rFonts w:ascii="Times New Roman" w:hAnsi="Times New Roman" w:cs="Times New Roman"/>
          <w:i/>
          <w:sz w:val="22"/>
          <w:szCs w:val="22"/>
        </w:rPr>
        <w:t>et al.</w:t>
      </w:r>
      <w:r>
        <w:rPr>
          <w:rFonts w:ascii="Times New Roman" w:hAnsi="Times New Roman" w:cs="Times New Roman"/>
          <w:sz w:val="22"/>
          <w:szCs w:val="22"/>
        </w:rPr>
        <w:t>, 2011;</w:t>
      </w:r>
      <w:r>
        <w:rPr>
          <w:rFonts w:ascii="Times New Roman" w:hAnsi="Times New Roman" w:cs="Times New Roman"/>
          <w:i/>
          <w:sz w:val="22"/>
          <w:szCs w:val="22"/>
        </w:rPr>
        <w:t xml:space="preserve"> </w:t>
      </w:r>
      <w:r>
        <w:rPr>
          <w:rFonts w:ascii="Times New Roman" w:hAnsi="Times New Roman" w:cs="Times New Roman"/>
          <w:sz w:val="22"/>
          <w:szCs w:val="22"/>
        </w:rPr>
        <w:t xml:space="preserve">Kim </w:t>
      </w:r>
      <w:r>
        <w:rPr>
          <w:rFonts w:ascii="Times New Roman" w:hAnsi="Times New Roman" w:cs="Times New Roman"/>
          <w:i/>
          <w:sz w:val="22"/>
          <w:szCs w:val="22"/>
        </w:rPr>
        <w:t>et al.</w:t>
      </w:r>
      <w:r>
        <w:rPr>
          <w:rFonts w:ascii="Times New Roman" w:hAnsi="Times New Roman" w:cs="Times New Roman"/>
          <w:sz w:val="22"/>
          <w:szCs w:val="22"/>
        </w:rPr>
        <w:t xml:space="preserve">, 2013; Montenegro </w:t>
      </w:r>
      <w:r>
        <w:rPr>
          <w:rFonts w:ascii="Times New Roman" w:hAnsi="Times New Roman" w:cs="Times New Roman"/>
          <w:i/>
          <w:sz w:val="22"/>
          <w:szCs w:val="22"/>
        </w:rPr>
        <w:t>et al.</w:t>
      </w:r>
      <w:r>
        <w:rPr>
          <w:rFonts w:ascii="Times New Roman" w:hAnsi="Times New Roman" w:cs="Times New Roman"/>
          <w:sz w:val="22"/>
          <w:szCs w:val="22"/>
        </w:rPr>
        <w:t xml:space="preserve">, 2016), lowering productivity in animal production due to the release of potentially </w:t>
      </w:r>
      <w:r>
        <w:rPr>
          <w:rFonts w:ascii="Times New Roman" w:hAnsi="Times New Roman" w:cs="Times New Roman"/>
          <w:sz w:val="22"/>
          <w:szCs w:val="22"/>
        </w:rPr>
        <w:lastRenderedPageBreak/>
        <w:t>usable energy (Akanmu &amp; Hassen, 2018).  Thus, efforts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without significantly reducing total gas production would potentially lead to increased productivity through improved feed conversion efficiency (Goel </w:t>
      </w:r>
      <w:r>
        <w:rPr>
          <w:rFonts w:ascii="Times New Roman" w:hAnsi="Times New Roman" w:cs="Times New Roman"/>
          <w:i/>
          <w:sz w:val="22"/>
          <w:szCs w:val="22"/>
        </w:rPr>
        <w:t>et al.</w:t>
      </w:r>
      <w:r>
        <w:rPr>
          <w:rFonts w:ascii="Times New Roman" w:hAnsi="Times New Roman" w:cs="Times New Roman"/>
          <w:sz w:val="22"/>
          <w:szCs w:val="22"/>
        </w:rPr>
        <w:t>, 2008;</w:t>
      </w:r>
      <w:r>
        <w:rPr>
          <w:rFonts w:ascii="Times New Roman" w:hAnsi="Times New Roman" w:cs="Times New Roman"/>
          <w:i/>
          <w:sz w:val="22"/>
          <w:szCs w:val="22"/>
        </w:rPr>
        <w:t xml:space="preserve"> </w:t>
      </w:r>
      <w:r>
        <w:rPr>
          <w:rFonts w:ascii="Times New Roman" w:hAnsi="Times New Roman" w:cs="Times New Roman"/>
          <w:sz w:val="22"/>
          <w:szCs w:val="22"/>
        </w:rPr>
        <w:t xml:space="preserve">Martin </w:t>
      </w:r>
      <w:r>
        <w:rPr>
          <w:rFonts w:ascii="Times New Roman" w:hAnsi="Times New Roman" w:cs="Times New Roman"/>
          <w:i/>
          <w:sz w:val="22"/>
          <w:szCs w:val="22"/>
        </w:rPr>
        <w:t>et al.</w:t>
      </w:r>
      <w:r>
        <w:rPr>
          <w:rFonts w:ascii="Times New Roman" w:hAnsi="Times New Roman" w:cs="Times New Roman"/>
          <w:sz w:val="22"/>
          <w:szCs w:val="22"/>
        </w:rPr>
        <w:t xml:space="preserve">, 2010; Montenegro </w:t>
      </w:r>
      <w:r>
        <w:rPr>
          <w:rFonts w:ascii="Times New Roman" w:hAnsi="Times New Roman" w:cs="Times New Roman"/>
          <w:i/>
          <w:sz w:val="22"/>
          <w:szCs w:val="22"/>
        </w:rPr>
        <w:t>et al.</w:t>
      </w:r>
      <w:r>
        <w:rPr>
          <w:rFonts w:ascii="Times New Roman" w:hAnsi="Times New Roman" w:cs="Times New Roman"/>
          <w:sz w:val="22"/>
          <w:szCs w:val="22"/>
        </w:rPr>
        <w:t>, 2016).</w:t>
      </w:r>
    </w:p>
    <w:bookmarkEnd w:id="34"/>
    <w:p w14:paraId="6B171DEE" w14:textId="77777777" w:rsidR="00EF65F1" w:rsidRDefault="00EF65F1">
      <w:pPr>
        <w:spacing w:line="360" w:lineRule="auto"/>
        <w:ind w:firstLine="567"/>
        <w:contextualSpacing/>
        <w:jc w:val="both"/>
        <w:rPr>
          <w:rFonts w:ascii="Times New Roman" w:hAnsi="Times New Roman" w:cs="Times New Roman"/>
          <w:sz w:val="22"/>
          <w:szCs w:val="22"/>
        </w:rPr>
      </w:pPr>
    </w:p>
    <w:p w14:paraId="70E42FEA"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35" w:name="_Toc2691117"/>
      <w:r>
        <w:rPr>
          <w:rFonts w:ascii="Times New Roman" w:hAnsi="Times New Roman" w:cs="Times New Roman"/>
          <w:b/>
          <w:color w:val="auto"/>
          <w:sz w:val="24"/>
          <w:szCs w:val="24"/>
        </w:rPr>
        <w:t>The rumen microbiome and methane synthesis</w:t>
      </w:r>
      <w:bookmarkEnd w:id="35"/>
    </w:p>
    <w:p w14:paraId="7D0F18F8" w14:textId="77777777" w:rsidR="00EF65F1" w:rsidRDefault="00EF65F1">
      <w:pPr>
        <w:spacing w:after="0" w:line="360" w:lineRule="auto"/>
        <w:ind w:firstLine="567"/>
        <w:contextualSpacing/>
        <w:jc w:val="both"/>
        <w:rPr>
          <w:rFonts w:ascii="Times New Roman" w:hAnsi="Times New Roman" w:cs="Times New Roman"/>
          <w:sz w:val="22"/>
          <w:szCs w:val="22"/>
        </w:rPr>
      </w:pPr>
    </w:p>
    <w:p w14:paraId="473DD0C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rumen microbiome consists of bacteria, protozoa, fungi, archaea and viruses in cohabitation.  The microorganisms assist in the breakdown of food through fermentation and the diversity of the microbiome impacts the ability of ruminants to optimise utilisation of nutrients from feed (McCann </w:t>
      </w:r>
      <w:r>
        <w:rPr>
          <w:rFonts w:ascii="Times New Roman" w:hAnsi="Times New Roman" w:cs="Times New Roman"/>
          <w:i/>
          <w:sz w:val="22"/>
          <w:szCs w:val="22"/>
        </w:rPr>
        <w:t>et al.</w:t>
      </w:r>
      <w:r>
        <w:rPr>
          <w:rFonts w:ascii="Times New Roman" w:hAnsi="Times New Roman" w:cs="Times New Roman"/>
          <w:sz w:val="22"/>
          <w:szCs w:val="22"/>
        </w:rPr>
        <w:t>, 2017; Arowolo &amp; He, 2018).  The micro-organism population of the rumen consists of approximately 10</w:t>
      </w:r>
      <w:r>
        <w:rPr>
          <w:rFonts w:ascii="Times New Roman" w:hAnsi="Times New Roman" w:cs="Times New Roman"/>
          <w:sz w:val="22"/>
          <w:szCs w:val="22"/>
          <w:vertAlign w:val="superscript"/>
        </w:rPr>
        <w:t>10</w:t>
      </w:r>
      <w:r>
        <w:rPr>
          <w:rFonts w:ascii="Times New Roman" w:hAnsi="Times New Roman" w:cs="Times New Roman"/>
          <w:sz w:val="22"/>
          <w:szCs w:val="22"/>
        </w:rPr>
        <w:t xml:space="preserve"> to 10</w:t>
      </w:r>
      <w:r>
        <w:rPr>
          <w:rFonts w:ascii="Times New Roman" w:hAnsi="Times New Roman" w:cs="Times New Roman"/>
          <w:sz w:val="22"/>
          <w:szCs w:val="22"/>
          <w:vertAlign w:val="superscript"/>
        </w:rPr>
        <w:t xml:space="preserve">11 </w:t>
      </w:r>
      <w:r>
        <w:rPr>
          <w:rFonts w:ascii="Times New Roman" w:hAnsi="Times New Roman" w:cs="Times New Roman"/>
          <w:sz w:val="22"/>
          <w:szCs w:val="22"/>
        </w:rPr>
        <w:t>bacteria/mL of rumen fluid comprised of about 30 predominant bacterial species, as well as 40 protozoal species (10</w:t>
      </w:r>
      <w:r>
        <w:rPr>
          <w:rFonts w:ascii="Times New Roman" w:hAnsi="Times New Roman" w:cs="Times New Roman"/>
          <w:sz w:val="22"/>
          <w:szCs w:val="22"/>
          <w:vertAlign w:val="superscript"/>
        </w:rPr>
        <w:t>5</w:t>
      </w:r>
      <w:r>
        <w:rPr>
          <w:rFonts w:ascii="Times New Roman" w:hAnsi="Times New Roman" w:cs="Times New Roman"/>
          <w:sz w:val="22"/>
          <w:szCs w:val="22"/>
        </w:rPr>
        <w:t xml:space="preserve"> to 10</w:t>
      </w:r>
      <w:r>
        <w:rPr>
          <w:rFonts w:ascii="Times New Roman" w:hAnsi="Times New Roman" w:cs="Times New Roman"/>
          <w:sz w:val="22"/>
          <w:szCs w:val="22"/>
          <w:vertAlign w:val="superscript"/>
        </w:rPr>
        <w:t>7</w:t>
      </w:r>
      <w:r>
        <w:rPr>
          <w:rFonts w:ascii="Times New Roman" w:hAnsi="Times New Roman" w:cs="Times New Roman"/>
          <w:sz w:val="22"/>
          <w:szCs w:val="22"/>
        </w:rPr>
        <w:t>/mL) and 5 species of fungi (&lt; 10</w:t>
      </w:r>
      <w:r>
        <w:rPr>
          <w:rFonts w:ascii="Times New Roman" w:hAnsi="Times New Roman" w:cs="Times New Roman"/>
          <w:sz w:val="22"/>
          <w:szCs w:val="22"/>
          <w:vertAlign w:val="superscript"/>
        </w:rPr>
        <w:t>5</w:t>
      </w:r>
      <w:r>
        <w:rPr>
          <w:rFonts w:ascii="Times New Roman" w:hAnsi="Times New Roman" w:cs="Times New Roman"/>
          <w:sz w:val="22"/>
          <w:szCs w:val="22"/>
        </w:rPr>
        <w:t xml:space="preserve">/mL) (Miron </w:t>
      </w:r>
      <w:r>
        <w:rPr>
          <w:rFonts w:ascii="Times New Roman" w:hAnsi="Times New Roman" w:cs="Times New Roman"/>
          <w:i/>
          <w:sz w:val="22"/>
          <w:szCs w:val="22"/>
        </w:rPr>
        <w:t>et al.</w:t>
      </w:r>
      <w:r>
        <w:rPr>
          <w:rFonts w:ascii="Times New Roman" w:hAnsi="Times New Roman" w:cs="Times New Roman"/>
          <w:sz w:val="22"/>
          <w:szCs w:val="22"/>
        </w:rPr>
        <w:t>, 2001).  The rumen bacteria are largely responsible for digestion of fibre, with around 50 to 75% of the total microbial population associated with feed particles (Arowolo &amp; He, 2018).</w:t>
      </w:r>
    </w:p>
    <w:p w14:paraId="297EAD9F" w14:textId="77777777" w:rsidR="00EF65F1" w:rsidRDefault="00EF65F1">
      <w:pPr>
        <w:spacing w:after="0" w:line="360" w:lineRule="auto"/>
        <w:ind w:firstLine="567"/>
        <w:contextualSpacing/>
        <w:jc w:val="both"/>
        <w:rPr>
          <w:rFonts w:ascii="Times New Roman" w:hAnsi="Times New Roman" w:cs="Times New Roman"/>
          <w:sz w:val="22"/>
          <w:szCs w:val="22"/>
        </w:rPr>
      </w:pPr>
    </w:p>
    <w:p w14:paraId="7BD76BFF"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36" w:name="_Hlk2674672"/>
      <w:r>
        <w:rPr>
          <w:rFonts w:ascii="Times New Roman" w:hAnsi="Times New Roman" w:cs="Times New Roman"/>
          <w:sz w:val="22"/>
          <w:szCs w:val="22"/>
        </w:rPr>
        <w:t xml:space="preserve">Rumen fermentation of feeds produces volatile fatty acids (VFA) as end products, which represent the main energy supply to the animal (Busquet </w:t>
      </w:r>
      <w:r>
        <w:rPr>
          <w:rFonts w:ascii="Times New Roman" w:hAnsi="Times New Roman" w:cs="Times New Roman"/>
          <w:i/>
          <w:sz w:val="22"/>
          <w:szCs w:val="22"/>
        </w:rPr>
        <w:t>et al.</w:t>
      </w:r>
      <w:r>
        <w:rPr>
          <w:rFonts w:ascii="Times New Roman" w:hAnsi="Times New Roman" w:cs="Times New Roman"/>
          <w:sz w:val="22"/>
          <w:szCs w:val="22"/>
        </w:rPr>
        <w:t xml:space="preserve">, 2006).  </w:t>
      </w:r>
      <w:bookmarkEnd w:id="36"/>
      <w:r>
        <w:rPr>
          <w:rFonts w:ascii="Times New Roman" w:hAnsi="Times New Roman" w:cs="Times New Roman"/>
          <w:sz w:val="22"/>
          <w:szCs w:val="22"/>
        </w:rPr>
        <w:t xml:space="preserve">The feed type and structure largely determine the proportion of each VFA produced (Akanmu &amp; Hassen, 2018), with high carbohydrate fractions from concentrates increasing the proportion of propionate produced.  Additionally, rumen fermentation also produces molecules essential for the formation of products such as glucose, lipids and microbial protein synthesis (McCann </w:t>
      </w:r>
      <w:r>
        <w:rPr>
          <w:rFonts w:ascii="Times New Roman" w:hAnsi="Times New Roman" w:cs="Times New Roman"/>
          <w:i/>
          <w:sz w:val="22"/>
          <w:szCs w:val="22"/>
        </w:rPr>
        <w:t>et al.</w:t>
      </w:r>
      <w:r>
        <w:rPr>
          <w:rFonts w:ascii="Times New Roman" w:hAnsi="Times New Roman" w:cs="Times New Roman"/>
          <w:sz w:val="22"/>
          <w:szCs w:val="22"/>
        </w:rPr>
        <w:t>, 2017).  Hydrogen and CO</w:t>
      </w:r>
      <w:r>
        <w:rPr>
          <w:rFonts w:ascii="Times New Roman" w:hAnsi="Times New Roman" w:cs="Times New Roman"/>
          <w:sz w:val="22"/>
          <w:szCs w:val="22"/>
          <w:vertAlign w:val="subscript"/>
        </w:rPr>
        <w:t xml:space="preserve">2 </w:t>
      </w:r>
      <w:r>
        <w:rPr>
          <w:rFonts w:ascii="Times New Roman" w:hAnsi="Times New Roman" w:cs="Times New Roman"/>
          <w:sz w:val="22"/>
          <w:szCs w:val="22"/>
        </w:rPr>
        <w:t>are produced together with VFAs (mainly acetate, propionate and butyrate) as by-products of rumen fermentation.  Hydrogen is released when reduced cofactors: NADH, NADPH, FADH, are re-oxidised to produce NAD</w:t>
      </w:r>
      <w:r>
        <w:rPr>
          <w:rFonts w:ascii="Times New Roman" w:hAnsi="Times New Roman" w:cs="Times New Roman"/>
          <w:sz w:val="22"/>
          <w:szCs w:val="22"/>
          <w:vertAlign w:val="superscript"/>
        </w:rPr>
        <w:t>+</w:t>
      </w:r>
      <w:r>
        <w:rPr>
          <w:rFonts w:ascii="Times New Roman" w:hAnsi="Times New Roman" w:cs="Times New Roman"/>
          <w:sz w:val="22"/>
          <w:szCs w:val="22"/>
        </w:rPr>
        <w:t>, NADP</w:t>
      </w:r>
      <w:r>
        <w:rPr>
          <w:rFonts w:ascii="Times New Roman" w:hAnsi="Times New Roman" w:cs="Times New Roman"/>
          <w:sz w:val="22"/>
          <w:szCs w:val="22"/>
          <w:vertAlign w:val="superscript"/>
        </w:rPr>
        <w:t>+</w:t>
      </w:r>
      <w:r>
        <w:rPr>
          <w:rFonts w:ascii="Times New Roman" w:hAnsi="Times New Roman" w:cs="Times New Roman"/>
          <w:sz w:val="22"/>
          <w:szCs w:val="22"/>
        </w:rPr>
        <w:t xml:space="preserve"> and FAD</w:t>
      </w:r>
      <w:r>
        <w:rPr>
          <w:rFonts w:ascii="Times New Roman" w:hAnsi="Times New Roman" w:cs="Times New Roman"/>
          <w:sz w:val="22"/>
          <w:szCs w:val="22"/>
          <w:vertAlign w:val="superscript"/>
        </w:rPr>
        <w:t>+</w:t>
      </w:r>
      <w:r>
        <w:rPr>
          <w:rFonts w:ascii="Times New Roman" w:hAnsi="Times New Roman" w:cs="Times New Roman"/>
          <w:sz w:val="22"/>
          <w:szCs w:val="22"/>
        </w:rPr>
        <w:t xml:space="preserve"> (Martin </w:t>
      </w:r>
      <w:r>
        <w:rPr>
          <w:rFonts w:ascii="Times New Roman" w:hAnsi="Times New Roman" w:cs="Times New Roman"/>
          <w:i/>
          <w:sz w:val="22"/>
          <w:szCs w:val="22"/>
        </w:rPr>
        <w:t>et al</w:t>
      </w:r>
      <w:r>
        <w:rPr>
          <w:rFonts w:ascii="Times New Roman" w:hAnsi="Times New Roman" w:cs="Times New Roman"/>
          <w:sz w:val="22"/>
          <w:szCs w:val="22"/>
        </w:rPr>
        <w:t>., 2010).  Methanogens utilise the hydrogen to convert CO</w:t>
      </w:r>
      <w:r>
        <w:rPr>
          <w:rFonts w:ascii="Times New Roman" w:hAnsi="Times New Roman" w:cs="Times New Roman"/>
          <w:sz w:val="22"/>
          <w:szCs w:val="22"/>
          <w:vertAlign w:val="subscript"/>
        </w:rPr>
        <w:t>2</w:t>
      </w:r>
      <w:r>
        <w:rPr>
          <w:rFonts w:ascii="Times New Roman" w:hAnsi="Times New Roman" w:cs="Times New Roman"/>
          <w:sz w:val="22"/>
          <w:szCs w:val="22"/>
        </w:rPr>
        <w:t xml:space="preserve"> to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according to the following formula: CO</w:t>
      </w:r>
      <w:r>
        <w:rPr>
          <w:rFonts w:ascii="Times New Roman" w:hAnsi="Times New Roman" w:cs="Times New Roman"/>
          <w:sz w:val="22"/>
          <w:szCs w:val="22"/>
          <w:vertAlign w:val="subscript"/>
        </w:rPr>
        <w:t>2</w:t>
      </w:r>
      <w:r>
        <w:rPr>
          <w:rFonts w:ascii="Times New Roman" w:hAnsi="Times New Roman" w:cs="Times New Roman"/>
          <w:sz w:val="22"/>
          <w:szCs w:val="22"/>
        </w:rPr>
        <w:t xml:space="preserve"> + 4H</w:t>
      </w:r>
      <w:r>
        <w:rPr>
          <w:rFonts w:ascii="Times New Roman" w:hAnsi="Times New Roman" w:cs="Times New Roman"/>
          <w:sz w:val="22"/>
          <w:szCs w:val="22"/>
          <w:vertAlign w:val="subscript"/>
        </w:rPr>
        <w:t>2</w:t>
      </w:r>
      <w:r>
        <w:rPr>
          <w:rFonts w:ascii="Times New Roman" w:hAnsi="Times New Roman" w:cs="Times New Roman"/>
          <w:sz w:val="22"/>
          <w:szCs w:val="22"/>
        </w:rPr>
        <w:t xml:space="preserve"> → CH</w:t>
      </w:r>
      <w:r>
        <w:rPr>
          <w:rFonts w:ascii="Times New Roman" w:hAnsi="Times New Roman" w:cs="Times New Roman"/>
          <w:sz w:val="22"/>
          <w:szCs w:val="22"/>
          <w:vertAlign w:val="subscript"/>
        </w:rPr>
        <w:t>4</w:t>
      </w:r>
      <w:r>
        <w:rPr>
          <w:rFonts w:ascii="Times New Roman" w:hAnsi="Times New Roman" w:cs="Times New Roman"/>
          <w:sz w:val="22"/>
          <w:szCs w:val="22"/>
        </w:rPr>
        <w:t xml:space="preserve"> + 2H</w:t>
      </w:r>
      <w:r>
        <w:rPr>
          <w:rFonts w:ascii="Times New Roman" w:hAnsi="Times New Roman" w:cs="Times New Roman"/>
          <w:sz w:val="22"/>
          <w:szCs w:val="22"/>
          <w:vertAlign w:val="subscript"/>
        </w:rPr>
        <w:t>2</w:t>
      </w:r>
      <w:r>
        <w:rPr>
          <w:rFonts w:ascii="Times New Roman" w:hAnsi="Times New Roman" w:cs="Times New Roman"/>
          <w:sz w:val="22"/>
          <w:szCs w:val="22"/>
        </w:rPr>
        <w:t xml:space="preserve">O (Martin </w:t>
      </w:r>
      <w:r>
        <w:rPr>
          <w:rFonts w:ascii="Times New Roman" w:hAnsi="Times New Roman" w:cs="Times New Roman"/>
          <w:i/>
          <w:sz w:val="22"/>
          <w:szCs w:val="22"/>
        </w:rPr>
        <w:t>et al.</w:t>
      </w:r>
      <w:r>
        <w:rPr>
          <w:rFonts w:ascii="Times New Roman" w:hAnsi="Times New Roman" w:cs="Times New Roman"/>
          <w:sz w:val="22"/>
          <w:szCs w:val="22"/>
        </w:rPr>
        <w:t xml:space="preserve">, 2010; McGrath </w:t>
      </w:r>
      <w:r>
        <w:rPr>
          <w:rFonts w:ascii="Times New Roman" w:hAnsi="Times New Roman" w:cs="Times New Roman"/>
          <w:i/>
          <w:sz w:val="22"/>
          <w:szCs w:val="22"/>
        </w:rPr>
        <w:t>et al</w:t>
      </w:r>
      <w:r>
        <w:rPr>
          <w:rFonts w:ascii="Times New Roman" w:hAnsi="Times New Roman" w:cs="Times New Roman"/>
          <w:sz w:val="22"/>
          <w:szCs w:val="22"/>
        </w:rPr>
        <w:t>., 2018).  Formate can also be used by methanogens as a precursor for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but to a lesser extent (Janssen, 2010).  Thus,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is an inevitable by-product of rumen fermentation that prevents the accumulation of hydrogen in the rumen (Flachowsky &amp; Lebzien, 2012).</w:t>
      </w:r>
    </w:p>
    <w:p w14:paraId="12572188" w14:textId="77777777" w:rsidR="00EF65F1" w:rsidRDefault="00EF65F1">
      <w:pPr>
        <w:spacing w:after="0" w:line="360" w:lineRule="auto"/>
        <w:ind w:firstLine="567"/>
        <w:contextualSpacing/>
        <w:jc w:val="both"/>
        <w:rPr>
          <w:rFonts w:ascii="Times New Roman" w:hAnsi="Times New Roman" w:cs="Times New Roman"/>
          <w:sz w:val="22"/>
          <w:szCs w:val="22"/>
        </w:rPr>
      </w:pPr>
    </w:p>
    <w:p w14:paraId="33AE16A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Diet characteristics such as quantity, quality and degradation potential will influence the amount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per animal, with high fibre feeds producing substantially more CH</w:t>
      </w:r>
      <w:r>
        <w:rPr>
          <w:rFonts w:ascii="Times New Roman" w:hAnsi="Times New Roman" w:cs="Times New Roman"/>
          <w:sz w:val="22"/>
          <w:szCs w:val="22"/>
          <w:vertAlign w:val="subscript"/>
        </w:rPr>
        <w:t xml:space="preserve">4 </w:t>
      </w:r>
      <w:r>
        <w:rPr>
          <w:rFonts w:ascii="Times New Roman" w:hAnsi="Times New Roman" w:cs="Times New Roman"/>
          <w:sz w:val="22"/>
          <w:szCs w:val="22"/>
        </w:rPr>
        <w:t>compared to concentrate feeds (Janssen, 2010).  Eructation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ensures removal of H</w:t>
      </w:r>
      <w:r>
        <w:rPr>
          <w:rFonts w:ascii="Times New Roman" w:hAnsi="Times New Roman" w:cs="Times New Roman"/>
          <w:sz w:val="22"/>
          <w:szCs w:val="22"/>
          <w:vertAlign w:val="subscript"/>
        </w:rPr>
        <w:t>2</w:t>
      </w:r>
      <w:r>
        <w:rPr>
          <w:rFonts w:ascii="Times New Roman" w:hAnsi="Times New Roman" w:cs="Times New Roman"/>
          <w:sz w:val="22"/>
          <w:szCs w:val="22"/>
        </w:rPr>
        <w:t xml:space="preserve"> ions from the rumen environment, preventing their accumulation which would reduce rumen fermentation by inhibiting NADH-linked membrane bound hydrogenases (Janssen, 2010; Bodas </w:t>
      </w:r>
      <w:r>
        <w:rPr>
          <w:rFonts w:ascii="Times New Roman" w:hAnsi="Times New Roman" w:cs="Times New Roman"/>
          <w:i/>
          <w:sz w:val="22"/>
          <w:szCs w:val="22"/>
        </w:rPr>
        <w:t>et al.</w:t>
      </w:r>
      <w:r>
        <w:rPr>
          <w:rFonts w:ascii="Times New Roman" w:hAnsi="Times New Roman" w:cs="Times New Roman"/>
          <w:sz w:val="22"/>
          <w:szCs w:val="22"/>
        </w:rPr>
        <w:t>, 2012).  Therefore, stimulating alternative pathways when methanogenesis is reduced, such as acetogenesis and the succinate fermentation pathways, which produce propionate precursors utilising H</w:t>
      </w:r>
      <w:r>
        <w:rPr>
          <w:rFonts w:ascii="Times New Roman" w:hAnsi="Times New Roman" w:cs="Times New Roman"/>
          <w:sz w:val="22"/>
          <w:szCs w:val="22"/>
          <w:vertAlign w:val="subscript"/>
        </w:rPr>
        <w:t>2</w:t>
      </w:r>
      <w:r>
        <w:rPr>
          <w:rFonts w:ascii="Times New Roman" w:hAnsi="Times New Roman" w:cs="Times New Roman"/>
          <w:sz w:val="22"/>
          <w:szCs w:val="22"/>
        </w:rPr>
        <w:t xml:space="preserve">, are essential to </w:t>
      </w:r>
      <w:r>
        <w:rPr>
          <w:rFonts w:ascii="Times New Roman" w:hAnsi="Times New Roman" w:cs="Times New Roman"/>
          <w:sz w:val="22"/>
          <w:szCs w:val="22"/>
        </w:rPr>
        <w:lastRenderedPageBreak/>
        <w:t xml:space="preserve">maintain rumen functionality (Janssen, 2010; Bodas </w:t>
      </w:r>
      <w:r>
        <w:rPr>
          <w:rFonts w:ascii="Times New Roman" w:hAnsi="Times New Roman" w:cs="Times New Roman"/>
          <w:i/>
          <w:sz w:val="22"/>
          <w:szCs w:val="22"/>
        </w:rPr>
        <w:t>et al.</w:t>
      </w:r>
      <w:r>
        <w:rPr>
          <w:rFonts w:ascii="Times New Roman" w:hAnsi="Times New Roman" w:cs="Times New Roman"/>
          <w:sz w:val="22"/>
          <w:szCs w:val="22"/>
        </w:rPr>
        <w:t>, 2012).  Acetate production is associated with production of 4 mol of hydrogen, whereas propionate production is considered H</w:t>
      </w:r>
      <w:r>
        <w:rPr>
          <w:rFonts w:ascii="Times New Roman" w:hAnsi="Times New Roman" w:cs="Times New Roman"/>
          <w:sz w:val="22"/>
          <w:szCs w:val="22"/>
          <w:vertAlign w:val="subscript"/>
        </w:rPr>
        <w:t>2</w:t>
      </w:r>
      <w:r>
        <w:rPr>
          <w:rFonts w:ascii="Times New Roman" w:hAnsi="Times New Roman" w:cs="Times New Roman"/>
          <w:sz w:val="22"/>
          <w:szCs w:val="22"/>
        </w:rPr>
        <w:t xml:space="preserve"> -neutral or a H</w:t>
      </w:r>
      <w:r>
        <w:rPr>
          <w:rFonts w:ascii="Times New Roman" w:hAnsi="Times New Roman" w:cs="Times New Roman"/>
          <w:sz w:val="22"/>
          <w:szCs w:val="22"/>
          <w:vertAlign w:val="subscript"/>
        </w:rPr>
        <w:t>2</w:t>
      </w:r>
      <w:r>
        <w:rPr>
          <w:rFonts w:ascii="Times New Roman" w:hAnsi="Times New Roman" w:cs="Times New Roman"/>
          <w:sz w:val="22"/>
          <w:szCs w:val="22"/>
        </w:rPr>
        <w:t xml:space="preserve"> sink, therefore, by shifting VFA production to favour propionate production H</w:t>
      </w:r>
      <w:r>
        <w:rPr>
          <w:rFonts w:ascii="Times New Roman" w:hAnsi="Times New Roman" w:cs="Times New Roman"/>
          <w:sz w:val="22"/>
          <w:szCs w:val="22"/>
          <w:vertAlign w:val="subscript"/>
        </w:rPr>
        <w:t>2</w:t>
      </w:r>
      <w:r>
        <w:rPr>
          <w:rFonts w:ascii="Times New Roman" w:hAnsi="Times New Roman" w:cs="Times New Roman"/>
          <w:sz w:val="22"/>
          <w:szCs w:val="22"/>
        </w:rPr>
        <w:t xml:space="preserve"> production is reduced and this in turn reduces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(McGrath </w:t>
      </w:r>
      <w:r>
        <w:rPr>
          <w:rFonts w:ascii="Times New Roman" w:hAnsi="Times New Roman" w:cs="Times New Roman"/>
          <w:i/>
          <w:sz w:val="22"/>
          <w:szCs w:val="22"/>
        </w:rPr>
        <w:t>et al.</w:t>
      </w:r>
      <w:r>
        <w:rPr>
          <w:rFonts w:ascii="Times New Roman" w:hAnsi="Times New Roman" w:cs="Times New Roman"/>
          <w:sz w:val="22"/>
          <w:szCs w:val="22"/>
        </w:rPr>
        <w:t>, 2018).</w:t>
      </w:r>
    </w:p>
    <w:p w14:paraId="38A8D47F" w14:textId="77777777" w:rsidR="00EF65F1" w:rsidRDefault="00EF65F1">
      <w:pPr>
        <w:spacing w:after="0" w:line="360" w:lineRule="auto"/>
        <w:ind w:firstLine="567"/>
        <w:contextualSpacing/>
        <w:jc w:val="both"/>
        <w:rPr>
          <w:rFonts w:ascii="Times New Roman" w:hAnsi="Times New Roman" w:cs="Times New Roman"/>
          <w:sz w:val="22"/>
          <w:szCs w:val="22"/>
        </w:rPr>
      </w:pPr>
    </w:p>
    <w:p w14:paraId="3FECEA5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functional and morphological differences of methanogens compared to bacteria provide an opportunity for them to be selectively stimulated or inhibited (Bodas </w:t>
      </w:r>
      <w:r>
        <w:rPr>
          <w:rFonts w:ascii="Times New Roman" w:hAnsi="Times New Roman" w:cs="Times New Roman"/>
          <w:i/>
          <w:sz w:val="22"/>
          <w:szCs w:val="22"/>
        </w:rPr>
        <w:t>et al.</w:t>
      </w:r>
      <w:r>
        <w:rPr>
          <w:rFonts w:ascii="Times New Roman" w:hAnsi="Times New Roman" w:cs="Times New Roman"/>
          <w:sz w:val="22"/>
          <w:szCs w:val="22"/>
        </w:rPr>
        <w:t>, 2012).  Ruminal protozoa contribute around 10 to 25% towards ruminal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account for 25% of all methanogens (Klevenhusen </w:t>
      </w:r>
      <w:r>
        <w:rPr>
          <w:rFonts w:ascii="Times New Roman" w:hAnsi="Times New Roman" w:cs="Times New Roman"/>
          <w:i/>
          <w:sz w:val="22"/>
          <w:szCs w:val="22"/>
        </w:rPr>
        <w:t>et al.</w:t>
      </w:r>
      <w:r>
        <w:rPr>
          <w:rFonts w:ascii="Times New Roman" w:hAnsi="Times New Roman" w:cs="Times New Roman"/>
          <w:sz w:val="22"/>
          <w:szCs w:val="22"/>
        </w:rPr>
        <w:t xml:space="preserve">, 2012).  </w:t>
      </w:r>
    </w:p>
    <w:p w14:paraId="7EE631FD" w14:textId="77777777" w:rsidR="00EF65F1" w:rsidRDefault="00EF65F1">
      <w:pPr>
        <w:spacing w:line="360" w:lineRule="auto"/>
        <w:ind w:firstLine="567"/>
        <w:contextualSpacing/>
        <w:jc w:val="both"/>
        <w:rPr>
          <w:rFonts w:ascii="Times New Roman" w:hAnsi="Times New Roman" w:cs="Times New Roman"/>
          <w:sz w:val="22"/>
          <w:szCs w:val="22"/>
        </w:rPr>
      </w:pPr>
    </w:p>
    <w:p w14:paraId="6018ADD2"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37" w:name="_Toc2691118"/>
      <w:r>
        <w:rPr>
          <w:rFonts w:ascii="Times New Roman" w:hAnsi="Times New Roman" w:cs="Times New Roman"/>
          <w:b/>
          <w:color w:val="auto"/>
          <w:sz w:val="24"/>
          <w:szCs w:val="24"/>
        </w:rPr>
        <w:t>Dietary strategies for mitigation of enteric methane emissions from ruminants</w:t>
      </w:r>
      <w:bookmarkEnd w:id="37"/>
    </w:p>
    <w:p w14:paraId="2DD13552" w14:textId="77777777" w:rsidR="00EF65F1" w:rsidRDefault="00EF65F1">
      <w:pPr>
        <w:spacing w:after="0" w:line="360" w:lineRule="auto"/>
        <w:ind w:firstLine="567"/>
        <w:contextualSpacing/>
        <w:jc w:val="both"/>
        <w:rPr>
          <w:rFonts w:ascii="Times New Roman" w:hAnsi="Times New Roman" w:cs="Times New Roman"/>
          <w:sz w:val="22"/>
          <w:szCs w:val="22"/>
        </w:rPr>
      </w:pPr>
    </w:p>
    <w:p w14:paraId="4DF7511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Growth promoting feed additives are widely used in the livestock industry to improve productivity by increasing parameters such as daily weight gain and feed efficiency (Valenzuela-Grijalva </w:t>
      </w:r>
      <w:r>
        <w:rPr>
          <w:rFonts w:ascii="Times New Roman" w:hAnsi="Times New Roman" w:cs="Times New Roman"/>
          <w:i/>
          <w:sz w:val="22"/>
          <w:szCs w:val="22"/>
        </w:rPr>
        <w:t>et al.</w:t>
      </w:r>
      <w:r>
        <w:rPr>
          <w:rFonts w:ascii="Times New Roman" w:hAnsi="Times New Roman" w:cs="Times New Roman"/>
          <w:sz w:val="22"/>
          <w:szCs w:val="22"/>
        </w:rPr>
        <w:t>, 2017).  Ionophore antibiotics are one among many additives commonly used as growth promoters in the meat production sector (Russell &amp; Houlihan, 2003), due to their function as a coccidostat, as well as increasing ruminal fermentation whilst reducing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by up to 25%, coupled with their ability to shift VFA production for increased propionate (Bodas </w:t>
      </w:r>
      <w:r>
        <w:rPr>
          <w:rFonts w:ascii="Times New Roman" w:hAnsi="Times New Roman" w:cs="Times New Roman"/>
          <w:i/>
          <w:sz w:val="22"/>
          <w:szCs w:val="22"/>
        </w:rPr>
        <w:t>et al.</w:t>
      </w:r>
      <w:r>
        <w:rPr>
          <w:rFonts w:ascii="Times New Roman" w:hAnsi="Times New Roman" w:cs="Times New Roman"/>
          <w:sz w:val="22"/>
          <w:szCs w:val="22"/>
        </w:rPr>
        <w:t xml:space="preserve">, 2008; Gárcia-González </w:t>
      </w:r>
      <w:r>
        <w:rPr>
          <w:rFonts w:ascii="Times New Roman" w:hAnsi="Times New Roman" w:cs="Times New Roman"/>
          <w:i/>
          <w:sz w:val="22"/>
          <w:szCs w:val="22"/>
        </w:rPr>
        <w:t>et al.</w:t>
      </w:r>
      <w:r>
        <w:rPr>
          <w:rFonts w:ascii="Times New Roman" w:hAnsi="Times New Roman" w:cs="Times New Roman"/>
          <w:sz w:val="22"/>
          <w:szCs w:val="22"/>
        </w:rPr>
        <w:t xml:space="preserve">, 2008; Martin </w:t>
      </w:r>
      <w:r>
        <w:rPr>
          <w:rFonts w:ascii="Times New Roman" w:hAnsi="Times New Roman" w:cs="Times New Roman"/>
          <w:i/>
          <w:sz w:val="22"/>
          <w:szCs w:val="22"/>
        </w:rPr>
        <w:t>et al.</w:t>
      </w:r>
      <w:r>
        <w:rPr>
          <w:rFonts w:ascii="Times New Roman" w:hAnsi="Times New Roman" w:cs="Times New Roman"/>
          <w:sz w:val="22"/>
          <w:szCs w:val="22"/>
        </w:rPr>
        <w:t xml:space="preserve">, 2010; Cattani </w:t>
      </w:r>
      <w:r>
        <w:rPr>
          <w:rFonts w:ascii="Times New Roman" w:hAnsi="Times New Roman" w:cs="Times New Roman"/>
          <w:i/>
          <w:sz w:val="22"/>
          <w:szCs w:val="22"/>
        </w:rPr>
        <w:t>et al.</w:t>
      </w:r>
      <w:r>
        <w:rPr>
          <w:rFonts w:ascii="Times New Roman" w:hAnsi="Times New Roman" w:cs="Times New Roman"/>
          <w:sz w:val="22"/>
          <w:szCs w:val="22"/>
        </w:rPr>
        <w:t xml:space="preserve">, 2016).  Ionophore supplementation results in an improved acetate: propionate ratio, increased protein availability and rumen pH stability (Kim &amp; Whitman, 1999; McCann </w:t>
      </w:r>
      <w:r>
        <w:rPr>
          <w:rFonts w:ascii="Times New Roman" w:hAnsi="Times New Roman" w:cs="Times New Roman"/>
          <w:i/>
          <w:sz w:val="22"/>
          <w:szCs w:val="22"/>
        </w:rPr>
        <w:t>et al.</w:t>
      </w:r>
      <w:r>
        <w:rPr>
          <w:rFonts w:ascii="Times New Roman" w:hAnsi="Times New Roman" w:cs="Times New Roman"/>
          <w:sz w:val="22"/>
          <w:szCs w:val="22"/>
        </w:rPr>
        <w:t xml:space="preserve">, 2017).  Ionophores have also been beneficial as feed additives by decreasing the occurrence of digestive disorders such as bloat (Beauchemin </w:t>
      </w:r>
      <w:r>
        <w:rPr>
          <w:rFonts w:ascii="Times New Roman" w:hAnsi="Times New Roman" w:cs="Times New Roman"/>
          <w:i/>
          <w:sz w:val="22"/>
          <w:szCs w:val="22"/>
        </w:rPr>
        <w:t>et al.</w:t>
      </w:r>
      <w:r>
        <w:rPr>
          <w:rFonts w:ascii="Times New Roman" w:hAnsi="Times New Roman" w:cs="Times New Roman"/>
          <w:sz w:val="22"/>
          <w:szCs w:val="22"/>
        </w:rPr>
        <w:t xml:space="preserve">, 2008; McCann </w:t>
      </w:r>
      <w:r>
        <w:rPr>
          <w:rFonts w:ascii="Times New Roman" w:hAnsi="Times New Roman" w:cs="Times New Roman"/>
          <w:i/>
          <w:sz w:val="22"/>
          <w:szCs w:val="22"/>
        </w:rPr>
        <w:t>et al.</w:t>
      </w:r>
      <w:r>
        <w:rPr>
          <w:rFonts w:ascii="Times New Roman" w:hAnsi="Times New Roman" w:cs="Times New Roman"/>
          <w:sz w:val="22"/>
          <w:szCs w:val="22"/>
        </w:rPr>
        <w:t xml:space="preserve">, 2017).  However inconsistent effects in terms of their functionality in these regards has been reported (Hassen </w:t>
      </w:r>
      <w:r>
        <w:rPr>
          <w:rFonts w:ascii="Times New Roman" w:hAnsi="Times New Roman" w:cs="Times New Roman"/>
          <w:i/>
          <w:sz w:val="22"/>
          <w:szCs w:val="22"/>
        </w:rPr>
        <w:t>et al.</w:t>
      </w:r>
      <w:r>
        <w:rPr>
          <w:rFonts w:ascii="Times New Roman" w:hAnsi="Times New Roman" w:cs="Times New Roman"/>
          <w:sz w:val="22"/>
          <w:szCs w:val="22"/>
        </w:rPr>
        <w:t xml:space="preserve">, 2016).  Monensin, lasalocid, laidlomycin and salinomycin are the approved ionophores for use in the livestock industry (McCann </w:t>
      </w:r>
      <w:r>
        <w:rPr>
          <w:rFonts w:ascii="Times New Roman" w:hAnsi="Times New Roman" w:cs="Times New Roman"/>
          <w:i/>
          <w:sz w:val="22"/>
          <w:szCs w:val="22"/>
        </w:rPr>
        <w:t>et al.</w:t>
      </w:r>
      <w:r>
        <w:rPr>
          <w:rFonts w:ascii="Times New Roman" w:hAnsi="Times New Roman" w:cs="Times New Roman"/>
          <w:sz w:val="22"/>
          <w:szCs w:val="22"/>
        </w:rPr>
        <w:t>, 2017).</w:t>
      </w:r>
    </w:p>
    <w:p w14:paraId="23EE07EB" w14:textId="77777777" w:rsidR="00EF65F1" w:rsidRDefault="00EF65F1">
      <w:pPr>
        <w:spacing w:after="0" w:line="360" w:lineRule="auto"/>
        <w:ind w:firstLine="567"/>
        <w:contextualSpacing/>
        <w:jc w:val="both"/>
        <w:rPr>
          <w:rFonts w:ascii="Times New Roman" w:hAnsi="Times New Roman" w:cs="Times New Roman"/>
          <w:sz w:val="22"/>
          <w:szCs w:val="22"/>
        </w:rPr>
      </w:pPr>
    </w:p>
    <w:p w14:paraId="7DB276D1"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38" w:name="_Hlk2674742"/>
      <w:r>
        <w:rPr>
          <w:rFonts w:ascii="Times New Roman" w:hAnsi="Times New Roman" w:cs="Times New Roman"/>
          <w:sz w:val="22"/>
          <w:szCs w:val="22"/>
        </w:rPr>
        <w:t>Inhibition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in ruminants by additives can be achieved by (Martin </w:t>
      </w:r>
      <w:r>
        <w:rPr>
          <w:rFonts w:ascii="Times New Roman" w:hAnsi="Times New Roman" w:cs="Times New Roman"/>
          <w:i/>
          <w:sz w:val="22"/>
          <w:szCs w:val="22"/>
        </w:rPr>
        <w:t>et al.</w:t>
      </w:r>
      <w:r>
        <w:rPr>
          <w:rFonts w:ascii="Times New Roman" w:hAnsi="Times New Roman" w:cs="Times New Roman"/>
          <w:sz w:val="22"/>
          <w:szCs w:val="22"/>
        </w:rPr>
        <w:t>, 2010):</w:t>
      </w:r>
    </w:p>
    <w:p w14:paraId="428535D3" w14:textId="77777777" w:rsidR="00EF65F1" w:rsidRDefault="00484A18">
      <w:pPr>
        <w:pStyle w:val="ListParagraph"/>
        <w:numPr>
          <w:ilvl w:val="0"/>
          <w:numId w:val="6"/>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A reduction in supply of substrates (H</w:t>
      </w:r>
      <w:r>
        <w:rPr>
          <w:rFonts w:ascii="Times New Roman" w:hAnsi="Times New Roman" w:cs="Times New Roman"/>
          <w:sz w:val="22"/>
          <w:szCs w:val="22"/>
          <w:vertAlign w:val="subscript"/>
        </w:rPr>
        <w:t>2</w:t>
      </w:r>
      <w:r>
        <w:rPr>
          <w:rFonts w:ascii="Times New Roman" w:hAnsi="Times New Roman" w:cs="Times New Roman"/>
          <w:sz w:val="22"/>
          <w:szCs w:val="22"/>
        </w:rPr>
        <w:t xml:space="preserve"> and CO</w:t>
      </w:r>
      <w:r>
        <w:rPr>
          <w:rFonts w:ascii="Times New Roman" w:hAnsi="Times New Roman" w:cs="Times New Roman"/>
          <w:sz w:val="22"/>
          <w:szCs w:val="22"/>
          <w:vertAlign w:val="subscript"/>
        </w:rPr>
        <w:t>2</w:t>
      </w:r>
      <w:r>
        <w:rPr>
          <w:rFonts w:ascii="Times New Roman" w:hAnsi="Times New Roman" w:cs="Times New Roman"/>
          <w:sz w:val="22"/>
          <w:szCs w:val="22"/>
        </w:rPr>
        <w:t>) to methanogens</w:t>
      </w:r>
    </w:p>
    <w:p w14:paraId="0B6EA9E9" w14:textId="77777777" w:rsidR="00EF65F1" w:rsidRDefault="00484A18">
      <w:pPr>
        <w:pStyle w:val="ListParagraph"/>
        <w:numPr>
          <w:ilvl w:val="0"/>
          <w:numId w:val="6"/>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Inhibition of methanogens</w:t>
      </w:r>
    </w:p>
    <w:p w14:paraId="2F790359" w14:textId="77777777" w:rsidR="00EF65F1" w:rsidRDefault="00484A18">
      <w:pPr>
        <w:pStyle w:val="ListParagraph"/>
        <w:numPr>
          <w:ilvl w:val="0"/>
          <w:numId w:val="6"/>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Redirecting hydrogen into alternative pathways such as propionate production</w:t>
      </w:r>
    </w:p>
    <w:bookmarkEnd w:id="38"/>
    <w:p w14:paraId="50822D8B" w14:textId="77777777" w:rsidR="00EF65F1" w:rsidRDefault="00EF65F1">
      <w:pPr>
        <w:pStyle w:val="ListParagraph"/>
        <w:spacing w:after="0" w:line="360" w:lineRule="auto"/>
        <w:ind w:left="1287"/>
        <w:jc w:val="both"/>
        <w:rPr>
          <w:rFonts w:ascii="Times New Roman" w:hAnsi="Times New Roman" w:cs="Times New Roman"/>
          <w:sz w:val="22"/>
          <w:szCs w:val="22"/>
        </w:rPr>
      </w:pPr>
    </w:p>
    <w:p w14:paraId="2D1A20E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Reducing protozoal numbers through defaunation by synthetic or natural products may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by ruminants due to direct effect, whereby hydrogen production from protozoal species is stopped, and/or indirect effect due to removal of habitat for methanogens which are associated with them (Soliva </w:t>
      </w:r>
      <w:r>
        <w:rPr>
          <w:rFonts w:ascii="Times New Roman" w:hAnsi="Times New Roman" w:cs="Times New Roman"/>
          <w:i/>
          <w:sz w:val="22"/>
          <w:szCs w:val="22"/>
        </w:rPr>
        <w:t>et al.</w:t>
      </w:r>
      <w:r>
        <w:rPr>
          <w:rFonts w:ascii="Times New Roman" w:hAnsi="Times New Roman" w:cs="Times New Roman"/>
          <w:sz w:val="22"/>
          <w:szCs w:val="22"/>
        </w:rPr>
        <w:t xml:space="preserve">, 2008; Martin </w:t>
      </w:r>
      <w:r>
        <w:rPr>
          <w:rFonts w:ascii="Times New Roman" w:hAnsi="Times New Roman" w:cs="Times New Roman"/>
          <w:i/>
          <w:sz w:val="22"/>
          <w:szCs w:val="22"/>
        </w:rPr>
        <w:t>et al.</w:t>
      </w:r>
      <w:r>
        <w:rPr>
          <w:rFonts w:ascii="Times New Roman" w:hAnsi="Times New Roman" w:cs="Times New Roman"/>
          <w:sz w:val="22"/>
          <w:szCs w:val="22"/>
        </w:rPr>
        <w:t>, 2010).  However, in some cases a reduction in protozoal numbers have not resulted in a decreased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(Rochfort </w:t>
      </w:r>
      <w:r>
        <w:rPr>
          <w:rFonts w:ascii="Times New Roman" w:hAnsi="Times New Roman" w:cs="Times New Roman"/>
          <w:i/>
          <w:sz w:val="22"/>
          <w:szCs w:val="22"/>
        </w:rPr>
        <w:t>et al.</w:t>
      </w:r>
      <w:r>
        <w:rPr>
          <w:rFonts w:ascii="Times New Roman" w:hAnsi="Times New Roman" w:cs="Times New Roman"/>
          <w:sz w:val="22"/>
          <w:szCs w:val="22"/>
        </w:rPr>
        <w:t xml:space="preserve">, 2008).  Additives that result in defaunation </w:t>
      </w:r>
      <w:r>
        <w:rPr>
          <w:rFonts w:ascii="Times New Roman" w:hAnsi="Times New Roman" w:cs="Times New Roman"/>
          <w:sz w:val="22"/>
          <w:szCs w:val="22"/>
        </w:rPr>
        <w:lastRenderedPageBreak/>
        <w:t xml:space="preserve">or reduction of protozoa populations must be used with caution as the protozoal population is responsible for a significant proportion of cellulolytic digestion (Hart </w:t>
      </w:r>
      <w:r>
        <w:rPr>
          <w:rFonts w:ascii="Times New Roman" w:hAnsi="Times New Roman" w:cs="Times New Roman"/>
          <w:i/>
          <w:sz w:val="22"/>
          <w:szCs w:val="22"/>
        </w:rPr>
        <w:t>et al.</w:t>
      </w:r>
      <w:r>
        <w:rPr>
          <w:rFonts w:ascii="Times New Roman" w:hAnsi="Times New Roman" w:cs="Times New Roman"/>
          <w:sz w:val="22"/>
          <w:szCs w:val="22"/>
        </w:rPr>
        <w:t>, 2008), therefore the type of diet should be a factor in additive choice.</w:t>
      </w:r>
    </w:p>
    <w:p w14:paraId="5E6C73D0" w14:textId="77777777" w:rsidR="00EF65F1" w:rsidRDefault="00EF65F1">
      <w:pPr>
        <w:spacing w:after="0" w:line="360" w:lineRule="auto"/>
        <w:ind w:firstLine="567"/>
        <w:contextualSpacing/>
        <w:jc w:val="both"/>
        <w:rPr>
          <w:rFonts w:ascii="Times New Roman" w:hAnsi="Times New Roman" w:cs="Times New Roman"/>
          <w:sz w:val="22"/>
          <w:szCs w:val="22"/>
        </w:rPr>
      </w:pPr>
    </w:p>
    <w:p w14:paraId="01A3DA1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Enteric CH</w:t>
      </w:r>
      <w:r>
        <w:rPr>
          <w:rFonts w:ascii="Times New Roman" w:hAnsi="Times New Roman" w:cs="Times New Roman"/>
          <w:sz w:val="22"/>
          <w:szCs w:val="22"/>
          <w:vertAlign w:val="subscript"/>
        </w:rPr>
        <w:t xml:space="preserve">4 </w:t>
      </w:r>
      <w:r>
        <w:rPr>
          <w:rFonts w:ascii="Times New Roman" w:hAnsi="Times New Roman" w:cs="Times New Roman"/>
          <w:sz w:val="22"/>
          <w:szCs w:val="22"/>
        </w:rPr>
        <w:t>suppression by ionophores in ruminants has been attributed to the suppression of H</w:t>
      </w:r>
      <w:r>
        <w:rPr>
          <w:rFonts w:ascii="Times New Roman" w:hAnsi="Times New Roman" w:cs="Times New Roman"/>
          <w:sz w:val="22"/>
          <w:szCs w:val="22"/>
          <w:vertAlign w:val="subscript"/>
        </w:rPr>
        <w:t>2</w:t>
      </w:r>
      <w:r>
        <w:rPr>
          <w:rFonts w:ascii="Times New Roman" w:hAnsi="Times New Roman" w:cs="Times New Roman"/>
          <w:sz w:val="22"/>
          <w:szCs w:val="22"/>
        </w:rPr>
        <w:t xml:space="preserve"> supply to methanogens (Russell &amp; Houlihan, 2003; Bodas </w:t>
      </w:r>
      <w:r>
        <w:rPr>
          <w:rFonts w:ascii="Times New Roman" w:hAnsi="Times New Roman" w:cs="Times New Roman"/>
          <w:i/>
          <w:sz w:val="22"/>
          <w:szCs w:val="22"/>
        </w:rPr>
        <w:t>et al.</w:t>
      </w:r>
      <w:r>
        <w:rPr>
          <w:rFonts w:ascii="Times New Roman" w:hAnsi="Times New Roman" w:cs="Times New Roman"/>
          <w:sz w:val="22"/>
          <w:szCs w:val="22"/>
        </w:rPr>
        <w:t xml:space="preserve">, 2008; Hassen </w:t>
      </w:r>
      <w:r>
        <w:rPr>
          <w:rFonts w:ascii="Times New Roman" w:hAnsi="Times New Roman" w:cs="Times New Roman"/>
          <w:i/>
          <w:sz w:val="22"/>
          <w:szCs w:val="22"/>
        </w:rPr>
        <w:t>et al.</w:t>
      </w:r>
      <w:r>
        <w:rPr>
          <w:rFonts w:ascii="Times New Roman" w:hAnsi="Times New Roman" w:cs="Times New Roman"/>
          <w:sz w:val="22"/>
          <w:szCs w:val="22"/>
        </w:rPr>
        <w:t xml:space="preserve">, 2016).  This suppression is due to its antibacterial effect on predominantly gram-positive bacteria, whereby ionophores bind to cations enhancing their transfer across the bacteria cell membrane.  This leads to energy spilling and limited growth/death of bacteria due to disruption of the proton gradient (McCann </w:t>
      </w:r>
      <w:r>
        <w:rPr>
          <w:rFonts w:ascii="Times New Roman" w:hAnsi="Times New Roman" w:cs="Times New Roman"/>
          <w:i/>
          <w:sz w:val="22"/>
          <w:szCs w:val="22"/>
        </w:rPr>
        <w:t>et al.</w:t>
      </w:r>
      <w:r>
        <w:rPr>
          <w:rFonts w:ascii="Times New Roman" w:hAnsi="Times New Roman" w:cs="Times New Roman"/>
          <w:sz w:val="22"/>
          <w:szCs w:val="22"/>
        </w:rPr>
        <w:t>, 2017).  Gram-positive bacteria produce hydrogen, lactate,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and ammonia, therefore suppression of gram-positive bacteria may be nutritionally beneficial to the ruminant (Soltan </w:t>
      </w:r>
      <w:r>
        <w:rPr>
          <w:rFonts w:ascii="Times New Roman" w:hAnsi="Times New Roman" w:cs="Times New Roman"/>
          <w:i/>
          <w:sz w:val="22"/>
          <w:szCs w:val="22"/>
        </w:rPr>
        <w:t>et al.</w:t>
      </w:r>
      <w:r>
        <w:rPr>
          <w:rFonts w:ascii="Times New Roman" w:hAnsi="Times New Roman" w:cs="Times New Roman"/>
          <w:sz w:val="22"/>
          <w:szCs w:val="22"/>
        </w:rPr>
        <w:t xml:space="preserve">, 2018).  Acetate and butyrate are typically produced from gram-positive bacteria, while gram-negative bacteria are associated with propionate production, which explains the shift in VFAs production towards increased propionate production with ionophore supplementation (Busquet </w:t>
      </w:r>
      <w:r>
        <w:rPr>
          <w:rFonts w:ascii="Times New Roman" w:hAnsi="Times New Roman" w:cs="Times New Roman"/>
          <w:i/>
          <w:sz w:val="22"/>
          <w:szCs w:val="22"/>
        </w:rPr>
        <w:t>et al.</w:t>
      </w:r>
      <w:r>
        <w:rPr>
          <w:rFonts w:ascii="Times New Roman" w:hAnsi="Times New Roman" w:cs="Times New Roman"/>
          <w:sz w:val="22"/>
          <w:szCs w:val="22"/>
        </w:rPr>
        <w:t xml:space="preserve">, 2006).  Ionophores effect on methanogenesis may be dose dependent and may not persist over time (Beauchemin </w:t>
      </w:r>
      <w:r>
        <w:rPr>
          <w:rFonts w:ascii="Times New Roman" w:hAnsi="Times New Roman" w:cs="Times New Roman"/>
          <w:i/>
          <w:sz w:val="22"/>
          <w:szCs w:val="22"/>
        </w:rPr>
        <w:t>et al.</w:t>
      </w:r>
      <w:r>
        <w:rPr>
          <w:rFonts w:ascii="Times New Roman" w:hAnsi="Times New Roman" w:cs="Times New Roman"/>
          <w:sz w:val="22"/>
          <w:szCs w:val="22"/>
        </w:rPr>
        <w:t xml:space="preserve">, 2008).  A direct effect on methanogenic bacteria is unlikely due to their low sensitivity to ionophores (Russell &amp; Houlihan, 2003). </w:t>
      </w:r>
    </w:p>
    <w:p w14:paraId="05F3656D" w14:textId="77777777" w:rsidR="00EF65F1" w:rsidRDefault="00EF65F1">
      <w:pPr>
        <w:spacing w:after="0" w:line="360" w:lineRule="auto"/>
        <w:ind w:firstLine="567"/>
        <w:contextualSpacing/>
        <w:jc w:val="both"/>
        <w:rPr>
          <w:rFonts w:ascii="Times New Roman" w:hAnsi="Times New Roman" w:cs="Times New Roman"/>
          <w:sz w:val="22"/>
          <w:szCs w:val="22"/>
        </w:rPr>
      </w:pPr>
    </w:p>
    <w:p w14:paraId="6586C6B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Other dietary strategies to potentially reduce 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and increase productivity levels in ruminants include (Grainger &amp; Beauchemin, 2011; Akanmu &amp; Hassen, 2018):</w:t>
      </w:r>
    </w:p>
    <w:p w14:paraId="7E831236"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The feeding of concentrates</w:t>
      </w:r>
    </w:p>
    <w:p w14:paraId="055EA27F"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Tannin rich diets</w:t>
      </w:r>
    </w:p>
    <w:p w14:paraId="1A8CA5CD"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Addition of fat to the diet</w:t>
      </w:r>
    </w:p>
    <w:p w14:paraId="20C15DC6"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Enzyme additives</w:t>
      </w:r>
    </w:p>
    <w:p w14:paraId="35374687"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Fungi supplementation</w:t>
      </w:r>
    </w:p>
    <w:p w14:paraId="24997B77" w14:textId="77777777" w:rsidR="00EF65F1" w:rsidRDefault="00484A18">
      <w:pPr>
        <w:pStyle w:val="ListParagraph"/>
        <w:numPr>
          <w:ilvl w:val="0"/>
          <w:numId w:val="7"/>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Live yeasts and direct fed microbials</w:t>
      </w:r>
    </w:p>
    <w:p w14:paraId="2F225694" w14:textId="77777777" w:rsidR="00EF65F1" w:rsidRDefault="00EF65F1">
      <w:pPr>
        <w:spacing w:after="0" w:line="360" w:lineRule="auto"/>
        <w:ind w:firstLine="567"/>
        <w:contextualSpacing/>
        <w:jc w:val="both"/>
        <w:rPr>
          <w:rFonts w:ascii="Times New Roman" w:hAnsi="Times New Roman" w:cs="Times New Roman"/>
          <w:sz w:val="22"/>
          <w:szCs w:val="22"/>
        </w:rPr>
      </w:pPr>
    </w:p>
    <w:p w14:paraId="5360372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Concentrate based diets increase the feed efficiency in ruminants, which leads to a decreased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per animal, per MJ of GE intake, due to the high proportion of non-structural carbohydrates in the diet, which alters the VFA profile by producing more propionate production and lowering H</w:t>
      </w:r>
      <w:r>
        <w:rPr>
          <w:rFonts w:ascii="Times New Roman" w:hAnsi="Times New Roman" w:cs="Times New Roman"/>
          <w:sz w:val="22"/>
          <w:szCs w:val="22"/>
          <w:vertAlign w:val="subscript"/>
        </w:rPr>
        <w:t>2</w:t>
      </w:r>
      <w:r>
        <w:rPr>
          <w:rFonts w:ascii="Times New Roman" w:hAnsi="Times New Roman" w:cs="Times New Roman"/>
          <w:sz w:val="22"/>
          <w:szCs w:val="22"/>
        </w:rPr>
        <w:t xml:space="preserve"> production (Bodas </w:t>
      </w:r>
      <w:r>
        <w:rPr>
          <w:rFonts w:ascii="Times New Roman" w:hAnsi="Times New Roman" w:cs="Times New Roman"/>
          <w:i/>
          <w:sz w:val="22"/>
          <w:szCs w:val="22"/>
        </w:rPr>
        <w:t>et al.</w:t>
      </w:r>
      <w:r>
        <w:rPr>
          <w:rFonts w:ascii="Times New Roman" w:hAnsi="Times New Roman" w:cs="Times New Roman"/>
          <w:sz w:val="22"/>
          <w:szCs w:val="22"/>
        </w:rPr>
        <w:t xml:space="preserve">, 2012).  However, when the growing, processing and transporting costs of raw materials for concentrates are considered with regard to their total net GHG emissions, concentrates can become less efficient in terms of GHG emissions, compared to other dietary types (Beauchemin </w:t>
      </w:r>
      <w:r>
        <w:rPr>
          <w:rFonts w:ascii="Times New Roman" w:hAnsi="Times New Roman" w:cs="Times New Roman"/>
          <w:i/>
          <w:sz w:val="22"/>
          <w:szCs w:val="22"/>
        </w:rPr>
        <w:t>et al.</w:t>
      </w:r>
      <w:r>
        <w:rPr>
          <w:rFonts w:ascii="Times New Roman" w:hAnsi="Times New Roman" w:cs="Times New Roman"/>
          <w:sz w:val="22"/>
          <w:szCs w:val="22"/>
        </w:rPr>
        <w:t xml:space="preserve">, 2008).  Feeding of concentrates to ruminants may be considered undesirable in developing countries, as it utilises feed sources that could potentially be used to feed humans, and is not a viable option, especially in the tropical and subtropical regions where availability and cost of grains limits it use </w:t>
      </w:r>
      <w:r>
        <w:rPr>
          <w:rFonts w:ascii="Times New Roman" w:hAnsi="Times New Roman" w:cs="Times New Roman"/>
          <w:sz w:val="22"/>
          <w:szCs w:val="22"/>
        </w:rPr>
        <w:lastRenderedPageBreak/>
        <w:t xml:space="preserve">(Beauchemin </w:t>
      </w:r>
      <w:r>
        <w:rPr>
          <w:rFonts w:ascii="Times New Roman" w:hAnsi="Times New Roman" w:cs="Times New Roman"/>
          <w:i/>
          <w:sz w:val="22"/>
          <w:szCs w:val="22"/>
        </w:rPr>
        <w:t>et al.</w:t>
      </w:r>
      <w:r>
        <w:rPr>
          <w:rFonts w:ascii="Times New Roman" w:hAnsi="Times New Roman" w:cs="Times New Roman"/>
          <w:sz w:val="22"/>
          <w:szCs w:val="22"/>
        </w:rPr>
        <w:t xml:space="preserve">, 2008; Gemeda &amp; Hassen, 2014; Akanmu &amp; Hassen, 2018).  Feeding of highly fermentable diets, such as those containing a high proportion of concentrates, may also lead to an increase in metabolic disorders such as ruminal acidosis, bloat and/or digestive upsets (Cardozo </w:t>
      </w:r>
      <w:r>
        <w:rPr>
          <w:rFonts w:ascii="Times New Roman" w:hAnsi="Times New Roman" w:cs="Times New Roman"/>
          <w:i/>
          <w:sz w:val="22"/>
          <w:szCs w:val="22"/>
        </w:rPr>
        <w:t>et al.</w:t>
      </w:r>
      <w:r>
        <w:rPr>
          <w:rFonts w:ascii="Times New Roman" w:hAnsi="Times New Roman" w:cs="Times New Roman"/>
          <w:sz w:val="22"/>
          <w:szCs w:val="22"/>
        </w:rPr>
        <w:t>, 2005).</w:t>
      </w:r>
    </w:p>
    <w:p w14:paraId="2D3055F1" w14:textId="77777777" w:rsidR="00EF65F1" w:rsidRDefault="00EF65F1">
      <w:pPr>
        <w:spacing w:after="0" w:line="360" w:lineRule="auto"/>
        <w:ind w:firstLine="567"/>
        <w:contextualSpacing/>
        <w:jc w:val="both"/>
        <w:rPr>
          <w:rFonts w:ascii="Times New Roman" w:hAnsi="Times New Roman" w:cs="Times New Roman"/>
          <w:sz w:val="22"/>
          <w:szCs w:val="22"/>
        </w:rPr>
      </w:pPr>
    </w:p>
    <w:p w14:paraId="325DCDA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addition of dietary fats to ruminant’s diets, particularly medium chain fatty acids such as myristic and lauric acids (Bodas </w:t>
      </w:r>
      <w:r>
        <w:rPr>
          <w:rFonts w:ascii="Times New Roman" w:hAnsi="Times New Roman" w:cs="Times New Roman"/>
          <w:i/>
          <w:sz w:val="22"/>
          <w:szCs w:val="22"/>
        </w:rPr>
        <w:t>et al.</w:t>
      </w:r>
      <w:r>
        <w:rPr>
          <w:rFonts w:ascii="Times New Roman" w:hAnsi="Times New Roman" w:cs="Times New Roman"/>
          <w:sz w:val="22"/>
          <w:szCs w:val="22"/>
        </w:rPr>
        <w:t>, 2012) at appropriate inclusion levels, has been shown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without affecting other rumen fermentation parameters (Martin </w:t>
      </w:r>
      <w:r>
        <w:rPr>
          <w:rFonts w:ascii="Times New Roman" w:hAnsi="Times New Roman" w:cs="Times New Roman"/>
          <w:i/>
          <w:sz w:val="22"/>
          <w:szCs w:val="22"/>
        </w:rPr>
        <w:t>et al.</w:t>
      </w:r>
      <w:r>
        <w:rPr>
          <w:rFonts w:ascii="Times New Roman" w:hAnsi="Times New Roman" w:cs="Times New Roman"/>
          <w:sz w:val="22"/>
          <w:szCs w:val="22"/>
        </w:rPr>
        <w:t>, 2010).  A 4 to 5% reduction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is possible with the addition of 1% dietary fat (Beauchemin </w:t>
      </w:r>
      <w:r>
        <w:rPr>
          <w:rFonts w:ascii="Times New Roman" w:hAnsi="Times New Roman" w:cs="Times New Roman"/>
          <w:i/>
          <w:sz w:val="22"/>
          <w:szCs w:val="22"/>
        </w:rPr>
        <w:t>et al.</w:t>
      </w:r>
      <w:r>
        <w:rPr>
          <w:rFonts w:ascii="Times New Roman" w:hAnsi="Times New Roman" w:cs="Times New Roman"/>
          <w:sz w:val="22"/>
          <w:szCs w:val="22"/>
        </w:rPr>
        <w:t xml:space="preserve">, 2008; Martin </w:t>
      </w:r>
      <w:r>
        <w:rPr>
          <w:rFonts w:ascii="Times New Roman" w:hAnsi="Times New Roman" w:cs="Times New Roman"/>
          <w:i/>
          <w:sz w:val="22"/>
          <w:szCs w:val="22"/>
        </w:rPr>
        <w:t>et al.</w:t>
      </w:r>
      <w:r>
        <w:rPr>
          <w:rFonts w:ascii="Times New Roman" w:hAnsi="Times New Roman" w:cs="Times New Roman"/>
          <w:sz w:val="22"/>
          <w:szCs w:val="22"/>
        </w:rPr>
        <w:t xml:space="preserve">, 2010; Rojas-Downing </w:t>
      </w:r>
      <w:r>
        <w:rPr>
          <w:rFonts w:ascii="Times New Roman" w:hAnsi="Times New Roman" w:cs="Times New Roman"/>
          <w:i/>
          <w:sz w:val="22"/>
          <w:szCs w:val="22"/>
        </w:rPr>
        <w:t>et al.</w:t>
      </w:r>
      <w:r>
        <w:rPr>
          <w:rFonts w:ascii="Times New Roman" w:hAnsi="Times New Roman" w:cs="Times New Roman"/>
          <w:sz w:val="22"/>
          <w:szCs w:val="22"/>
        </w:rPr>
        <w:t>, 2017).  The reduction of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by dietary fats is due to their activity on methanogens and protozoa, the hydrogenation of fats and their ability to decrease ruminal OM fermentation (Beauchemin </w:t>
      </w:r>
      <w:r>
        <w:rPr>
          <w:rFonts w:ascii="Times New Roman" w:hAnsi="Times New Roman" w:cs="Times New Roman"/>
          <w:i/>
          <w:sz w:val="22"/>
          <w:szCs w:val="22"/>
        </w:rPr>
        <w:t>et al.</w:t>
      </w:r>
      <w:r>
        <w:rPr>
          <w:rFonts w:ascii="Times New Roman" w:hAnsi="Times New Roman" w:cs="Times New Roman"/>
          <w:sz w:val="22"/>
          <w:szCs w:val="22"/>
        </w:rPr>
        <w:t xml:space="preserve">, 2008).  Responses to dietary fat are often unpredictable but reduced fibre digestion may result at higher inclusion levels, therefore fat supplementation should be used with caution and should not exceed 8% DM intake (Grainger &amp; Beauchemin, 2011; Rojas-Downing </w:t>
      </w:r>
      <w:r>
        <w:rPr>
          <w:rFonts w:ascii="Times New Roman" w:hAnsi="Times New Roman" w:cs="Times New Roman"/>
          <w:i/>
          <w:sz w:val="22"/>
          <w:szCs w:val="22"/>
        </w:rPr>
        <w:t>et al.</w:t>
      </w:r>
      <w:r>
        <w:rPr>
          <w:rFonts w:ascii="Times New Roman" w:hAnsi="Times New Roman" w:cs="Times New Roman"/>
          <w:sz w:val="22"/>
          <w:szCs w:val="22"/>
        </w:rPr>
        <w:t>, 2017).</w:t>
      </w:r>
    </w:p>
    <w:p w14:paraId="53A8387E" w14:textId="77777777" w:rsidR="00EF65F1" w:rsidRDefault="00EF65F1">
      <w:pPr>
        <w:spacing w:after="0" w:line="360" w:lineRule="auto"/>
        <w:ind w:firstLine="567"/>
        <w:contextualSpacing/>
        <w:jc w:val="both"/>
        <w:rPr>
          <w:rFonts w:ascii="Times New Roman" w:hAnsi="Times New Roman" w:cs="Times New Roman"/>
          <w:sz w:val="22"/>
          <w:szCs w:val="22"/>
        </w:rPr>
      </w:pPr>
    </w:p>
    <w:p w14:paraId="778C210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Disrupting of plant membranes by fungi supplementation has been shown to increase fibre digestion while reducing proportional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(McCann </w:t>
      </w:r>
      <w:r>
        <w:rPr>
          <w:rFonts w:ascii="Times New Roman" w:hAnsi="Times New Roman" w:cs="Times New Roman"/>
          <w:i/>
          <w:sz w:val="22"/>
          <w:szCs w:val="22"/>
        </w:rPr>
        <w:t>et al.</w:t>
      </w:r>
      <w:r>
        <w:rPr>
          <w:rFonts w:ascii="Times New Roman" w:hAnsi="Times New Roman" w:cs="Times New Roman"/>
          <w:sz w:val="22"/>
          <w:szCs w:val="22"/>
        </w:rPr>
        <w:t>, 2017).  While live yeast supplementation has been shown to be a beneficial additive to ruminant diets as it maintains rumen pH, increases digestibility, changes the VFA profile favourably, reduces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and decreases NH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(McCann </w:t>
      </w:r>
      <w:r>
        <w:rPr>
          <w:rFonts w:ascii="Times New Roman" w:hAnsi="Times New Roman" w:cs="Times New Roman"/>
          <w:i/>
          <w:sz w:val="22"/>
          <w:szCs w:val="22"/>
        </w:rPr>
        <w:t>et al.</w:t>
      </w:r>
      <w:r>
        <w:rPr>
          <w:rFonts w:ascii="Times New Roman" w:hAnsi="Times New Roman" w:cs="Times New Roman"/>
          <w:sz w:val="22"/>
          <w:szCs w:val="22"/>
        </w:rPr>
        <w:t xml:space="preserve">, 2017; Arowolo &amp; He, 2018).  Yeasts are the most commonly fed probiotics in adult ruminants (Jouany &amp; Morgavi, 2007).  Other probiotic additives, whereby supplemental bacteria are added to the rumen environment, is challenging due to the competition that arises between existing species.  Success is thus variable and is largely dependent on available niches within the rumen microbial population (McCann </w:t>
      </w:r>
      <w:r>
        <w:rPr>
          <w:rFonts w:ascii="Times New Roman" w:hAnsi="Times New Roman" w:cs="Times New Roman"/>
          <w:i/>
          <w:sz w:val="22"/>
          <w:szCs w:val="22"/>
        </w:rPr>
        <w:t>et al.</w:t>
      </w:r>
      <w:r>
        <w:rPr>
          <w:rFonts w:ascii="Times New Roman" w:hAnsi="Times New Roman" w:cs="Times New Roman"/>
          <w:sz w:val="22"/>
          <w:szCs w:val="22"/>
        </w:rPr>
        <w:t>, 2017).  However, increased dry matter intake (DMI), feed efficiency and weight gain has been observed with bacterial probiotics supplementation (Arowolo &amp; He, 2018).</w:t>
      </w:r>
    </w:p>
    <w:p w14:paraId="55DBC88F" w14:textId="77777777" w:rsidR="00EF65F1" w:rsidRDefault="00EF65F1">
      <w:pPr>
        <w:spacing w:after="0" w:line="360" w:lineRule="auto"/>
        <w:ind w:firstLine="567"/>
        <w:contextualSpacing/>
        <w:jc w:val="both"/>
        <w:rPr>
          <w:rFonts w:ascii="Times New Roman" w:hAnsi="Times New Roman" w:cs="Times New Roman"/>
          <w:sz w:val="22"/>
          <w:szCs w:val="22"/>
        </w:rPr>
      </w:pPr>
    </w:p>
    <w:p w14:paraId="6BA9E6A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Generally, any additive or dietary strategy that reduces rumen retention time of feeds, decreases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favours propionate production, enhances energy supply to the animal and improves feed efficiency (Akanmu &amp; Hassen, 2018) will be nutritionally beneficial in ruminant diets. </w:t>
      </w:r>
    </w:p>
    <w:p w14:paraId="700239D4" w14:textId="77777777" w:rsidR="00EF65F1" w:rsidRDefault="00EF65F1">
      <w:pPr>
        <w:spacing w:line="360" w:lineRule="auto"/>
        <w:ind w:firstLine="567"/>
        <w:contextualSpacing/>
        <w:jc w:val="both"/>
        <w:rPr>
          <w:rFonts w:ascii="Times New Roman" w:hAnsi="Times New Roman" w:cs="Times New Roman"/>
          <w:sz w:val="22"/>
          <w:szCs w:val="22"/>
        </w:rPr>
      </w:pPr>
    </w:p>
    <w:p w14:paraId="20717DD1" w14:textId="77777777" w:rsidR="00EF65F1" w:rsidRDefault="00EF65F1">
      <w:pPr>
        <w:spacing w:line="360" w:lineRule="auto"/>
        <w:ind w:firstLine="567"/>
        <w:contextualSpacing/>
        <w:jc w:val="both"/>
        <w:rPr>
          <w:rFonts w:ascii="Times New Roman" w:hAnsi="Times New Roman" w:cs="Times New Roman"/>
          <w:sz w:val="22"/>
          <w:szCs w:val="22"/>
        </w:rPr>
      </w:pPr>
    </w:p>
    <w:p w14:paraId="3CF481E2" w14:textId="77777777" w:rsidR="00EF65F1" w:rsidRDefault="00EF65F1">
      <w:pPr>
        <w:spacing w:line="360" w:lineRule="auto"/>
        <w:ind w:firstLine="567"/>
        <w:contextualSpacing/>
        <w:jc w:val="both"/>
        <w:rPr>
          <w:rFonts w:ascii="Times New Roman" w:hAnsi="Times New Roman" w:cs="Times New Roman"/>
          <w:sz w:val="22"/>
          <w:szCs w:val="22"/>
        </w:rPr>
      </w:pPr>
    </w:p>
    <w:p w14:paraId="0B279578" w14:textId="77777777" w:rsidR="00EF65F1" w:rsidRDefault="00EF65F1">
      <w:pPr>
        <w:spacing w:line="360" w:lineRule="auto"/>
        <w:ind w:firstLine="567"/>
        <w:contextualSpacing/>
        <w:jc w:val="both"/>
        <w:rPr>
          <w:rFonts w:ascii="Times New Roman" w:hAnsi="Times New Roman" w:cs="Times New Roman"/>
          <w:sz w:val="22"/>
          <w:szCs w:val="22"/>
        </w:rPr>
      </w:pPr>
    </w:p>
    <w:p w14:paraId="089DD252"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39" w:name="_Toc2691119"/>
      <w:r>
        <w:rPr>
          <w:rFonts w:ascii="Times New Roman" w:hAnsi="Times New Roman" w:cs="Times New Roman"/>
          <w:b/>
          <w:color w:val="auto"/>
          <w:sz w:val="24"/>
          <w:szCs w:val="24"/>
        </w:rPr>
        <w:lastRenderedPageBreak/>
        <w:t>Plant characteristics</w:t>
      </w:r>
      <w:bookmarkEnd w:id="39"/>
    </w:p>
    <w:p w14:paraId="299A5055" w14:textId="77777777" w:rsidR="00EF65F1" w:rsidRDefault="00EF65F1">
      <w:pPr>
        <w:jc w:val="both"/>
      </w:pPr>
    </w:p>
    <w:p w14:paraId="20089DBB" w14:textId="6E86F6C0" w:rsidR="00EF65F1" w:rsidRDefault="00484A18">
      <w:pPr>
        <w:pStyle w:val="Heading3"/>
        <w:spacing w:before="0" w:line="360" w:lineRule="auto"/>
        <w:contextualSpacing/>
        <w:jc w:val="both"/>
        <w:rPr>
          <w:rFonts w:ascii="Times New Roman" w:hAnsi="Times New Roman" w:cs="Times New Roman"/>
          <w:color w:val="auto"/>
        </w:rPr>
      </w:pPr>
      <w:bookmarkStart w:id="40" w:name="_Toc2691120"/>
      <w:r>
        <w:rPr>
          <w:rFonts w:ascii="Times New Roman" w:hAnsi="Times New Roman" w:cs="Times New Roman"/>
          <w:color w:val="auto"/>
        </w:rPr>
        <w:t xml:space="preserve">Plant </w:t>
      </w:r>
      <w:r w:rsidR="006D2425">
        <w:rPr>
          <w:rFonts w:ascii="Times New Roman" w:hAnsi="Times New Roman" w:cs="Times New Roman"/>
          <w:color w:val="auto"/>
        </w:rPr>
        <w:t>e</w:t>
      </w:r>
      <w:r>
        <w:rPr>
          <w:rFonts w:ascii="Times New Roman" w:hAnsi="Times New Roman" w:cs="Times New Roman"/>
          <w:color w:val="auto"/>
        </w:rPr>
        <w:t>xtracts</w:t>
      </w:r>
      <w:bookmarkEnd w:id="40"/>
    </w:p>
    <w:p w14:paraId="0597C20A" w14:textId="77777777" w:rsidR="00EF65F1" w:rsidRDefault="00EF65F1">
      <w:pPr>
        <w:spacing w:after="0" w:line="360" w:lineRule="auto"/>
        <w:ind w:firstLine="567"/>
        <w:contextualSpacing/>
        <w:jc w:val="both"/>
        <w:rPr>
          <w:rFonts w:ascii="Times New Roman" w:hAnsi="Times New Roman" w:cs="Times New Roman"/>
          <w:sz w:val="22"/>
          <w:szCs w:val="22"/>
        </w:rPr>
      </w:pPr>
    </w:p>
    <w:p w14:paraId="29FBA877"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The use of plant and plant extracts as additives in ruminant feeds hold potential advantages over their synthetic counterparts as they are natural constituents of feeds and may eliminate the concern over residual effects in animal products.  These plant extracts are considered eco-friendly alternatives and there is a reduced risk of drug resistance with this type of additive (Kumar </w:t>
      </w:r>
      <w:r>
        <w:rPr>
          <w:rFonts w:ascii="Times New Roman" w:hAnsi="Times New Roman" w:cs="Times New Roman"/>
          <w:i/>
          <w:sz w:val="22"/>
          <w:szCs w:val="22"/>
        </w:rPr>
        <w:t>et al.</w:t>
      </w:r>
      <w:r>
        <w:rPr>
          <w:rFonts w:ascii="Times New Roman" w:hAnsi="Times New Roman" w:cs="Times New Roman"/>
          <w:sz w:val="22"/>
          <w:szCs w:val="22"/>
        </w:rPr>
        <w:t xml:space="preserve">, 2014).  However, the activity and composition of plant secondary compounds within plant extracts is variable and will be influenced by the following factors (Garcia-González </w:t>
      </w:r>
      <w:r>
        <w:rPr>
          <w:rFonts w:ascii="Times New Roman" w:hAnsi="Times New Roman" w:cs="Times New Roman"/>
          <w:i/>
          <w:sz w:val="22"/>
          <w:szCs w:val="22"/>
        </w:rPr>
        <w:t>et al.</w:t>
      </w:r>
      <w:r>
        <w:rPr>
          <w:rFonts w:ascii="Times New Roman" w:hAnsi="Times New Roman" w:cs="Times New Roman"/>
          <w:sz w:val="22"/>
          <w:szCs w:val="22"/>
        </w:rPr>
        <w:t xml:space="preserve">, 2008; Kumar </w:t>
      </w:r>
      <w:r>
        <w:rPr>
          <w:rFonts w:ascii="Times New Roman" w:hAnsi="Times New Roman" w:cs="Times New Roman"/>
          <w:i/>
          <w:sz w:val="22"/>
          <w:szCs w:val="22"/>
        </w:rPr>
        <w:t>et al.</w:t>
      </w:r>
      <w:r>
        <w:rPr>
          <w:rFonts w:ascii="Times New Roman" w:hAnsi="Times New Roman" w:cs="Times New Roman"/>
          <w:sz w:val="22"/>
          <w:szCs w:val="22"/>
        </w:rPr>
        <w:t xml:space="preserve">, 2014) </w:t>
      </w:r>
    </w:p>
    <w:p w14:paraId="367AA4DD" w14:textId="77777777" w:rsidR="00EF65F1" w:rsidRDefault="00484A18">
      <w:pPr>
        <w:pStyle w:val="ListParagraph"/>
        <w:numPr>
          <w:ilvl w:val="0"/>
          <w:numId w:val="11"/>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Biological factors (location, botanical variety, plant part used, climatic conditions, soil type, altitude, season, harvest conditions)</w:t>
      </w:r>
    </w:p>
    <w:p w14:paraId="1A137EA4" w14:textId="77777777" w:rsidR="00EF65F1" w:rsidRDefault="00484A18">
      <w:pPr>
        <w:pStyle w:val="ListParagraph"/>
        <w:numPr>
          <w:ilvl w:val="0"/>
          <w:numId w:val="11"/>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Processing methods (drying and extraction technique)</w:t>
      </w:r>
    </w:p>
    <w:p w14:paraId="78EE1093" w14:textId="77777777" w:rsidR="00EF65F1" w:rsidRDefault="00484A18">
      <w:pPr>
        <w:pStyle w:val="ListParagraph"/>
        <w:numPr>
          <w:ilvl w:val="0"/>
          <w:numId w:val="11"/>
        </w:numPr>
        <w:spacing w:after="0" w:line="360" w:lineRule="auto"/>
        <w:jc w:val="both"/>
        <w:rPr>
          <w:rFonts w:ascii="Times New Roman" w:hAnsi="Times New Roman" w:cs="Times New Roman"/>
          <w:sz w:val="22"/>
          <w:szCs w:val="22"/>
        </w:rPr>
      </w:pPr>
      <w:r>
        <w:rPr>
          <w:rFonts w:ascii="Times New Roman" w:hAnsi="Times New Roman" w:cs="Times New Roman"/>
          <w:sz w:val="22"/>
          <w:szCs w:val="22"/>
        </w:rPr>
        <w:t xml:space="preserve">Storage method (light, temperature and time) </w:t>
      </w:r>
    </w:p>
    <w:p w14:paraId="5FFEBDAE" w14:textId="77777777" w:rsidR="00EF65F1" w:rsidRDefault="00EF65F1">
      <w:pPr>
        <w:pStyle w:val="ListParagraph"/>
        <w:spacing w:after="0" w:line="360" w:lineRule="auto"/>
        <w:ind w:firstLine="567"/>
        <w:jc w:val="both"/>
        <w:rPr>
          <w:rFonts w:ascii="Times New Roman" w:hAnsi="Times New Roman" w:cs="Times New Roman"/>
          <w:sz w:val="22"/>
          <w:szCs w:val="22"/>
        </w:rPr>
      </w:pPr>
    </w:p>
    <w:p w14:paraId="4ABF93C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This variability coupled with the complexity in composition and biological activity of plant extracts, as well as factors such as dose rate and influence of basal diet on extract effectiveness (Busquet </w:t>
      </w:r>
      <w:r>
        <w:rPr>
          <w:rFonts w:ascii="Times New Roman" w:hAnsi="Times New Roman" w:cs="Times New Roman"/>
          <w:i/>
          <w:sz w:val="22"/>
          <w:szCs w:val="22"/>
        </w:rPr>
        <w:t>et al.</w:t>
      </w:r>
      <w:r>
        <w:rPr>
          <w:rFonts w:ascii="Times New Roman" w:hAnsi="Times New Roman" w:cs="Times New Roman"/>
          <w:sz w:val="22"/>
          <w:szCs w:val="22"/>
        </w:rPr>
        <w:t xml:space="preserve">, 2006; Klevenhusen </w:t>
      </w:r>
      <w:r>
        <w:rPr>
          <w:rFonts w:ascii="Times New Roman" w:hAnsi="Times New Roman" w:cs="Times New Roman"/>
          <w:i/>
          <w:sz w:val="22"/>
          <w:szCs w:val="22"/>
        </w:rPr>
        <w:t>et al.</w:t>
      </w:r>
      <w:r>
        <w:rPr>
          <w:rFonts w:ascii="Times New Roman" w:hAnsi="Times New Roman" w:cs="Times New Roman"/>
          <w:sz w:val="22"/>
          <w:szCs w:val="22"/>
        </w:rPr>
        <w:t xml:space="preserve">, 2012; Salem </w:t>
      </w:r>
      <w:r>
        <w:rPr>
          <w:rFonts w:ascii="Times New Roman" w:hAnsi="Times New Roman" w:cs="Times New Roman"/>
          <w:i/>
          <w:sz w:val="22"/>
          <w:szCs w:val="22"/>
        </w:rPr>
        <w:t>et al.</w:t>
      </w:r>
      <w:r>
        <w:rPr>
          <w:rFonts w:ascii="Times New Roman" w:hAnsi="Times New Roman" w:cs="Times New Roman"/>
          <w:sz w:val="22"/>
          <w:szCs w:val="22"/>
        </w:rPr>
        <w:t xml:space="preserve">, 2012; Cattani </w:t>
      </w:r>
      <w:r>
        <w:rPr>
          <w:rFonts w:ascii="Times New Roman" w:hAnsi="Times New Roman" w:cs="Times New Roman"/>
          <w:i/>
          <w:sz w:val="22"/>
          <w:szCs w:val="22"/>
        </w:rPr>
        <w:t>et al.</w:t>
      </w:r>
      <w:r>
        <w:rPr>
          <w:rFonts w:ascii="Times New Roman" w:hAnsi="Times New Roman" w:cs="Times New Roman"/>
          <w:sz w:val="22"/>
          <w:szCs w:val="22"/>
        </w:rPr>
        <w:t xml:space="preserve">, 2016; McCann </w:t>
      </w:r>
      <w:r>
        <w:rPr>
          <w:rFonts w:ascii="Times New Roman" w:hAnsi="Times New Roman" w:cs="Times New Roman"/>
          <w:i/>
          <w:sz w:val="22"/>
          <w:szCs w:val="22"/>
        </w:rPr>
        <w:t>et al.</w:t>
      </w:r>
      <w:r>
        <w:rPr>
          <w:rFonts w:ascii="Times New Roman" w:hAnsi="Times New Roman" w:cs="Times New Roman"/>
          <w:sz w:val="22"/>
          <w:szCs w:val="22"/>
        </w:rPr>
        <w:t xml:space="preserve">, 2017), makes standardisation practises for the use of extracts extremely difficult, and this may in turn limit the use of plant extracts as feed additives (Kumar </w:t>
      </w:r>
      <w:r>
        <w:rPr>
          <w:rFonts w:ascii="Times New Roman" w:hAnsi="Times New Roman" w:cs="Times New Roman"/>
          <w:i/>
          <w:sz w:val="22"/>
          <w:szCs w:val="22"/>
        </w:rPr>
        <w:t>et al.</w:t>
      </w:r>
      <w:r>
        <w:rPr>
          <w:rFonts w:ascii="Times New Roman" w:hAnsi="Times New Roman" w:cs="Times New Roman"/>
          <w:sz w:val="22"/>
          <w:szCs w:val="22"/>
        </w:rPr>
        <w:t xml:space="preserve">, 2014).  </w:t>
      </w:r>
    </w:p>
    <w:p w14:paraId="32960647" w14:textId="77777777" w:rsidR="00EF65F1" w:rsidRDefault="00EF65F1">
      <w:pPr>
        <w:spacing w:after="0" w:line="360" w:lineRule="auto"/>
        <w:ind w:firstLine="567"/>
        <w:contextualSpacing/>
        <w:jc w:val="both"/>
        <w:rPr>
          <w:rFonts w:ascii="Times New Roman" w:hAnsi="Times New Roman" w:cs="Times New Roman"/>
          <w:sz w:val="22"/>
          <w:szCs w:val="22"/>
        </w:rPr>
      </w:pPr>
    </w:p>
    <w:p w14:paraId="407B8D5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There have been numerous studies that have been conducted to evaluate the effects of plant and plant extracts on rumen fermentation parameters, particularly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of which the majority were performed under </w:t>
      </w:r>
      <w:r>
        <w:rPr>
          <w:rFonts w:ascii="Times New Roman" w:hAnsi="Times New Roman" w:cs="Times New Roman"/>
          <w:i/>
          <w:sz w:val="22"/>
          <w:szCs w:val="22"/>
        </w:rPr>
        <w:t xml:space="preserve">in vitro </w:t>
      </w:r>
      <w:r>
        <w:rPr>
          <w:rFonts w:ascii="Times New Roman" w:hAnsi="Times New Roman" w:cs="Times New Roman"/>
          <w:sz w:val="22"/>
          <w:szCs w:val="22"/>
        </w:rPr>
        <w:t xml:space="preserve">conditions.  Table 1.1 lists plants reported in literature that have been identified as potential modifiers of rumen fermentation.  These results highlight the importance to screen numerous plants to identify those which hold potential for modulating of rumen fermentation. </w:t>
      </w:r>
    </w:p>
    <w:p w14:paraId="5EEAEBC5" w14:textId="77777777" w:rsidR="00EF65F1" w:rsidRDefault="00EF65F1">
      <w:pPr>
        <w:spacing w:after="0" w:line="360" w:lineRule="auto"/>
        <w:ind w:firstLine="567"/>
        <w:contextualSpacing/>
        <w:jc w:val="both"/>
        <w:rPr>
          <w:rFonts w:ascii="Times New Roman" w:hAnsi="Times New Roman" w:cs="Times New Roman"/>
          <w:sz w:val="22"/>
          <w:szCs w:val="22"/>
        </w:rPr>
      </w:pPr>
    </w:p>
    <w:p w14:paraId="7563CD3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extracts may contain a variety of different compounds making identification of the active compound(s) responsible for manipulation of rumen fermentations parameters difficult without simultaneous use of pure compounds (Cattani </w:t>
      </w:r>
      <w:r>
        <w:rPr>
          <w:rFonts w:ascii="Times New Roman" w:hAnsi="Times New Roman" w:cs="Times New Roman"/>
          <w:i/>
          <w:sz w:val="22"/>
          <w:szCs w:val="22"/>
        </w:rPr>
        <w:t>et al.</w:t>
      </w:r>
      <w:r>
        <w:rPr>
          <w:rFonts w:ascii="Times New Roman" w:hAnsi="Times New Roman" w:cs="Times New Roman"/>
          <w:sz w:val="22"/>
          <w:szCs w:val="22"/>
        </w:rPr>
        <w:t xml:space="preserve">, 2016).  However, synergistic and additive effects between secondary compounds in plant tissue are believed to have an impact on the rumen fermentation patterns and inhibitory effects on methanogenesis (Greathead, 2003; McGrath </w:t>
      </w:r>
      <w:r>
        <w:rPr>
          <w:rFonts w:ascii="Times New Roman" w:hAnsi="Times New Roman" w:cs="Times New Roman"/>
          <w:i/>
          <w:sz w:val="22"/>
          <w:szCs w:val="22"/>
        </w:rPr>
        <w:t>et al.</w:t>
      </w:r>
      <w:r>
        <w:rPr>
          <w:rFonts w:ascii="Times New Roman" w:hAnsi="Times New Roman" w:cs="Times New Roman"/>
          <w:sz w:val="22"/>
          <w:szCs w:val="22"/>
        </w:rPr>
        <w:t xml:space="preserve">, 2018).  Synergism between compounds found within and between plant extracts is also believed to affect the antimicrobial activity of extracts (Eloff </w:t>
      </w:r>
      <w:r>
        <w:rPr>
          <w:rFonts w:ascii="Times New Roman" w:hAnsi="Times New Roman" w:cs="Times New Roman"/>
          <w:i/>
          <w:sz w:val="22"/>
          <w:szCs w:val="22"/>
        </w:rPr>
        <w:t>et al.</w:t>
      </w:r>
      <w:r>
        <w:rPr>
          <w:rFonts w:ascii="Times New Roman" w:hAnsi="Times New Roman" w:cs="Times New Roman"/>
          <w:sz w:val="22"/>
          <w:szCs w:val="22"/>
        </w:rPr>
        <w:t xml:space="preserve">, 2008), and thus determining which phytochemical(s) are responsible for the inhibitory or stimulatory effect becomes extremely important (Broudisccou </w:t>
      </w:r>
      <w:r>
        <w:rPr>
          <w:rFonts w:ascii="Times New Roman" w:hAnsi="Times New Roman" w:cs="Times New Roman"/>
          <w:i/>
          <w:sz w:val="22"/>
          <w:szCs w:val="22"/>
        </w:rPr>
        <w:t>et al.</w:t>
      </w:r>
      <w:r>
        <w:rPr>
          <w:rFonts w:ascii="Times New Roman" w:hAnsi="Times New Roman" w:cs="Times New Roman"/>
          <w:sz w:val="22"/>
          <w:szCs w:val="22"/>
        </w:rPr>
        <w:t xml:space="preserve">, 2000).  As a result, the use of pure compounds may negate bioactive effects when tested alone.  However, Huang </w:t>
      </w:r>
      <w:r>
        <w:rPr>
          <w:rFonts w:ascii="Times New Roman" w:hAnsi="Times New Roman" w:cs="Times New Roman"/>
          <w:i/>
          <w:sz w:val="22"/>
          <w:szCs w:val="22"/>
        </w:rPr>
        <w:t xml:space="preserve">et </w:t>
      </w:r>
    </w:p>
    <w:p w14:paraId="10C593DA" w14:textId="1A1593C0" w:rsidR="00EF65F1" w:rsidRDefault="00484A18">
      <w:pPr>
        <w:pStyle w:val="Caption"/>
        <w:keepNext/>
        <w:spacing w:after="0" w:line="360" w:lineRule="auto"/>
        <w:contextualSpacing/>
        <w:jc w:val="both"/>
        <w:rPr>
          <w:rFonts w:ascii="Times New Roman" w:hAnsi="Times New Roman" w:cs="Times New Roman"/>
          <w:i w:val="0"/>
          <w:color w:val="auto"/>
          <w:sz w:val="24"/>
          <w:szCs w:val="24"/>
        </w:rPr>
      </w:pPr>
      <w:bookmarkStart w:id="41" w:name="_Toc2349133"/>
      <w:r>
        <w:rPr>
          <w:rFonts w:ascii="Times New Roman" w:hAnsi="Times New Roman" w:cs="Times New Roman"/>
          <w:i w:val="0"/>
          <w:color w:val="auto"/>
          <w:sz w:val="24"/>
          <w:szCs w:val="24"/>
        </w:rPr>
        <w:lastRenderedPageBreak/>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Literature review of plants with rumen mitigation potential</w:t>
      </w:r>
      <w:bookmarkEnd w:id="41"/>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8"/>
        <w:gridCol w:w="1975"/>
        <w:gridCol w:w="1975"/>
        <w:gridCol w:w="1975"/>
        <w:gridCol w:w="1973"/>
      </w:tblGrid>
      <w:tr w:rsidR="00EF65F1" w14:paraId="0C6EFFCE" w14:textId="77777777">
        <w:trPr>
          <w:jc w:val="center"/>
        </w:trPr>
        <w:tc>
          <w:tcPr>
            <w:tcW w:w="625" w:type="pct"/>
            <w:tcBorders>
              <w:top w:val="single" w:sz="4" w:space="0" w:color="auto"/>
              <w:bottom w:val="single" w:sz="4" w:space="0" w:color="auto"/>
            </w:tcBorders>
          </w:tcPr>
          <w:p w14:paraId="06C5BAE3" w14:textId="77777777" w:rsidR="00EF65F1" w:rsidRDefault="00484A18">
            <w:pPr>
              <w:contextualSpacing/>
              <w:jc w:val="center"/>
              <w:rPr>
                <w:rFonts w:ascii="Times New Roman" w:hAnsi="Times New Roman" w:cs="Times New Roman"/>
              </w:rPr>
            </w:pPr>
            <w:r>
              <w:rPr>
                <w:rFonts w:ascii="Times New Roman" w:hAnsi="Times New Roman" w:cs="Times New Roman"/>
              </w:rPr>
              <w:t>Number of plants screened</w:t>
            </w:r>
          </w:p>
        </w:tc>
        <w:tc>
          <w:tcPr>
            <w:tcW w:w="1094" w:type="pct"/>
            <w:tcBorders>
              <w:top w:val="single" w:sz="4" w:space="0" w:color="auto"/>
              <w:bottom w:val="single" w:sz="4" w:space="0" w:color="auto"/>
            </w:tcBorders>
          </w:tcPr>
          <w:p w14:paraId="6A9F3BC7" w14:textId="77777777" w:rsidR="00EF65F1" w:rsidRDefault="00484A18">
            <w:pPr>
              <w:contextualSpacing/>
              <w:jc w:val="center"/>
              <w:rPr>
                <w:rFonts w:ascii="Times New Roman" w:hAnsi="Times New Roman" w:cs="Times New Roman"/>
              </w:rPr>
            </w:pPr>
            <w:r>
              <w:rPr>
                <w:rFonts w:ascii="Times New Roman" w:hAnsi="Times New Roman" w:cs="Times New Roman"/>
              </w:rPr>
              <w:t>Plant species with effect on rumen parameters</w:t>
            </w:r>
          </w:p>
        </w:tc>
        <w:tc>
          <w:tcPr>
            <w:tcW w:w="1094" w:type="pct"/>
            <w:tcBorders>
              <w:top w:val="single" w:sz="4" w:space="0" w:color="auto"/>
              <w:bottom w:val="single" w:sz="4" w:space="0" w:color="auto"/>
            </w:tcBorders>
          </w:tcPr>
          <w:p w14:paraId="79C52CA9" w14:textId="77777777" w:rsidR="00EF65F1" w:rsidRDefault="00484A18">
            <w:pPr>
              <w:contextualSpacing/>
              <w:jc w:val="center"/>
              <w:rPr>
                <w:rFonts w:ascii="Times New Roman" w:hAnsi="Times New Roman" w:cs="Times New Roman"/>
              </w:rPr>
            </w:pPr>
            <w:r>
              <w:rPr>
                <w:rFonts w:ascii="Times New Roman" w:hAnsi="Times New Roman" w:cs="Times New Roman"/>
              </w:rPr>
              <w:t>Effect on rumen parameters</w:t>
            </w:r>
          </w:p>
        </w:tc>
        <w:tc>
          <w:tcPr>
            <w:tcW w:w="1094" w:type="pct"/>
            <w:tcBorders>
              <w:top w:val="single" w:sz="4" w:space="0" w:color="auto"/>
              <w:bottom w:val="single" w:sz="4" w:space="0" w:color="auto"/>
            </w:tcBorders>
          </w:tcPr>
          <w:p w14:paraId="1C4F5AC3" w14:textId="77777777" w:rsidR="00EF65F1" w:rsidRDefault="00484A18">
            <w:pPr>
              <w:contextualSpacing/>
              <w:jc w:val="center"/>
              <w:rPr>
                <w:rFonts w:ascii="Times New Roman" w:hAnsi="Times New Roman" w:cs="Times New Roman"/>
              </w:rPr>
            </w:pPr>
            <w:r>
              <w:rPr>
                <w:rFonts w:ascii="Times New Roman" w:hAnsi="Times New Roman" w:cs="Times New Roman"/>
              </w:rPr>
              <w:t>Secondary compounds</w:t>
            </w:r>
          </w:p>
        </w:tc>
        <w:tc>
          <w:tcPr>
            <w:tcW w:w="1094" w:type="pct"/>
            <w:tcBorders>
              <w:top w:val="single" w:sz="4" w:space="0" w:color="auto"/>
              <w:bottom w:val="single" w:sz="4" w:space="0" w:color="auto"/>
            </w:tcBorders>
          </w:tcPr>
          <w:p w14:paraId="2B59BEFC" w14:textId="77777777" w:rsidR="00EF65F1" w:rsidRDefault="00EF65F1">
            <w:pPr>
              <w:contextualSpacing/>
              <w:jc w:val="center"/>
              <w:rPr>
                <w:rFonts w:ascii="Times New Roman" w:hAnsi="Times New Roman" w:cs="Times New Roman"/>
              </w:rPr>
            </w:pPr>
          </w:p>
          <w:p w14:paraId="2D00A2B7" w14:textId="77777777" w:rsidR="00EF65F1" w:rsidRDefault="00484A18">
            <w:pPr>
              <w:contextualSpacing/>
              <w:jc w:val="center"/>
              <w:rPr>
                <w:rFonts w:ascii="Times New Roman" w:hAnsi="Times New Roman" w:cs="Times New Roman"/>
              </w:rPr>
            </w:pPr>
            <w:r>
              <w:rPr>
                <w:rFonts w:ascii="Times New Roman" w:hAnsi="Times New Roman" w:cs="Times New Roman"/>
              </w:rPr>
              <w:t>Reference</w:t>
            </w:r>
          </w:p>
        </w:tc>
      </w:tr>
      <w:tr w:rsidR="00EF65F1" w14:paraId="4B92699E" w14:textId="77777777">
        <w:trPr>
          <w:jc w:val="center"/>
        </w:trPr>
        <w:tc>
          <w:tcPr>
            <w:tcW w:w="625" w:type="pct"/>
            <w:tcBorders>
              <w:top w:val="single" w:sz="4" w:space="0" w:color="auto"/>
            </w:tcBorders>
          </w:tcPr>
          <w:p w14:paraId="19583397" w14:textId="77777777" w:rsidR="00EF65F1" w:rsidRDefault="00484A18">
            <w:pPr>
              <w:contextualSpacing/>
              <w:jc w:val="center"/>
              <w:rPr>
                <w:rFonts w:ascii="Times New Roman" w:hAnsi="Times New Roman" w:cs="Times New Roman"/>
              </w:rPr>
            </w:pPr>
            <w:r>
              <w:rPr>
                <w:rFonts w:ascii="Times New Roman" w:hAnsi="Times New Roman" w:cs="Times New Roman"/>
              </w:rPr>
              <w:t>13</w:t>
            </w:r>
          </w:p>
        </w:tc>
        <w:tc>
          <w:tcPr>
            <w:tcW w:w="1094" w:type="pct"/>
            <w:tcBorders>
              <w:top w:val="single" w:sz="4" w:space="0" w:color="auto"/>
            </w:tcBorders>
          </w:tcPr>
          <w:p w14:paraId="67BFF2B5" w14:textId="77777777" w:rsidR="00EF65F1" w:rsidRDefault="00484A18">
            <w:pPr>
              <w:contextualSpacing/>
              <w:jc w:val="center"/>
              <w:rPr>
                <w:rFonts w:ascii="Times New Roman" w:hAnsi="Times New Roman" w:cs="Times New Roman"/>
                <w:i/>
              </w:rPr>
            </w:pPr>
            <w:r>
              <w:rPr>
                <w:rFonts w:ascii="Times New Roman" w:hAnsi="Times New Roman" w:cs="Times New Roman"/>
                <w:i/>
              </w:rPr>
              <w:t>Equisetum arvense &amp; Salvia officinalis</w:t>
            </w:r>
          </w:p>
          <w:p w14:paraId="49CEF533" w14:textId="77777777" w:rsidR="00EF65F1" w:rsidRDefault="00EF65F1">
            <w:pPr>
              <w:contextualSpacing/>
              <w:jc w:val="center"/>
              <w:rPr>
                <w:rFonts w:ascii="Times New Roman" w:hAnsi="Times New Roman" w:cs="Times New Roman"/>
                <w:i/>
              </w:rPr>
            </w:pPr>
          </w:p>
          <w:p w14:paraId="23A19180" w14:textId="77777777" w:rsidR="00EF65F1" w:rsidRDefault="00484A18">
            <w:pPr>
              <w:contextualSpacing/>
              <w:jc w:val="center"/>
              <w:rPr>
                <w:rFonts w:ascii="Times New Roman" w:hAnsi="Times New Roman" w:cs="Times New Roman"/>
                <w:i/>
              </w:rPr>
            </w:pPr>
            <w:r>
              <w:rPr>
                <w:rFonts w:ascii="Times New Roman" w:hAnsi="Times New Roman" w:cs="Times New Roman"/>
                <w:i/>
              </w:rPr>
              <w:t xml:space="preserve">Lavandula officinalis </w:t>
            </w:r>
            <w:r>
              <w:rPr>
                <w:rFonts w:ascii="Times New Roman" w:hAnsi="Times New Roman" w:cs="Times New Roman"/>
              </w:rPr>
              <w:t xml:space="preserve">&amp; </w:t>
            </w:r>
            <w:r>
              <w:rPr>
                <w:rFonts w:ascii="Times New Roman" w:hAnsi="Times New Roman" w:cs="Times New Roman"/>
                <w:i/>
              </w:rPr>
              <w:t>Solidago virgaurea</w:t>
            </w:r>
          </w:p>
          <w:p w14:paraId="0857AB87" w14:textId="77777777" w:rsidR="00EF65F1" w:rsidRDefault="00EF65F1">
            <w:pPr>
              <w:contextualSpacing/>
              <w:jc w:val="center"/>
              <w:rPr>
                <w:rFonts w:ascii="Times New Roman" w:hAnsi="Times New Roman" w:cs="Times New Roman"/>
                <w:i/>
              </w:rPr>
            </w:pPr>
          </w:p>
          <w:p w14:paraId="265C0D39" w14:textId="77777777" w:rsidR="00EF65F1" w:rsidRDefault="00EF65F1">
            <w:pPr>
              <w:contextualSpacing/>
              <w:jc w:val="center"/>
              <w:rPr>
                <w:rFonts w:ascii="Times New Roman" w:hAnsi="Times New Roman" w:cs="Times New Roman"/>
                <w:i/>
              </w:rPr>
            </w:pPr>
          </w:p>
        </w:tc>
        <w:tc>
          <w:tcPr>
            <w:tcW w:w="1094" w:type="pct"/>
            <w:tcBorders>
              <w:top w:val="single" w:sz="4" w:space="0" w:color="auto"/>
            </w:tcBorders>
          </w:tcPr>
          <w:p w14:paraId="3473F982" w14:textId="77777777" w:rsidR="00EF65F1" w:rsidRDefault="00484A18">
            <w:pPr>
              <w:contextualSpacing/>
              <w:jc w:val="center"/>
              <w:rPr>
                <w:rFonts w:ascii="Times New Roman" w:hAnsi="Times New Roman" w:cs="Times New Roman"/>
                <w:vertAlign w:val="subscript"/>
              </w:rPr>
            </w:pPr>
            <w:r>
              <w:rPr>
                <w:rFonts w:ascii="Times New Roman" w:hAnsi="Times New Roman" w:cs="Times New Roman"/>
              </w:rPr>
              <w:t>8 &amp; 14% decrease in CH</w:t>
            </w:r>
            <w:r>
              <w:rPr>
                <w:rFonts w:ascii="Times New Roman" w:hAnsi="Times New Roman" w:cs="Times New Roman"/>
                <w:vertAlign w:val="subscript"/>
              </w:rPr>
              <w:t>4.</w:t>
            </w:r>
          </w:p>
          <w:p w14:paraId="6037B3BC" w14:textId="77777777" w:rsidR="00EF65F1" w:rsidRDefault="00EF65F1">
            <w:pPr>
              <w:contextualSpacing/>
              <w:jc w:val="center"/>
              <w:rPr>
                <w:rFonts w:ascii="Times New Roman" w:hAnsi="Times New Roman" w:cs="Times New Roman"/>
                <w:vertAlign w:val="subscript"/>
              </w:rPr>
            </w:pPr>
          </w:p>
          <w:p w14:paraId="53F72663" w14:textId="77777777" w:rsidR="00EF65F1" w:rsidRDefault="00484A18">
            <w:pPr>
              <w:contextualSpacing/>
              <w:jc w:val="center"/>
              <w:rPr>
                <w:rFonts w:ascii="Times New Roman" w:hAnsi="Times New Roman" w:cs="Times New Roman"/>
              </w:rPr>
            </w:pPr>
            <w:r>
              <w:rPr>
                <w:rFonts w:ascii="Times New Roman" w:hAnsi="Times New Roman" w:cs="Times New Roman"/>
              </w:rPr>
              <w:t>Promoting rumen fermentation</w:t>
            </w:r>
          </w:p>
        </w:tc>
        <w:tc>
          <w:tcPr>
            <w:tcW w:w="1094" w:type="pct"/>
            <w:tcBorders>
              <w:top w:val="single" w:sz="4" w:space="0" w:color="auto"/>
            </w:tcBorders>
          </w:tcPr>
          <w:p w14:paraId="4B887DCE" w14:textId="77777777" w:rsidR="00EF65F1" w:rsidRDefault="00484A18">
            <w:pPr>
              <w:contextualSpacing/>
              <w:jc w:val="center"/>
              <w:rPr>
                <w:rFonts w:ascii="Times New Roman" w:hAnsi="Times New Roman" w:cs="Times New Roman"/>
              </w:rPr>
            </w:pPr>
            <w:r>
              <w:rPr>
                <w:rFonts w:ascii="Times New Roman" w:hAnsi="Times New Roman" w:cs="Times New Roman"/>
              </w:rPr>
              <w:t>Flavonoids</w:t>
            </w:r>
          </w:p>
        </w:tc>
        <w:tc>
          <w:tcPr>
            <w:tcW w:w="1094" w:type="pct"/>
            <w:tcBorders>
              <w:top w:val="single" w:sz="4" w:space="0" w:color="auto"/>
            </w:tcBorders>
          </w:tcPr>
          <w:p w14:paraId="4E4F1982" w14:textId="77777777" w:rsidR="00EF65F1" w:rsidRDefault="00484A18">
            <w:pPr>
              <w:contextualSpacing/>
              <w:jc w:val="center"/>
              <w:rPr>
                <w:rFonts w:ascii="Times New Roman" w:hAnsi="Times New Roman" w:cs="Times New Roman"/>
              </w:rPr>
            </w:pPr>
            <w:r>
              <w:rPr>
                <w:rFonts w:ascii="Times New Roman" w:hAnsi="Times New Roman" w:cs="Times New Roman"/>
              </w:rPr>
              <w:t xml:space="preserve">Broudiscou </w:t>
            </w:r>
            <w:r>
              <w:rPr>
                <w:rFonts w:ascii="Times New Roman" w:hAnsi="Times New Roman" w:cs="Times New Roman"/>
                <w:i/>
              </w:rPr>
              <w:t>et al.</w:t>
            </w:r>
            <w:r>
              <w:rPr>
                <w:rFonts w:ascii="Times New Roman" w:hAnsi="Times New Roman" w:cs="Times New Roman"/>
              </w:rPr>
              <w:t>, 2000</w:t>
            </w:r>
          </w:p>
        </w:tc>
      </w:tr>
      <w:tr w:rsidR="00EF65F1" w14:paraId="3AD01243" w14:textId="77777777">
        <w:trPr>
          <w:jc w:val="center"/>
        </w:trPr>
        <w:tc>
          <w:tcPr>
            <w:tcW w:w="625" w:type="pct"/>
          </w:tcPr>
          <w:p w14:paraId="4AEAA0A0" w14:textId="77777777" w:rsidR="00EF65F1" w:rsidRDefault="00484A18">
            <w:pPr>
              <w:contextualSpacing/>
              <w:jc w:val="center"/>
              <w:rPr>
                <w:rFonts w:ascii="Times New Roman" w:hAnsi="Times New Roman" w:cs="Times New Roman"/>
              </w:rPr>
            </w:pPr>
            <w:r>
              <w:rPr>
                <w:rFonts w:ascii="Times New Roman" w:hAnsi="Times New Roman" w:cs="Times New Roman"/>
              </w:rPr>
              <w:t>450</w:t>
            </w:r>
          </w:p>
        </w:tc>
        <w:tc>
          <w:tcPr>
            <w:tcW w:w="1094" w:type="pct"/>
          </w:tcPr>
          <w:p w14:paraId="2620E5E1" w14:textId="77777777" w:rsidR="00EF65F1" w:rsidRDefault="00484A18">
            <w:pPr>
              <w:contextualSpacing/>
              <w:jc w:val="center"/>
              <w:rPr>
                <w:rFonts w:ascii="Times New Roman" w:hAnsi="Times New Roman" w:cs="Times New Roman"/>
              </w:rPr>
            </w:pPr>
            <w:r>
              <w:rPr>
                <w:rFonts w:ascii="Times New Roman" w:hAnsi="Times New Roman" w:cs="Times New Roman"/>
                <w:i/>
              </w:rPr>
              <w:t xml:space="preserve">Carduus pycnocephalus, Populus tremula, Prunus avium, Quercus robur, Rheum nobile </w:t>
            </w:r>
            <w:r>
              <w:rPr>
                <w:rFonts w:ascii="Times New Roman" w:hAnsi="Times New Roman" w:cs="Times New Roman"/>
              </w:rPr>
              <w:t xml:space="preserve">&amp; </w:t>
            </w:r>
            <w:r>
              <w:rPr>
                <w:rFonts w:ascii="Times New Roman" w:hAnsi="Times New Roman" w:cs="Times New Roman"/>
                <w:i/>
              </w:rPr>
              <w:t>Salix caprea</w:t>
            </w:r>
            <w:r>
              <w:rPr>
                <w:rFonts w:ascii="Times New Roman" w:hAnsi="Times New Roman" w:cs="Times New Roman"/>
              </w:rPr>
              <w:t>,</w:t>
            </w:r>
          </w:p>
          <w:p w14:paraId="571FB4B7" w14:textId="77777777" w:rsidR="00EF65F1" w:rsidRDefault="00EF65F1">
            <w:pPr>
              <w:contextualSpacing/>
              <w:jc w:val="center"/>
              <w:rPr>
                <w:rFonts w:ascii="Times New Roman" w:hAnsi="Times New Roman" w:cs="Times New Roman"/>
              </w:rPr>
            </w:pPr>
          </w:p>
        </w:tc>
        <w:tc>
          <w:tcPr>
            <w:tcW w:w="1094" w:type="pct"/>
          </w:tcPr>
          <w:p w14:paraId="7664B15C" w14:textId="77777777" w:rsidR="00EF65F1" w:rsidRDefault="00484A18">
            <w:pPr>
              <w:contextualSpacing/>
              <w:jc w:val="center"/>
              <w:rPr>
                <w:rFonts w:ascii="Times New Roman" w:hAnsi="Times New Roman" w:cs="Times New Roman"/>
              </w:rPr>
            </w:pPr>
            <w:r>
              <w:rPr>
                <w:rFonts w:ascii="Times New Roman" w:hAnsi="Times New Roman" w:cs="Times New Roman"/>
              </w:rPr>
              <w:t>&gt;15% reduction in CH</w:t>
            </w:r>
            <w:r>
              <w:rPr>
                <w:rFonts w:ascii="Times New Roman" w:hAnsi="Times New Roman" w:cs="Times New Roman"/>
                <w:vertAlign w:val="subscript"/>
              </w:rPr>
              <w:t>4</w:t>
            </w:r>
          </w:p>
        </w:tc>
        <w:tc>
          <w:tcPr>
            <w:tcW w:w="1094" w:type="pct"/>
          </w:tcPr>
          <w:p w14:paraId="0FF5114F" w14:textId="77777777" w:rsidR="00EF65F1" w:rsidRDefault="00484A18">
            <w:pPr>
              <w:contextualSpacing/>
              <w:jc w:val="center"/>
              <w:rPr>
                <w:rFonts w:ascii="Times New Roman" w:hAnsi="Times New Roman" w:cs="Times New Roman"/>
              </w:rPr>
            </w:pPr>
            <w:r>
              <w:rPr>
                <w:rFonts w:ascii="Times New Roman" w:hAnsi="Times New Roman" w:cs="Times New Roman"/>
              </w:rPr>
              <w:t>Not reported</w:t>
            </w:r>
          </w:p>
        </w:tc>
        <w:tc>
          <w:tcPr>
            <w:tcW w:w="1094" w:type="pct"/>
          </w:tcPr>
          <w:p w14:paraId="47A5B2FB" w14:textId="77777777" w:rsidR="00EF65F1" w:rsidRDefault="00484A18">
            <w:pPr>
              <w:contextualSpacing/>
              <w:jc w:val="center"/>
              <w:rPr>
                <w:rFonts w:ascii="Times New Roman" w:hAnsi="Times New Roman" w:cs="Times New Roman"/>
              </w:rPr>
            </w:pPr>
            <w:r>
              <w:rPr>
                <w:rFonts w:ascii="Times New Roman" w:hAnsi="Times New Roman" w:cs="Times New Roman"/>
              </w:rPr>
              <w:t xml:space="preserve">Bodas </w:t>
            </w:r>
            <w:r>
              <w:rPr>
                <w:rFonts w:ascii="Times New Roman" w:hAnsi="Times New Roman" w:cs="Times New Roman"/>
                <w:i/>
              </w:rPr>
              <w:t>et al.</w:t>
            </w:r>
            <w:r>
              <w:rPr>
                <w:rFonts w:ascii="Times New Roman" w:hAnsi="Times New Roman" w:cs="Times New Roman"/>
              </w:rPr>
              <w:t>, 2008</w:t>
            </w:r>
          </w:p>
        </w:tc>
      </w:tr>
      <w:tr w:rsidR="00EF65F1" w14:paraId="6AAC2CEA" w14:textId="77777777">
        <w:trPr>
          <w:jc w:val="center"/>
        </w:trPr>
        <w:tc>
          <w:tcPr>
            <w:tcW w:w="625" w:type="pct"/>
          </w:tcPr>
          <w:p w14:paraId="5B596E54" w14:textId="77777777" w:rsidR="00EF65F1" w:rsidRDefault="00484A18">
            <w:pPr>
              <w:contextualSpacing/>
              <w:jc w:val="center"/>
              <w:rPr>
                <w:rFonts w:ascii="Times New Roman" w:hAnsi="Times New Roman" w:cs="Times New Roman"/>
              </w:rPr>
            </w:pPr>
            <w:r>
              <w:rPr>
                <w:rFonts w:ascii="Times New Roman" w:hAnsi="Times New Roman" w:cs="Times New Roman"/>
              </w:rPr>
              <w:t>158</w:t>
            </w:r>
          </w:p>
        </w:tc>
        <w:tc>
          <w:tcPr>
            <w:tcW w:w="1094" w:type="pct"/>
          </w:tcPr>
          <w:p w14:paraId="10EA6C21" w14:textId="77777777" w:rsidR="00EF65F1" w:rsidRDefault="00484A18">
            <w:pPr>
              <w:contextualSpacing/>
              <w:jc w:val="center"/>
              <w:rPr>
                <w:rFonts w:ascii="Times New Roman" w:hAnsi="Times New Roman" w:cs="Times New Roman"/>
                <w:i/>
              </w:rPr>
            </w:pPr>
            <w:r>
              <w:rPr>
                <w:rFonts w:ascii="Times New Roman" w:hAnsi="Times New Roman" w:cs="Times New Roman"/>
                <w:i/>
              </w:rPr>
              <w:t>Rheum officinale, Frangula alnus, Allium sativum</w:t>
            </w:r>
          </w:p>
          <w:p w14:paraId="0C42D8C7" w14:textId="77777777" w:rsidR="00EF65F1" w:rsidRDefault="00EF65F1">
            <w:pPr>
              <w:contextualSpacing/>
              <w:jc w:val="center"/>
              <w:rPr>
                <w:rFonts w:ascii="Times New Roman" w:hAnsi="Times New Roman" w:cs="Times New Roman"/>
                <w:i/>
              </w:rPr>
            </w:pPr>
          </w:p>
          <w:p w14:paraId="7B82F2E7" w14:textId="77777777" w:rsidR="00EF65F1" w:rsidRDefault="00EF65F1">
            <w:pPr>
              <w:contextualSpacing/>
              <w:jc w:val="center"/>
              <w:rPr>
                <w:rFonts w:ascii="Times New Roman" w:hAnsi="Times New Roman" w:cs="Times New Roman"/>
                <w:i/>
              </w:rPr>
            </w:pPr>
          </w:p>
        </w:tc>
        <w:tc>
          <w:tcPr>
            <w:tcW w:w="1094" w:type="pct"/>
          </w:tcPr>
          <w:p w14:paraId="69AD72FD" w14:textId="77777777" w:rsidR="00EF65F1" w:rsidRDefault="00484A18">
            <w:pPr>
              <w:contextualSpacing/>
              <w:jc w:val="center"/>
              <w:rPr>
                <w:rFonts w:ascii="Times New Roman" w:hAnsi="Times New Roman" w:cs="Times New Roman"/>
              </w:rPr>
            </w:pPr>
            <w:r>
              <w:rPr>
                <w:rFonts w:ascii="Times New Roman" w:hAnsi="Times New Roman" w:cs="Times New Roman"/>
              </w:rPr>
              <w:t>Reduced CH</w:t>
            </w:r>
            <w:r>
              <w:rPr>
                <w:rFonts w:ascii="Times New Roman" w:hAnsi="Times New Roman" w:cs="Times New Roman"/>
                <w:vertAlign w:val="subscript"/>
              </w:rPr>
              <w:t>4</w:t>
            </w:r>
            <w:r>
              <w:rPr>
                <w:rFonts w:ascii="Times New Roman" w:hAnsi="Times New Roman" w:cs="Times New Roman"/>
              </w:rPr>
              <w:t xml:space="preserve"> and improved acetate: propionate ratio</w:t>
            </w:r>
          </w:p>
        </w:tc>
        <w:tc>
          <w:tcPr>
            <w:tcW w:w="1094" w:type="pct"/>
          </w:tcPr>
          <w:p w14:paraId="3E21437B" w14:textId="77777777" w:rsidR="00EF65F1" w:rsidRDefault="00484A18">
            <w:pPr>
              <w:contextualSpacing/>
              <w:jc w:val="center"/>
              <w:rPr>
                <w:rFonts w:ascii="Times New Roman" w:hAnsi="Times New Roman" w:cs="Times New Roman"/>
              </w:rPr>
            </w:pPr>
            <w:r>
              <w:rPr>
                <w:rFonts w:ascii="Times New Roman" w:hAnsi="Times New Roman" w:cs="Times New Roman"/>
              </w:rPr>
              <w:t>Anthraquinone derivatives</w:t>
            </w:r>
          </w:p>
        </w:tc>
        <w:tc>
          <w:tcPr>
            <w:tcW w:w="1094" w:type="pct"/>
          </w:tcPr>
          <w:p w14:paraId="1D268AEB" w14:textId="77777777" w:rsidR="00EF65F1" w:rsidRDefault="00484A18">
            <w:pPr>
              <w:contextualSpacing/>
              <w:jc w:val="center"/>
              <w:rPr>
                <w:rFonts w:ascii="Times New Roman" w:hAnsi="Times New Roman" w:cs="Times New Roman"/>
              </w:rPr>
            </w:pPr>
            <w:r>
              <w:rPr>
                <w:rFonts w:ascii="Times New Roman" w:hAnsi="Times New Roman" w:cs="Times New Roman"/>
              </w:rPr>
              <w:t xml:space="preserve">Garcia- González </w:t>
            </w:r>
            <w:r>
              <w:rPr>
                <w:rFonts w:ascii="Times New Roman" w:hAnsi="Times New Roman" w:cs="Times New Roman"/>
                <w:i/>
              </w:rPr>
              <w:t>et al.</w:t>
            </w:r>
            <w:r>
              <w:rPr>
                <w:rFonts w:ascii="Times New Roman" w:hAnsi="Times New Roman" w:cs="Times New Roman"/>
              </w:rPr>
              <w:t>, 2008</w:t>
            </w:r>
          </w:p>
        </w:tc>
      </w:tr>
      <w:tr w:rsidR="00EF65F1" w14:paraId="5DB94D4B" w14:textId="77777777">
        <w:trPr>
          <w:jc w:val="center"/>
        </w:trPr>
        <w:tc>
          <w:tcPr>
            <w:tcW w:w="625" w:type="pct"/>
          </w:tcPr>
          <w:p w14:paraId="6A43FB26" w14:textId="77777777" w:rsidR="00EF65F1" w:rsidRDefault="00484A18">
            <w:pPr>
              <w:contextualSpacing/>
              <w:jc w:val="center"/>
              <w:rPr>
                <w:rFonts w:ascii="Times New Roman" w:hAnsi="Times New Roman" w:cs="Times New Roman"/>
              </w:rPr>
            </w:pPr>
            <w:r>
              <w:rPr>
                <w:rFonts w:ascii="Times New Roman" w:hAnsi="Times New Roman" w:cs="Times New Roman"/>
              </w:rPr>
              <w:t>1</w:t>
            </w:r>
          </w:p>
        </w:tc>
        <w:tc>
          <w:tcPr>
            <w:tcW w:w="1094" w:type="pct"/>
          </w:tcPr>
          <w:p w14:paraId="4D06E175" w14:textId="77777777" w:rsidR="00EF65F1" w:rsidRDefault="00484A18">
            <w:pPr>
              <w:contextualSpacing/>
              <w:jc w:val="center"/>
              <w:rPr>
                <w:rFonts w:ascii="Times New Roman" w:hAnsi="Times New Roman" w:cs="Times New Roman"/>
                <w:i/>
              </w:rPr>
            </w:pPr>
            <w:r>
              <w:rPr>
                <w:rFonts w:ascii="Times New Roman" w:hAnsi="Times New Roman" w:cs="Times New Roman"/>
              </w:rPr>
              <w:t xml:space="preserve">Ethyl acetate extract of </w:t>
            </w:r>
            <w:r>
              <w:rPr>
                <w:rFonts w:ascii="Times New Roman" w:hAnsi="Times New Roman" w:cs="Times New Roman"/>
                <w:i/>
              </w:rPr>
              <w:t>Eucalypyus globulus</w:t>
            </w:r>
          </w:p>
        </w:tc>
        <w:tc>
          <w:tcPr>
            <w:tcW w:w="1094" w:type="pct"/>
          </w:tcPr>
          <w:p w14:paraId="1C041AA0" w14:textId="77777777" w:rsidR="00EF65F1" w:rsidRDefault="00484A18">
            <w:pPr>
              <w:contextualSpacing/>
              <w:jc w:val="center"/>
              <w:rPr>
                <w:rFonts w:ascii="Times New Roman" w:hAnsi="Times New Roman" w:cs="Times New Roman"/>
              </w:rPr>
            </w:pPr>
            <w:r>
              <w:rPr>
                <w:rFonts w:ascii="Times New Roman" w:hAnsi="Times New Roman" w:cs="Times New Roman"/>
              </w:rPr>
              <w:t>Decreased OMD, CH</w:t>
            </w:r>
            <w:r>
              <w:rPr>
                <w:rFonts w:ascii="Times New Roman" w:hAnsi="Times New Roman" w:cs="Times New Roman"/>
                <w:vertAlign w:val="subscript"/>
              </w:rPr>
              <w:t>4</w:t>
            </w:r>
            <w:r>
              <w:rPr>
                <w:rFonts w:ascii="Times New Roman" w:hAnsi="Times New Roman" w:cs="Times New Roman"/>
              </w:rPr>
              <w:t xml:space="preserve"> reduction, increased propionate</w:t>
            </w:r>
          </w:p>
          <w:p w14:paraId="647E2CC9" w14:textId="77777777" w:rsidR="00EF65F1" w:rsidRDefault="00EF65F1">
            <w:pPr>
              <w:contextualSpacing/>
              <w:jc w:val="center"/>
              <w:rPr>
                <w:rFonts w:ascii="Times New Roman" w:hAnsi="Times New Roman" w:cs="Times New Roman"/>
              </w:rPr>
            </w:pPr>
          </w:p>
        </w:tc>
        <w:tc>
          <w:tcPr>
            <w:tcW w:w="1094" w:type="pct"/>
          </w:tcPr>
          <w:p w14:paraId="578911DB" w14:textId="77777777" w:rsidR="00EF65F1" w:rsidRDefault="00484A18">
            <w:pPr>
              <w:contextualSpacing/>
              <w:jc w:val="center"/>
              <w:rPr>
                <w:rFonts w:ascii="Times New Roman" w:hAnsi="Times New Roman" w:cs="Times New Roman"/>
              </w:rPr>
            </w:pPr>
            <w:r>
              <w:rPr>
                <w:rFonts w:ascii="Times New Roman" w:hAnsi="Times New Roman" w:cs="Times New Roman"/>
              </w:rPr>
              <w:t>1,8-cineole (EO)</w:t>
            </w:r>
          </w:p>
        </w:tc>
        <w:tc>
          <w:tcPr>
            <w:tcW w:w="1094" w:type="pct"/>
          </w:tcPr>
          <w:p w14:paraId="407EDB8B" w14:textId="77777777" w:rsidR="00EF65F1" w:rsidRDefault="00484A18">
            <w:pPr>
              <w:contextualSpacing/>
              <w:jc w:val="center"/>
              <w:rPr>
                <w:rFonts w:ascii="Times New Roman" w:hAnsi="Times New Roman" w:cs="Times New Roman"/>
              </w:rPr>
            </w:pPr>
            <w:r>
              <w:rPr>
                <w:rFonts w:ascii="Times New Roman" w:hAnsi="Times New Roman" w:cs="Times New Roman"/>
              </w:rPr>
              <w:t xml:space="preserve">Boussaada </w:t>
            </w:r>
            <w:r>
              <w:rPr>
                <w:rFonts w:ascii="Times New Roman" w:hAnsi="Times New Roman" w:cs="Times New Roman"/>
                <w:i/>
              </w:rPr>
              <w:t>et al.</w:t>
            </w:r>
            <w:r>
              <w:rPr>
                <w:rFonts w:ascii="Times New Roman" w:hAnsi="Times New Roman" w:cs="Times New Roman"/>
              </w:rPr>
              <w:t>,</w:t>
            </w:r>
            <w:r>
              <w:rPr>
                <w:rFonts w:ascii="Times New Roman" w:hAnsi="Times New Roman" w:cs="Times New Roman"/>
                <w:i/>
              </w:rPr>
              <w:t xml:space="preserve"> </w:t>
            </w:r>
            <w:r>
              <w:rPr>
                <w:rFonts w:ascii="Times New Roman" w:hAnsi="Times New Roman" w:cs="Times New Roman"/>
              </w:rPr>
              <w:t>2018</w:t>
            </w:r>
          </w:p>
        </w:tc>
      </w:tr>
      <w:tr w:rsidR="00EF65F1" w14:paraId="191AA03C" w14:textId="77777777">
        <w:trPr>
          <w:jc w:val="center"/>
        </w:trPr>
        <w:tc>
          <w:tcPr>
            <w:tcW w:w="625" w:type="pct"/>
          </w:tcPr>
          <w:p w14:paraId="28D7225F" w14:textId="77777777" w:rsidR="00EF65F1" w:rsidRDefault="00484A18">
            <w:pPr>
              <w:contextualSpacing/>
              <w:jc w:val="center"/>
              <w:rPr>
                <w:rFonts w:ascii="Times New Roman" w:hAnsi="Times New Roman" w:cs="Times New Roman"/>
              </w:rPr>
            </w:pPr>
            <w:r>
              <w:rPr>
                <w:rFonts w:ascii="Times New Roman" w:hAnsi="Times New Roman" w:cs="Times New Roman"/>
              </w:rPr>
              <w:t>5</w:t>
            </w:r>
          </w:p>
        </w:tc>
        <w:tc>
          <w:tcPr>
            <w:tcW w:w="1094" w:type="pct"/>
          </w:tcPr>
          <w:p w14:paraId="604E4E1B" w14:textId="77777777" w:rsidR="00EF65F1" w:rsidRDefault="00484A18">
            <w:pPr>
              <w:contextualSpacing/>
              <w:jc w:val="center"/>
              <w:rPr>
                <w:rFonts w:ascii="Times New Roman" w:hAnsi="Times New Roman" w:cs="Times New Roman"/>
                <w:i/>
              </w:rPr>
            </w:pPr>
            <w:r>
              <w:rPr>
                <w:rFonts w:ascii="Times New Roman" w:hAnsi="Times New Roman" w:cs="Times New Roman"/>
                <w:i/>
              </w:rPr>
              <w:t>Punica granatum, Betula schmidtii, Ginkgo biloba, Camehia japonica &amp; Cudrania triscuspidata</w:t>
            </w:r>
          </w:p>
          <w:p w14:paraId="37175978" w14:textId="77777777" w:rsidR="00EF65F1" w:rsidRDefault="00EF65F1">
            <w:pPr>
              <w:contextualSpacing/>
              <w:jc w:val="center"/>
              <w:rPr>
                <w:rFonts w:ascii="Times New Roman" w:hAnsi="Times New Roman" w:cs="Times New Roman"/>
                <w:i/>
              </w:rPr>
            </w:pPr>
          </w:p>
        </w:tc>
        <w:tc>
          <w:tcPr>
            <w:tcW w:w="1094" w:type="pct"/>
          </w:tcPr>
          <w:p w14:paraId="15D02D82" w14:textId="77777777" w:rsidR="00EF65F1" w:rsidRDefault="00484A18">
            <w:pPr>
              <w:contextualSpacing/>
              <w:jc w:val="center"/>
              <w:rPr>
                <w:rFonts w:ascii="Times New Roman" w:hAnsi="Times New Roman" w:cs="Times New Roman"/>
              </w:rPr>
            </w:pPr>
            <w:r>
              <w:rPr>
                <w:rFonts w:ascii="Times New Roman" w:hAnsi="Times New Roman" w:cs="Times New Roman"/>
              </w:rPr>
              <w:t>Increased GP, -decrease CH</w:t>
            </w:r>
            <w:r>
              <w:rPr>
                <w:rFonts w:ascii="Times New Roman" w:hAnsi="Times New Roman" w:cs="Times New Roman"/>
                <w:vertAlign w:val="subscript"/>
              </w:rPr>
              <w:t>4</w:t>
            </w:r>
            <w:r>
              <w:rPr>
                <w:rFonts w:ascii="Times New Roman" w:hAnsi="Times New Roman" w:cs="Times New Roman"/>
              </w:rPr>
              <w:t xml:space="preserve"> by 4.7-14%</w:t>
            </w:r>
          </w:p>
        </w:tc>
        <w:tc>
          <w:tcPr>
            <w:tcW w:w="1094" w:type="pct"/>
          </w:tcPr>
          <w:p w14:paraId="6E6E90B1" w14:textId="77777777" w:rsidR="00EF65F1" w:rsidRDefault="00484A18">
            <w:pPr>
              <w:contextualSpacing/>
              <w:jc w:val="center"/>
              <w:rPr>
                <w:rFonts w:ascii="Times New Roman" w:hAnsi="Times New Roman" w:cs="Times New Roman"/>
              </w:rPr>
            </w:pPr>
            <w:r>
              <w:rPr>
                <w:rFonts w:ascii="Times New Roman" w:hAnsi="Times New Roman" w:cs="Times New Roman"/>
              </w:rPr>
              <w:t>Flavonoids</w:t>
            </w:r>
          </w:p>
        </w:tc>
        <w:tc>
          <w:tcPr>
            <w:tcW w:w="1094" w:type="pct"/>
          </w:tcPr>
          <w:p w14:paraId="22B1C68C" w14:textId="77777777" w:rsidR="00EF65F1" w:rsidRDefault="00484A18">
            <w:pPr>
              <w:contextualSpacing/>
              <w:jc w:val="center"/>
              <w:rPr>
                <w:rFonts w:ascii="Times New Roman" w:hAnsi="Times New Roman" w:cs="Times New Roman"/>
              </w:rPr>
            </w:pPr>
            <w:r>
              <w:rPr>
                <w:rFonts w:ascii="Times New Roman" w:hAnsi="Times New Roman" w:cs="Times New Roman"/>
              </w:rPr>
              <w:t xml:space="preserve">Kim </w:t>
            </w:r>
            <w:r>
              <w:rPr>
                <w:rFonts w:ascii="Times New Roman" w:hAnsi="Times New Roman" w:cs="Times New Roman"/>
                <w:i/>
              </w:rPr>
              <w:t>et al.</w:t>
            </w:r>
            <w:r>
              <w:rPr>
                <w:rFonts w:ascii="Times New Roman" w:hAnsi="Times New Roman" w:cs="Times New Roman"/>
              </w:rPr>
              <w:t>, 2015</w:t>
            </w:r>
          </w:p>
        </w:tc>
      </w:tr>
      <w:tr w:rsidR="00EF65F1" w14:paraId="7F5734D2" w14:textId="77777777">
        <w:trPr>
          <w:jc w:val="center"/>
        </w:trPr>
        <w:tc>
          <w:tcPr>
            <w:tcW w:w="625" w:type="pct"/>
            <w:tcBorders>
              <w:bottom w:val="single" w:sz="4" w:space="0" w:color="auto"/>
            </w:tcBorders>
          </w:tcPr>
          <w:p w14:paraId="2D81DA31" w14:textId="77777777" w:rsidR="00EF65F1" w:rsidRDefault="00484A18">
            <w:pPr>
              <w:contextualSpacing/>
              <w:jc w:val="center"/>
              <w:rPr>
                <w:rFonts w:ascii="Times New Roman" w:hAnsi="Times New Roman" w:cs="Times New Roman"/>
              </w:rPr>
            </w:pPr>
            <w:r>
              <w:rPr>
                <w:rFonts w:ascii="Times New Roman" w:hAnsi="Times New Roman" w:cs="Times New Roman"/>
              </w:rPr>
              <w:t>8</w:t>
            </w:r>
          </w:p>
        </w:tc>
        <w:tc>
          <w:tcPr>
            <w:tcW w:w="1094" w:type="pct"/>
            <w:tcBorders>
              <w:bottom w:val="single" w:sz="4" w:space="0" w:color="auto"/>
            </w:tcBorders>
          </w:tcPr>
          <w:p w14:paraId="699C4CB6" w14:textId="77777777" w:rsidR="00EF65F1" w:rsidRDefault="00484A18">
            <w:pPr>
              <w:contextualSpacing/>
              <w:jc w:val="center"/>
              <w:rPr>
                <w:rFonts w:ascii="Times New Roman" w:hAnsi="Times New Roman" w:cs="Times New Roman"/>
                <w:i/>
              </w:rPr>
            </w:pPr>
            <w:r>
              <w:rPr>
                <w:rFonts w:ascii="Times New Roman" w:hAnsi="Times New Roman" w:cs="Times New Roman"/>
              </w:rPr>
              <w:t xml:space="preserve">Extracts from </w:t>
            </w:r>
            <w:r>
              <w:rPr>
                <w:rFonts w:ascii="Times New Roman" w:hAnsi="Times New Roman" w:cs="Times New Roman"/>
                <w:i/>
              </w:rPr>
              <w:t>Azadirachta indica</w:t>
            </w:r>
            <w:r>
              <w:rPr>
                <w:rFonts w:ascii="Times New Roman" w:hAnsi="Times New Roman" w:cs="Times New Roman"/>
              </w:rPr>
              <w:t xml:space="preserve">, </w:t>
            </w:r>
            <w:r>
              <w:rPr>
                <w:rFonts w:ascii="Times New Roman" w:hAnsi="Times New Roman" w:cs="Times New Roman"/>
                <w:i/>
              </w:rPr>
              <w:t>Carica papaya</w:t>
            </w:r>
            <w:r>
              <w:rPr>
                <w:rFonts w:ascii="Times New Roman" w:hAnsi="Times New Roman" w:cs="Times New Roman"/>
              </w:rPr>
              <w:t xml:space="preserve">, </w:t>
            </w:r>
            <w:r>
              <w:rPr>
                <w:rFonts w:ascii="Times New Roman" w:hAnsi="Times New Roman" w:cs="Times New Roman"/>
                <w:i/>
              </w:rPr>
              <w:t>Jatropha carcass</w:t>
            </w:r>
            <w:r>
              <w:rPr>
                <w:rFonts w:ascii="Times New Roman" w:hAnsi="Times New Roman" w:cs="Times New Roman"/>
              </w:rPr>
              <w:t xml:space="preserve">, </w:t>
            </w:r>
            <w:r>
              <w:rPr>
                <w:rFonts w:ascii="Times New Roman" w:hAnsi="Times New Roman" w:cs="Times New Roman"/>
                <w:i/>
              </w:rPr>
              <w:t>Moringa oleifera</w:t>
            </w:r>
            <w:r>
              <w:rPr>
                <w:rFonts w:ascii="Times New Roman" w:hAnsi="Times New Roman" w:cs="Times New Roman"/>
              </w:rPr>
              <w:t xml:space="preserve">, </w:t>
            </w:r>
            <w:r>
              <w:rPr>
                <w:rFonts w:ascii="Times New Roman" w:hAnsi="Times New Roman" w:cs="Times New Roman"/>
                <w:i/>
              </w:rPr>
              <w:t xml:space="preserve">Moringa </w:t>
            </w:r>
            <w:r>
              <w:rPr>
                <w:rFonts w:ascii="Times New Roman" w:hAnsi="Times New Roman" w:cs="Times New Roman"/>
              </w:rPr>
              <w:t xml:space="preserve">pods &amp; </w:t>
            </w:r>
            <w:r>
              <w:rPr>
                <w:rFonts w:ascii="Times New Roman" w:hAnsi="Times New Roman" w:cs="Times New Roman"/>
                <w:i/>
              </w:rPr>
              <w:t>Tithonia diversifolia</w:t>
            </w:r>
          </w:p>
        </w:tc>
        <w:tc>
          <w:tcPr>
            <w:tcW w:w="1094" w:type="pct"/>
            <w:tcBorders>
              <w:bottom w:val="single" w:sz="4" w:space="0" w:color="auto"/>
            </w:tcBorders>
          </w:tcPr>
          <w:p w14:paraId="2C37C3D3" w14:textId="77777777" w:rsidR="00EF65F1" w:rsidRDefault="00484A18">
            <w:pPr>
              <w:contextualSpacing/>
              <w:jc w:val="center"/>
              <w:rPr>
                <w:rFonts w:ascii="Times New Roman" w:hAnsi="Times New Roman" w:cs="Times New Roman"/>
              </w:rPr>
            </w:pPr>
            <w:r>
              <w:rPr>
                <w:rFonts w:ascii="Times New Roman" w:hAnsi="Times New Roman" w:cs="Times New Roman"/>
              </w:rPr>
              <w:t>Manipulate rumen conditions &amp; improve feed digestibility</w:t>
            </w:r>
          </w:p>
        </w:tc>
        <w:tc>
          <w:tcPr>
            <w:tcW w:w="1094" w:type="pct"/>
            <w:tcBorders>
              <w:bottom w:val="single" w:sz="4" w:space="0" w:color="auto"/>
            </w:tcBorders>
          </w:tcPr>
          <w:p w14:paraId="72604A18" w14:textId="77777777" w:rsidR="00EF65F1" w:rsidRDefault="00484A18">
            <w:pPr>
              <w:contextualSpacing/>
              <w:jc w:val="center"/>
              <w:rPr>
                <w:rFonts w:ascii="Times New Roman" w:hAnsi="Times New Roman" w:cs="Times New Roman"/>
              </w:rPr>
            </w:pPr>
            <w:r>
              <w:rPr>
                <w:rFonts w:ascii="Times New Roman" w:hAnsi="Times New Roman" w:cs="Times New Roman"/>
              </w:rPr>
              <w:t>Not reported</w:t>
            </w:r>
          </w:p>
        </w:tc>
        <w:tc>
          <w:tcPr>
            <w:tcW w:w="1094" w:type="pct"/>
            <w:tcBorders>
              <w:bottom w:val="single" w:sz="4" w:space="0" w:color="auto"/>
            </w:tcBorders>
          </w:tcPr>
          <w:p w14:paraId="73076FC1" w14:textId="77777777" w:rsidR="00EF65F1" w:rsidRDefault="00484A18">
            <w:pPr>
              <w:contextualSpacing/>
              <w:jc w:val="center"/>
              <w:rPr>
                <w:rFonts w:ascii="Times New Roman" w:hAnsi="Times New Roman" w:cs="Times New Roman"/>
              </w:rPr>
            </w:pPr>
            <w:r>
              <w:rPr>
                <w:rFonts w:ascii="Times New Roman" w:hAnsi="Times New Roman" w:cs="Times New Roman"/>
              </w:rPr>
              <w:t>Akanmu &amp; Hassen, 2018</w:t>
            </w:r>
          </w:p>
        </w:tc>
      </w:tr>
    </w:tbl>
    <w:p w14:paraId="4F926A47" w14:textId="77777777" w:rsidR="00EF65F1" w:rsidRDefault="00EF65F1">
      <w:pPr>
        <w:spacing w:after="0" w:line="360" w:lineRule="auto"/>
        <w:ind w:firstLine="567"/>
        <w:contextualSpacing/>
        <w:rPr>
          <w:rFonts w:ascii="Times New Roman" w:hAnsi="Times New Roman" w:cs="Times New Roman"/>
          <w:sz w:val="22"/>
          <w:szCs w:val="22"/>
        </w:rPr>
      </w:pPr>
    </w:p>
    <w:p w14:paraId="3F0407BA" w14:textId="77777777" w:rsidR="00EF65F1" w:rsidRDefault="00EF65F1">
      <w:pPr>
        <w:spacing w:after="0" w:line="360" w:lineRule="auto"/>
        <w:contextualSpacing/>
        <w:rPr>
          <w:rFonts w:ascii="Times New Roman" w:hAnsi="Times New Roman" w:cs="Times New Roman"/>
          <w:i/>
          <w:sz w:val="22"/>
          <w:szCs w:val="22"/>
        </w:rPr>
      </w:pPr>
    </w:p>
    <w:p w14:paraId="18A92D8F" w14:textId="77777777" w:rsidR="00EF65F1" w:rsidRDefault="00EF65F1">
      <w:pPr>
        <w:spacing w:after="0" w:line="360" w:lineRule="auto"/>
        <w:contextualSpacing/>
        <w:rPr>
          <w:rFonts w:ascii="Times New Roman" w:hAnsi="Times New Roman" w:cs="Times New Roman"/>
          <w:i/>
          <w:sz w:val="22"/>
          <w:szCs w:val="22"/>
        </w:rPr>
      </w:pPr>
    </w:p>
    <w:p w14:paraId="2D458943" w14:textId="77777777" w:rsidR="00EF65F1" w:rsidRDefault="00EF65F1">
      <w:pPr>
        <w:spacing w:after="0" w:line="360" w:lineRule="auto"/>
        <w:contextualSpacing/>
        <w:rPr>
          <w:rFonts w:ascii="Times New Roman" w:hAnsi="Times New Roman" w:cs="Times New Roman"/>
          <w:i/>
          <w:sz w:val="22"/>
          <w:szCs w:val="22"/>
        </w:rPr>
      </w:pPr>
    </w:p>
    <w:p w14:paraId="5FAF9FA9" w14:textId="77777777" w:rsidR="00EF65F1" w:rsidRDefault="00484A18">
      <w:pPr>
        <w:spacing w:after="0" w:line="360" w:lineRule="auto"/>
        <w:contextualSpacing/>
        <w:rPr>
          <w:rFonts w:ascii="Times New Roman" w:hAnsi="Times New Roman" w:cs="Times New Roman"/>
          <w:sz w:val="22"/>
          <w:szCs w:val="22"/>
        </w:rPr>
      </w:pPr>
      <w:r>
        <w:rPr>
          <w:rFonts w:ascii="Times New Roman" w:hAnsi="Times New Roman" w:cs="Times New Roman"/>
          <w:i/>
          <w:sz w:val="22"/>
          <w:szCs w:val="22"/>
        </w:rPr>
        <w:lastRenderedPageBreak/>
        <w:t>al</w:t>
      </w:r>
      <w:r>
        <w:rPr>
          <w:rFonts w:ascii="Times New Roman" w:hAnsi="Times New Roman" w:cs="Times New Roman"/>
          <w:sz w:val="22"/>
          <w:szCs w:val="22"/>
        </w:rPr>
        <w:t xml:space="preserve"> (2018) postulated that due to the variety of different types of secondary compounds found in plants and their synergistic effect on bioactivity of the plants, acquired adaption of rumen microorganisms to plants may be reduced.</w:t>
      </w:r>
    </w:p>
    <w:p w14:paraId="6F8D0BCE" w14:textId="77777777" w:rsidR="00EF65F1" w:rsidRDefault="00EF65F1">
      <w:pPr>
        <w:spacing w:after="0" w:line="360" w:lineRule="auto"/>
        <w:ind w:firstLine="567"/>
        <w:contextualSpacing/>
        <w:rPr>
          <w:rFonts w:ascii="Times New Roman" w:hAnsi="Times New Roman" w:cs="Times New Roman"/>
          <w:sz w:val="22"/>
          <w:szCs w:val="22"/>
        </w:rPr>
      </w:pPr>
    </w:p>
    <w:p w14:paraId="110ACFE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Interpretation and comparison of results between studies needs to be done with caution as factors such as substrate, dose, laboratory methods and reporting method may vary between studies (Bodas </w:t>
      </w:r>
      <w:r>
        <w:rPr>
          <w:rFonts w:ascii="Times New Roman" w:hAnsi="Times New Roman" w:cs="Times New Roman"/>
          <w:i/>
          <w:sz w:val="22"/>
          <w:szCs w:val="22"/>
        </w:rPr>
        <w:t>et al.</w:t>
      </w:r>
      <w:r>
        <w:rPr>
          <w:rFonts w:ascii="Times New Roman" w:hAnsi="Times New Roman" w:cs="Times New Roman"/>
          <w:sz w:val="22"/>
          <w:szCs w:val="22"/>
        </w:rPr>
        <w:t xml:space="preserve">, 2012).  Inconsistent and variable results with plant extract supplementation have been reported most likely as a result of variation in source, type and dose of secondary compounds tested, as well as other factors such as substrate used and rumen pH (Bodas </w:t>
      </w:r>
      <w:r>
        <w:rPr>
          <w:rFonts w:ascii="Times New Roman" w:hAnsi="Times New Roman" w:cs="Times New Roman"/>
          <w:i/>
          <w:sz w:val="22"/>
          <w:szCs w:val="22"/>
        </w:rPr>
        <w:t>et al.</w:t>
      </w:r>
      <w:r>
        <w:rPr>
          <w:rFonts w:ascii="Times New Roman" w:hAnsi="Times New Roman" w:cs="Times New Roman"/>
          <w:sz w:val="22"/>
          <w:szCs w:val="22"/>
        </w:rPr>
        <w:t>, 2008).  This variability is a major limitation in the progress of research aimed at identifying alternative feed additives from plant natural extracts (Greathead, 2003).  Another limitation to consider is the ability of the additive to retain its efficacy over time.  This has been an issue with many CH</w:t>
      </w:r>
      <w:r>
        <w:rPr>
          <w:rFonts w:ascii="Times New Roman" w:hAnsi="Times New Roman" w:cs="Times New Roman"/>
          <w:sz w:val="22"/>
          <w:szCs w:val="22"/>
          <w:vertAlign w:val="subscript"/>
        </w:rPr>
        <w:t>4</w:t>
      </w:r>
      <w:r>
        <w:rPr>
          <w:rFonts w:ascii="Times New Roman" w:hAnsi="Times New Roman" w:cs="Times New Roman"/>
          <w:sz w:val="22"/>
          <w:szCs w:val="22"/>
        </w:rPr>
        <w:t xml:space="preserve"> mitigation additives (Bodas </w:t>
      </w:r>
      <w:r>
        <w:rPr>
          <w:rFonts w:ascii="Times New Roman" w:hAnsi="Times New Roman" w:cs="Times New Roman"/>
          <w:i/>
          <w:sz w:val="22"/>
          <w:szCs w:val="22"/>
        </w:rPr>
        <w:t>et al.</w:t>
      </w:r>
      <w:r>
        <w:rPr>
          <w:rFonts w:ascii="Times New Roman" w:hAnsi="Times New Roman" w:cs="Times New Roman"/>
          <w:sz w:val="22"/>
          <w:szCs w:val="22"/>
        </w:rPr>
        <w:t xml:space="preserve">, 2008).  Therefore, evaluation of their effect in long term </w:t>
      </w:r>
      <w:r>
        <w:rPr>
          <w:rFonts w:ascii="Times New Roman" w:hAnsi="Times New Roman" w:cs="Times New Roman"/>
          <w:i/>
          <w:sz w:val="22"/>
          <w:szCs w:val="22"/>
        </w:rPr>
        <w:t xml:space="preserve">in vivo </w:t>
      </w:r>
      <w:r>
        <w:rPr>
          <w:rFonts w:ascii="Times New Roman" w:hAnsi="Times New Roman" w:cs="Times New Roman"/>
          <w:sz w:val="22"/>
          <w:szCs w:val="22"/>
        </w:rPr>
        <w:t xml:space="preserve">studies is recommended (Busquet </w:t>
      </w:r>
      <w:r>
        <w:rPr>
          <w:rFonts w:ascii="Times New Roman" w:hAnsi="Times New Roman" w:cs="Times New Roman"/>
          <w:i/>
          <w:sz w:val="22"/>
          <w:szCs w:val="22"/>
        </w:rPr>
        <w:t>et al.</w:t>
      </w:r>
      <w:r>
        <w:rPr>
          <w:rFonts w:ascii="Times New Roman" w:hAnsi="Times New Roman" w:cs="Times New Roman"/>
          <w:sz w:val="22"/>
          <w:szCs w:val="22"/>
        </w:rPr>
        <w:t xml:space="preserve">, 2005).  </w:t>
      </w:r>
    </w:p>
    <w:p w14:paraId="66D5AFE5" w14:textId="77777777" w:rsidR="00EF65F1" w:rsidRDefault="00EF65F1">
      <w:pPr>
        <w:spacing w:after="0" w:line="360" w:lineRule="auto"/>
        <w:ind w:firstLine="567"/>
        <w:contextualSpacing/>
        <w:jc w:val="both"/>
        <w:rPr>
          <w:rFonts w:ascii="Times New Roman" w:hAnsi="Times New Roman" w:cs="Times New Roman"/>
          <w:sz w:val="22"/>
          <w:szCs w:val="22"/>
        </w:rPr>
      </w:pPr>
    </w:p>
    <w:p w14:paraId="2EC9D722"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42" w:name="_Toc2691121"/>
      <w:r>
        <w:rPr>
          <w:rFonts w:ascii="Times New Roman" w:hAnsi="Times New Roman" w:cs="Times New Roman"/>
          <w:color w:val="auto"/>
        </w:rPr>
        <w:t>Characteristics of plant species selected for the current study</w:t>
      </w:r>
      <w:bookmarkEnd w:id="42"/>
    </w:p>
    <w:p w14:paraId="104EFF42" w14:textId="77777777" w:rsidR="00EF65F1" w:rsidRDefault="00EF65F1">
      <w:pPr>
        <w:spacing w:after="0" w:line="360" w:lineRule="auto"/>
        <w:ind w:firstLine="567"/>
        <w:contextualSpacing/>
        <w:jc w:val="both"/>
        <w:rPr>
          <w:rFonts w:ascii="Times New Roman" w:hAnsi="Times New Roman" w:cs="Times New Roman"/>
          <w:sz w:val="22"/>
          <w:szCs w:val="22"/>
        </w:rPr>
      </w:pPr>
    </w:p>
    <w:p w14:paraId="41A33A87"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43" w:name="_Hlk2674802"/>
      <w:r>
        <w:rPr>
          <w:rFonts w:ascii="Times New Roman" w:hAnsi="Times New Roman" w:cs="Times New Roman"/>
          <w:sz w:val="22"/>
          <w:szCs w:val="22"/>
        </w:rPr>
        <w:t xml:space="preserve">In this study seven South African trees with potential to mitigate rumen fermentation characteristics were identified through a literature study.  The selected plants are classified as medicinal plants due to their high proportion of secondary compounds and known biological activity.  In addition, some secondary compounds have been identified in these species which may be linked to their possible mode of action on rumen fermentation.  The following species were selected for the current study: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w:t>
      </w:r>
    </w:p>
    <w:bookmarkEnd w:id="43"/>
    <w:p w14:paraId="2E0925A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 </w:t>
      </w:r>
    </w:p>
    <w:p w14:paraId="2FF77FD8"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44" w:name="_Hlk529955644"/>
      <w:bookmarkStart w:id="45" w:name="_Hlk529955783"/>
      <w:r>
        <w:rPr>
          <w:rFonts w:ascii="Times New Roman" w:hAnsi="Times New Roman" w:cs="Times New Roman"/>
          <w:i/>
          <w:sz w:val="22"/>
          <w:szCs w:val="22"/>
        </w:rPr>
        <w:t>Combretum erythrophyllum</w:t>
      </w:r>
      <w:r>
        <w:rPr>
          <w:rFonts w:ascii="Times New Roman" w:hAnsi="Times New Roman" w:cs="Times New Roman"/>
          <w:sz w:val="22"/>
          <w:szCs w:val="22"/>
        </w:rPr>
        <w:t xml:space="preserve">, its common name river bushwillow, is a medium sized deciduous tree growing up to 12m in height, and it is often found growing along river banks in Southern Africa (Coates Palgrave, 2002; van Wyk &amp; van Wyk, 2009).  These trees are commonly browsed by wild animals, especially giraffe and elephants, however their seeds are known to be poisonous (van Wyk &amp; van Wyk, 2009).   The roots, bark and leaves are used in human traditional medicine to treat coughs, infertility, venereal diseases, stomach ailments, diarrhoea and a variety of other ailments (Martini &amp; Eloff, 1998; McGaw </w:t>
      </w:r>
      <w:r>
        <w:rPr>
          <w:rFonts w:ascii="Times New Roman" w:hAnsi="Times New Roman" w:cs="Times New Roman"/>
          <w:i/>
          <w:sz w:val="22"/>
          <w:szCs w:val="22"/>
        </w:rPr>
        <w:t>et al.</w:t>
      </w:r>
      <w:r>
        <w:rPr>
          <w:rFonts w:ascii="Times New Roman" w:hAnsi="Times New Roman" w:cs="Times New Roman"/>
          <w:sz w:val="22"/>
          <w:szCs w:val="22"/>
        </w:rPr>
        <w:t xml:space="preserve">, 2001; van Wyk &amp; van Wyk, 2009; Eloff </w:t>
      </w:r>
      <w:r>
        <w:rPr>
          <w:rFonts w:ascii="Times New Roman" w:hAnsi="Times New Roman" w:cs="Times New Roman"/>
          <w:i/>
          <w:sz w:val="22"/>
          <w:szCs w:val="22"/>
        </w:rPr>
        <w:t>et al.</w:t>
      </w:r>
      <w:r>
        <w:rPr>
          <w:rFonts w:ascii="Times New Roman" w:hAnsi="Times New Roman" w:cs="Times New Roman"/>
          <w:sz w:val="22"/>
          <w:szCs w:val="22"/>
        </w:rPr>
        <w:t xml:space="preserve">, 2008; Tsala &amp; Nnanga Nga, 2013).  In Southern Africa, plant material from the genus </w:t>
      </w:r>
      <w:r>
        <w:rPr>
          <w:rFonts w:ascii="Times New Roman" w:hAnsi="Times New Roman" w:cs="Times New Roman"/>
          <w:i/>
          <w:sz w:val="22"/>
          <w:szCs w:val="22"/>
        </w:rPr>
        <w:t xml:space="preserve">Combretum </w:t>
      </w:r>
      <w:r>
        <w:rPr>
          <w:rFonts w:ascii="Times New Roman" w:hAnsi="Times New Roman" w:cs="Times New Roman"/>
          <w:sz w:val="22"/>
          <w:szCs w:val="22"/>
        </w:rPr>
        <w:t xml:space="preserve">is the most widely used family for medicinal purposes (McGaw </w:t>
      </w:r>
      <w:r>
        <w:rPr>
          <w:rFonts w:ascii="Times New Roman" w:hAnsi="Times New Roman" w:cs="Times New Roman"/>
          <w:i/>
          <w:sz w:val="22"/>
          <w:szCs w:val="22"/>
        </w:rPr>
        <w:t>et al.</w:t>
      </w:r>
      <w:r>
        <w:rPr>
          <w:rFonts w:ascii="Times New Roman" w:hAnsi="Times New Roman" w:cs="Times New Roman"/>
          <w:sz w:val="22"/>
          <w:szCs w:val="22"/>
        </w:rPr>
        <w:t xml:space="preserve">, 2001; Eloff </w:t>
      </w:r>
      <w:r>
        <w:rPr>
          <w:rFonts w:ascii="Times New Roman" w:hAnsi="Times New Roman" w:cs="Times New Roman"/>
          <w:i/>
          <w:sz w:val="22"/>
          <w:szCs w:val="22"/>
        </w:rPr>
        <w:t>et al.</w:t>
      </w:r>
      <w:r>
        <w:rPr>
          <w:rFonts w:ascii="Times New Roman" w:hAnsi="Times New Roman" w:cs="Times New Roman"/>
          <w:sz w:val="22"/>
          <w:szCs w:val="22"/>
        </w:rPr>
        <w:t xml:space="preserve">, 2008), likely due to their high concentration of bioactive compounds (Masika &amp; Afolayan, 2002), namely polyphenols and pentacyclic triterpenoids (Martini &amp; Eloff, 1998).  Plant extracts from the </w:t>
      </w:r>
      <w:r>
        <w:rPr>
          <w:rFonts w:ascii="Times New Roman" w:hAnsi="Times New Roman" w:cs="Times New Roman"/>
          <w:i/>
          <w:sz w:val="22"/>
          <w:szCs w:val="22"/>
        </w:rPr>
        <w:t xml:space="preserve">Combretum </w:t>
      </w:r>
      <w:r>
        <w:rPr>
          <w:rFonts w:ascii="Times New Roman" w:hAnsi="Times New Roman" w:cs="Times New Roman"/>
          <w:sz w:val="22"/>
          <w:szCs w:val="22"/>
        </w:rPr>
        <w:t xml:space="preserve">family have shown antibacterial, antifungal, anti-inflammatory, anthelmintic and antischistosomal activities (van Wyk </w:t>
      </w:r>
      <w:r>
        <w:rPr>
          <w:rFonts w:ascii="Times New Roman" w:hAnsi="Times New Roman" w:cs="Times New Roman"/>
          <w:i/>
          <w:sz w:val="22"/>
          <w:szCs w:val="22"/>
        </w:rPr>
        <w:t>et al.</w:t>
      </w:r>
      <w:r>
        <w:rPr>
          <w:rFonts w:ascii="Times New Roman" w:hAnsi="Times New Roman" w:cs="Times New Roman"/>
          <w:sz w:val="22"/>
          <w:szCs w:val="22"/>
        </w:rPr>
        <w:t xml:space="preserve">, 2013; Mtunzi </w:t>
      </w:r>
      <w:r>
        <w:rPr>
          <w:rFonts w:ascii="Times New Roman" w:hAnsi="Times New Roman" w:cs="Times New Roman"/>
          <w:i/>
          <w:sz w:val="22"/>
          <w:szCs w:val="22"/>
        </w:rPr>
        <w:t>et al</w:t>
      </w:r>
      <w:r>
        <w:rPr>
          <w:rFonts w:ascii="Times New Roman" w:hAnsi="Times New Roman" w:cs="Times New Roman"/>
          <w:sz w:val="22"/>
          <w:szCs w:val="22"/>
        </w:rPr>
        <w:t xml:space="preserve">., 2017).  The presence of tannins and saponins in these plant extracts may be responsible </w:t>
      </w:r>
      <w:r>
        <w:rPr>
          <w:rFonts w:ascii="Times New Roman" w:hAnsi="Times New Roman" w:cs="Times New Roman"/>
          <w:sz w:val="22"/>
          <w:szCs w:val="22"/>
        </w:rPr>
        <w:lastRenderedPageBreak/>
        <w:t xml:space="preserve">for their antifungal properties (McGaw </w:t>
      </w:r>
      <w:r>
        <w:rPr>
          <w:rFonts w:ascii="Times New Roman" w:hAnsi="Times New Roman" w:cs="Times New Roman"/>
          <w:i/>
          <w:sz w:val="22"/>
          <w:szCs w:val="22"/>
        </w:rPr>
        <w:t>et al.</w:t>
      </w:r>
      <w:r>
        <w:rPr>
          <w:rFonts w:ascii="Times New Roman" w:hAnsi="Times New Roman" w:cs="Times New Roman"/>
          <w:sz w:val="22"/>
          <w:szCs w:val="22"/>
        </w:rPr>
        <w:t xml:space="preserve">, 2001).  Leaves from the tree </w:t>
      </w:r>
      <w:r>
        <w:rPr>
          <w:rFonts w:ascii="Times New Roman" w:hAnsi="Times New Roman" w:cs="Times New Roman"/>
          <w:i/>
          <w:sz w:val="22"/>
          <w:szCs w:val="22"/>
        </w:rPr>
        <w:t>Combretum erythrophyllum</w:t>
      </w:r>
      <w:r>
        <w:rPr>
          <w:rFonts w:ascii="Times New Roman" w:hAnsi="Times New Roman" w:cs="Times New Roman"/>
          <w:sz w:val="22"/>
          <w:szCs w:val="22"/>
        </w:rPr>
        <w:t xml:space="preserve"> have been analysed and have been reported to contain both flavonoids and triterpenoids, specifically the cycloartanoid dienone acids such as erythrophyllic acid.  Seven flavonoids, with antibacterial properties, have been identified in plant extracts from </w:t>
      </w:r>
      <w:r>
        <w:rPr>
          <w:rFonts w:ascii="Times New Roman" w:hAnsi="Times New Roman" w:cs="Times New Roman"/>
          <w:i/>
          <w:sz w:val="22"/>
          <w:szCs w:val="22"/>
        </w:rPr>
        <w:t>Combretum erythrophyllum</w:t>
      </w:r>
      <w:r>
        <w:rPr>
          <w:rFonts w:ascii="Times New Roman" w:hAnsi="Times New Roman" w:cs="Times New Roman"/>
          <w:sz w:val="22"/>
          <w:szCs w:val="22"/>
        </w:rPr>
        <w:t xml:space="preserve">: apigenin, kaempferol, rhamnocitrin, rhamnazin, quercetin-5,3’-dimethylether, genkwanin and 5-hydroxy-4’,7- dimethyloxyflavone (Martini &amp; Eloff, 1998; van Vuuren, 2008; Tsala &amp; Nnanga Nga, 2013).  Leaf extracts from this species, show a higher antibacterial activity as opposed to stems, with a reported 14 different antimicrobial compounds (Martini &amp; Eloff, 1998).  </w:t>
      </w:r>
    </w:p>
    <w:bookmarkEnd w:id="44"/>
    <w:p w14:paraId="44F05012" w14:textId="77777777" w:rsidR="00EF65F1" w:rsidRDefault="00EF65F1">
      <w:pPr>
        <w:spacing w:after="0" w:line="360" w:lineRule="auto"/>
        <w:ind w:firstLine="567"/>
        <w:contextualSpacing/>
        <w:jc w:val="both"/>
        <w:rPr>
          <w:rFonts w:ascii="Times New Roman" w:hAnsi="Times New Roman" w:cs="Times New Roman"/>
          <w:sz w:val="22"/>
          <w:szCs w:val="22"/>
        </w:rPr>
      </w:pPr>
    </w:p>
    <w:p w14:paraId="523C8AC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 xml:space="preserve">Dodonaea viscosa </w:t>
      </w:r>
      <w:r>
        <w:rPr>
          <w:rFonts w:ascii="Times New Roman" w:hAnsi="Times New Roman" w:cs="Times New Roman"/>
          <w:sz w:val="22"/>
          <w:szCs w:val="22"/>
        </w:rPr>
        <w:t>var</w:t>
      </w:r>
      <w:r>
        <w:rPr>
          <w:rFonts w:ascii="Times New Roman" w:hAnsi="Times New Roman" w:cs="Times New Roman"/>
          <w:i/>
          <w:sz w:val="22"/>
          <w:szCs w:val="22"/>
        </w:rPr>
        <w:t>. angustifolia</w:t>
      </w:r>
      <w:r>
        <w:rPr>
          <w:rFonts w:ascii="Times New Roman" w:hAnsi="Times New Roman" w:cs="Times New Roman"/>
          <w:sz w:val="22"/>
          <w:szCs w:val="22"/>
        </w:rPr>
        <w:t xml:space="preserve">, sand olive, is a small tree or shrub usually 3 to 5m in height (Coates Palgrave, 2002; van Wyk &amp; van Wyk, 2009).  Leaves and tips of twigs are commonly used for medicinal purposes, including treatment of fever, colds, influenza, arthritis, sore throats, oral thrush, pneumonia and tuberculosis (Coates Palgrave, 2002; van Wyk </w:t>
      </w:r>
      <w:r>
        <w:rPr>
          <w:rFonts w:ascii="Times New Roman" w:hAnsi="Times New Roman" w:cs="Times New Roman"/>
          <w:i/>
          <w:sz w:val="22"/>
          <w:szCs w:val="22"/>
        </w:rPr>
        <w:t>et al.</w:t>
      </w:r>
      <w:r>
        <w:rPr>
          <w:rFonts w:ascii="Times New Roman" w:hAnsi="Times New Roman" w:cs="Times New Roman"/>
          <w:sz w:val="22"/>
          <w:szCs w:val="22"/>
        </w:rPr>
        <w:t xml:space="preserve">, 2013).  Active ingredients isolated in the species include flavonoids (santin), diterpenoids, dodonic acid, hautriwaic acid, β-sitosterol, stigmasterol and a glycoside of β-sitosterol (van Wyk </w:t>
      </w:r>
      <w:r>
        <w:rPr>
          <w:rFonts w:ascii="Times New Roman" w:hAnsi="Times New Roman" w:cs="Times New Roman"/>
          <w:i/>
          <w:sz w:val="22"/>
          <w:szCs w:val="22"/>
        </w:rPr>
        <w:t>et al.</w:t>
      </w:r>
      <w:r>
        <w:rPr>
          <w:rFonts w:ascii="Times New Roman" w:hAnsi="Times New Roman" w:cs="Times New Roman"/>
          <w:sz w:val="22"/>
          <w:szCs w:val="22"/>
        </w:rPr>
        <w:t>, 2013).</w:t>
      </w:r>
    </w:p>
    <w:p w14:paraId="77A4854C" w14:textId="77777777" w:rsidR="00EF65F1" w:rsidRDefault="00EF65F1">
      <w:pPr>
        <w:spacing w:after="0" w:line="360" w:lineRule="auto"/>
        <w:ind w:firstLine="567"/>
        <w:contextualSpacing/>
        <w:jc w:val="both"/>
        <w:rPr>
          <w:rFonts w:ascii="Times New Roman" w:hAnsi="Times New Roman" w:cs="Times New Roman"/>
          <w:sz w:val="22"/>
          <w:szCs w:val="22"/>
        </w:rPr>
      </w:pPr>
    </w:p>
    <w:p w14:paraId="7D9ABDB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Heteropyxis natalensis</w:t>
      </w:r>
      <w:r>
        <w:rPr>
          <w:rFonts w:ascii="Times New Roman" w:hAnsi="Times New Roman" w:cs="Times New Roman"/>
          <w:sz w:val="22"/>
          <w:szCs w:val="22"/>
        </w:rPr>
        <w:t xml:space="preserve"> is a small tree which grows primarily in the North Eastern regions of South Africa.  It is commonly known as the lavender tree due to its strong aromatic smell when the leaves are crushed (van Wyk &amp; van Wyk, 2009). The leaves are typically used medicinally for treatment against colds, respiratory disorders, a decongestant and as an antimicrobial preparation and it is also browsed by game (Van Vuuren </w:t>
      </w:r>
      <w:r>
        <w:rPr>
          <w:rFonts w:ascii="Times New Roman" w:hAnsi="Times New Roman" w:cs="Times New Roman"/>
          <w:i/>
          <w:sz w:val="22"/>
          <w:szCs w:val="22"/>
        </w:rPr>
        <w:t>et al.</w:t>
      </w:r>
      <w:r>
        <w:rPr>
          <w:rFonts w:ascii="Times New Roman" w:hAnsi="Times New Roman" w:cs="Times New Roman"/>
          <w:sz w:val="22"/>
          <w:szCs w:val="22"/>
        </w:rPr>
        <w:t xml:space="preserve">, 2007; van Wyk &amp; van Wyk, 2009; van Wyk </w:t>
      </w:r>
      <w:r>
        <w:rPr>
          <w:rFonts w:ascii="Times New Roman" w:hAnsi="Times New Roman" w:cs="Times New Roman"/>
          <w:i/>
          <w:sz w:val="22"/>
          <w:szCs w:val="22"/>
        </w:rPr>
        <w:t>et al.</w:t>
      </w:r>
      <w:r>
        <w:rPr>
          <w:rFonts w:ascii="Times New Roman" w:hAnsi="Times New Roman" w:cs="Times New Roman"/>
          <w:sz w:val="22"/>
          <w:szCs w:val="22"/>
        </w:rPr>
        <w:t xml:space="preserve">, 2013).  Leaf extracts from </w:t>
      </w:r>
      <w:r>
        <w:rPr>
          <w:rFonts w:ascii="Times New Roman" w:hAnsi="Times New Roman" w:cs="Times New Roman"/>
          <w:i/>
          <w:sz w:val="22"/>
          <w:szCs w:val="22"/>
        </w:rPr>
        <w:t>Heteropyxis natalensis</w:t>
      </w:r>
      <w:r>
        <w:rPr>
          <w:rFonts w:ascii="Times New Roman" w:hAnsi="Times New Roman" w:cs="Times New Roman"/>
          <w:sz w:val="22"/>
          <w:szCs w:val="22"/>
        </w:rPr>
        <w:t xml:space="preserve"> have been analysed, and they are composed of a variety of different essential oils with the major constituents being 1,8-cineole and limolene (van Vuuren </w:t>
      </w:r>
      <w:r>
        <w:rPr>
          <w:rFonts w:ascii="Times New Roman" w:hAnsi="Times New Roman" w:cs="Times New Roman"/>
          <w:i/>
          <w:sz w:val="22"/>
          <w:szCs w:val="22"/>
        </w:rPr>
        <w:t>et al.</w:t>
      </w:r>
      <w:r>
        <w:rPr>
          <w:rFonts w:ascii="Times New Roman" w:hAnsi="Times New Roman" w:cs="Times New Roman"/>
          <w:sz w:val="22"/>
          <w:szCs w:val="22"/>
        </w:rPr>
        <w:t xml:space="preserve">, 2007; van Wyk </w:t>
      </w:r>
      <w:r>
        <w:rPr>
          <w:rFonts w:ascii="Times New Roman" w:hAnsi="Times New Roman" w:cs="Times New Roman"/>
          <w:i/>
          <w:sz w:val="22"/>
          <w:szCs w:val="22"/>
        </w:rPr>
        <w:t>et al.</w:t>
      </w:r>
      <w:r>
        <w:rPr>
          <w:rFonts w:ascii="Times New Roman" w:hAnsi="Times New Roman" w:cs="Times New Roman"/>
          <w:sz w:val="22"/>
          <w:szCs w:val="22"/>
        </w:rPr>
        <w:t xml:space="preserve">, 2013).  Noteworthy, 1,8-cineole is the main active ingredient in Eucalyptus oil which has been shown to affect rumen fermentation parameters (Boussaada </w:t>
      </w:r>
      <w:r>
        <w:rPr>
          <w:rFonts w:ascii="Times New Roman" w:hAnsi="Times New Roman" w:cs="Times New Roman"/>
          <w:i/>
          <w:sz w:val="22"/>
          <w:szCs w:val="22"/>
        </w:rPr>
        <w:t>et al.</w:t>
      </w:r>
      <w:r>
        <w:rPr>
          <w:rFonts w:ascii="Times New Roman" w:hAnsi="Times New Roman" w:cs="Times New Roman"/>
          <w:sz w:val="22"/>
          <w:szCs w:val="22"/>
        </w:rPr>
        <w:t xml:space="preserve">, 2018).  Geographical and seasonal variation in composition has been reported by van Wyk </w:t>
      </w:r>
      <w:r>
        <w:rPr>
          <w:rFonts w:ascii="Times New Roman" w:hAnsi="Times New Roman" w:cs="Times New Roman"/>
          <w:i/>
          <w:sz w:val="22"/>
          <w:szCs w:val="22"/>
        </w:rPr>
        <w:t>et al</w:t>
      </w:r>
      <w:r>
        <w:rPr>
          <w:rFonts w:ascii="Times New Roman" w:hAnsi="Times New Roman" w:cs="Times New Roman"/>
          <w:sz w:val="22"/>
          <w:szCs w:val="22"/>
        </w:rPr>
        <w:t xml:space="preserve"> (2013) and van Vuuren </w:t>
      </w:r>
      <w:r>
        <w:rPr>
          <w:rFonts w:ascii="Times New Roman" w:hAnsi="Times New Roman" w:cs="Times New Roman"/>
          <w:i/>
          <w:sz w:val="22"/>
          <w:szCs w:val="22"/>
        </w:rPr>
        <w:t>et al</w:t>
      </w:r>
      <w:r>
        <w:rPr>
          <w:rFonts w:ascii="Times New Roman" w:hAnsi="Times New Roman" w:cs="Times New Roman"/>
          <w:sz w:val="22"/>
          <w:szCs w:val="22"/>
        </w:rPr>
        <w:t xml:space="preserve"> (2007).</w:t>
      </w:r>
    </w:p>
    <w:p w14:paraId="346D71FF" w14:textId="77777777" w:rsidR="00EF65F1" w:rsidRDefault="00EF65F1">
      <w:pPr>
        <w:spacing w:after="0" w:line="360" w:lineRule="auto"/>
        <w:ind w:firstLine="567"/>
        <w:contextualSpacing/>
        <w:jc w:val="both"/>
        <w:rPr>
          <w:rFonts w:ascii="Times New Roman" w:hAnsi="Times New Roman" w:cs="Times New Roman"/>
          <w:sz w:val="22"/>
          <w:szCs w:val="22"/>
        </w:rPr>
      </w:pPr>
    </w:p>
    <w:p w14:paraId="65BB0CF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marula tree, </w:t>
      </w:r>
      <w:r>
        <w:rPr>
          <w:rFonts w:ascii="Times New Roman" w:hAnsi="Times New Roman" w:cs="Times New Roman"/>
          <w:i/>
          <w:sz w:val="22"/>
          <w:szCs w:val="22"/>
        </w:rPr>
        <w:t xml:space="preserve">Sclerocarya birrea </w:t>
      </w:r>
      <w:r>
        <w:rPr>
          <w:rFonts w:ascii="Times New Roman" w:hAnsi="Times New Roman" w:cs="Times New Roman"/>
          <w:sz w:val="22"/>
          <w:szCs w:val="22"/>
        </w:rPr>
        <w:t xml:space="preserve">subsp. </w:t>
      </w:r>
      <w:r>
        <w:rPr>
          <w:rFonts w:ascii="Times New Roman" w:hAnsi="Times New Roman" w:cs="Times New Roman"/>
          <w:i/>
          <w:sz w:val="22"/>
          <w:szCs w:val="22"/>
        </w:rPr>
        <w:t>caffra</w:t>
      </w:r>
      <w:r>
        <w:rPr>
          <w:rFonts w:ascii="Times New Roman" w:hAnsi="Times New Roman" w:cs="Times New Roman"/>
          <w:sz w:val="22"/>
          <w:szCs w:val="22"/>
        </w:rPr>
        <w:t xml:space="preserve">, is a medium sized deciduous tree indigenous to Southern Africa (Coates Palgrave, 2002).  The bark is typically used to treat diarrhoea, fevers, ulcers and a number of other ailments (Eloff, 2001).  Chewing and swallowing of the leaves is believed to aid with indigestion, and treatment of diabetes has also been reported (van Wyk </w:t>
      </w:r>
      <w:r>
        <w:rPr>
          <w:rFonts w:ascii="Times New Roman" w:hAnsi="Times New Roman" w:cs="Times New Roman"/>
          <w:i/>
          <w:sz w:val="22"/>
          <w:szCs w:val="22"/>
        </w:rPr>
        <w:t>et al.</w:t>
      </w:r>
      <w:r>
        <w:rPr>
          <w:rFonts w:ascii="Times New Roman" w:hAnsi="Times New Roman" w:cs="Times New Roman"/>
          <w:sz w:val="22"/>
          <w:szCs w:val="22"/>
        </w:rPr>
        <w:t xml:space="preserve">, 2013).  A variety of secondary compounds have been reported in this species, while only tannins and flavonoids have been detected in the leaves (Eloff, 2001).  Würger </w:t>
      </w:r>
      <w:r>
        <w:rPr>
          <w:rFonts w:ascii="Times New Roman" w:hAnsi="Times New Roman" w:cs="Times New Roman"/>
          <w:i/>
          <w:sz w:val="22"/>
          <w:szCs w:val="22"/>
        </w:rPr>
        <w:t>et al</w:t>
      </w:r>
      <w:r>
        <w:rPr>
          <w:rFonts w:ascii="Times New Roman" w:hAnsi="Times New Roman" w:cs="Times New Roman"/>
          <w:sz w:val="22"/>
          <w:szCs w:val="22"/>
        </w:rPr>
        <w:t xml:space="preserve"> (2014) reported a high tannin content in leaf extracts of </w:t>
      </w:r>
      <w:r>
        <w:rPr>
          <w:rFonts w:ascii="Times New Roman" w:hAnsi="Times New Roman" w:cs="Times New Roman"/>
          <w:i/>
          <w:sz w:val="22"/>
          <w:szCs w:val="22"/>
        </w:rPr>
        <w:t xml:space="preserve">Sclerocarya birrea </w:t>
      </w:r>
      <w:r>
        <w:rPr>
          <w:rFonts w:ascii="Times New Roman" w:hAnsi="Times New Roman" w:cs="Times New Roman"/>
          <w:sz w:val="22"/>
          <w:szCs w:val="22"/>
        </w:rPr>
        <w:t xml:space="preserve">of 11.2 mg/mL gallic acid equivalents.  The bark of the Marula tree has been shown to express the highest antibacterial activity, due to the presence of tannins and alkaloids.  However, collection of bark for medicinal use is unsustainable as it results in the death of the plant </w:t>
      </w:r>
      <w:r>
        <w:rPr>
          <w:rFonts w:ascii="Times New Roman" w:hAnsi="Times New Roman" w:cs="Times New Roman"/>
          <w:sz w:val="22"/>
          <w:szCs w:val="22"/>
        </w:rPr>
        <w:lastRenderedPageBreak/>
        <w:t xml:space="preserve">(Eloff, 2001).  According to Eloff (2001) leaf material expresses antibacterial activity and therefore can be used as a substitute for medical uses, making them a more sustainable alternative.  The secondary compounds gallotannins, flavonoids and catechins have been reported in this plant (van Wyk </w:t>
      </w:r>
      <w:r>
        <w:rPr>
          <w:rFonts w:ascii="Times New Roman" w:hAnsi="Times New Roman" w:cs="Times New Roman"/>
          <w:i/>
          <w:sz w:val="22"/>
          <w:szCs w:val="22"/>
        </w:rPr>
        <w:t>et al.</w:t>
      </w:r>
      <w:r>
        <w:rPr>
          <w:rFonts w:ascii="Times New Roman" w:hAnsi="Times New Roman" w:cs="Times New Roman"/>
          <w:sz w:val="22"/>
          <w:szCs w:val="22"/>
        </w:rPr>
        <w:t>, 2013).</w:t>
      </w:r>
    </w:p>
    <w:p w14:paraId="53EE3F71" w14:textId="77777777" w:rsidR="00EF65F1" w:rsidRDefault="00EF65F1">
      <w:pPr>
        <w:spacing w:after="0" w:line="360" w:lineRule="auto"/>
        <w:ind w:firstLine="567"/>
        <w:contextualSpacing/>
        <w:jc w:val="both"/>
        <w:rPr>
          <w:rFonts w:ascii="Times New Roman" w:hAnsi="Times New Roman" w:cs="Times New Roman"/>
          <w:sz w:val="22"/>
          <w:szCs w:val="22"/>
        </w:rPr>
      </w:pPr>
    </w:p>
    <w:p w14:paraId="7604C3B7"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Erythrina lysistemon</w:t>
      </w:r>
      <w:r>
        <w:rPr>
          <w:rFonts w:ascii="Times New Roman" w:hAnsi="Times New Roman" w:cs="Times New Roman"/>
          <w:sz w:val="22"/>
          <w:szCs w:val="22"/>
        </w:rPr>
        <w:t xml:space="preserve">, common coral tree, is a deciduous tree growing up to 8 metres tall in the eastern and northern regions of South Africa.  Game browse both the leaves and bark, but the seeds may be potentially toxic due to the presence of certain alkaloids (van Wyk &amp; van Wyk, 2009).  Leaves and bark can be used medicinally to treat festering sores, earaches, toothaches, sprains, abscesses, respiratory infections and to disinfect wounds (Pillay </w:t>
      </w:r>
      <w:r>
        <w:rPr>
          <w:rFonts w:ascii="Times New Roman" w:hAnsi="Times New Roman" w:cs="Times New Roman"/>
          <w:i/>
          <w:sz w:val="22"/>
          <w:szCs w:val="22"/>
        </w:rPr>
        <w:t>et al.</w:t>
      </w:r>
      <w:r>
        <w:rPr>
          <w:rFonts w:ascii="Times New Roman" w:hAnsi="Times New Roman" w:cs="Times New Roman"/>
          <w:sz w:val="22"/>
          <w:szCs w:val="22"/>
        </w:rPr>
        <w:t xml:space="preserve">, 2001; Coates Palgrave, 2002; van Wyk </w:t>
      </w:r>
      <w:r>
        <w:rPr>
          <w:rFonts w:ascii="Times New Roman" w:hAnsi="Times New Roman" w:cs="Times New Roman"/>
          <w:i/>
          <w:sz w:val="22"/>
          <w:szCs w:val="22"/>
        </w:rPr>
        <w:t>et al.</w:t>
      </w:r>
      <w:r>
        <w:rPr>
          <w:rFonts w:ascii="Times New Roman" w:hAnsi="Times New Roman" w:cs="Times New Roman"/>
          <w:sz w:val="22"/>
          <w:szCs w:val="22"/>
        </w:rPr>
        <w:t xml:space="preserve">, 2013).  The </w:t>
      </w:r>
      <w:r>
        <w:rPr>
          <w:rFonts w:ascii="Times New Roman" w:hAnsi="Times New Roman" w:cs="Times New Roman"/>
          <w:i/>
          <w:sz w:val="22"/>
          <w:szCs w:val="22"/>
        </w:rPr>
        <w:t xml:space="preserve">Erythrina </w:t>
      </w:r>
      <w:r>
        <w:rPr>
          <w:rFonts w:ascii="Times New Roman" w:hAnsi="Times New Roman" w:cs="Times New Roman"/>
          <w:sz w:val="22"/>
          <w:szCs w:val="22"/>
        </w:rPr>
        <w:t xml:space="preserve">family contain several tetracyclic isoquinoline alkaloids including erysovine and erythraline.  The bark typically contains flavonoids.  Trees from the </w:t>
      </w:r>
      <w:r>
        <w:rPr>
          <w:rFonts w:ascii="Times New Roman" w:hAnsi="Times New Roman" w:cs="Times New Roman"/>
          <w:i/>
          <w:sz w:val="22"/>
          <w:szCs w:val="22"/>
        </w:rPr>
        <w:t xml:space="preserve">Erythrina </w:t>
      </w:r>
      <w:r>
        <w:rPr>
          <w:rFonts w:ascii="Times New Roman" w:hAnsi="Times New Roman" w:cs="Times New Roman"/>
          <w:sz w:val="22"/>
          <w:szCs w:val="22"/>
        </w:rPr>
        <w:t xml:space="preserve">family generally express antibacterial activity, largely attributed to the compound wighteone (4’,5,7- trihydroxy-6-prenyl-isoflavone), and it is also expressed anti-inflammatory activity (van Wyk </w:t>
      </w:r>
      <w:r>
        <w:rPr>
          <w:rFonts w:ascii="Times New Roman" w:hAnsi="Times New Roman" w:cs="Times New Roman"/>
          <w:i/>
          <w:sz w:val="22"/>
          <w:szCs w:val="22"/>
        </w:rPr>
        <w:t>et al.</w:t>
      </w:r>
      <w:r>
        <w:rPr>
          <w:rFonts w:ascii="Times New Roman" w:hAnsi="Times New Roman" w:cs="Times New Roman"/>
          <w:sz w:val="22"/>
          <w:szCs w:val="22"/>
        </w:rPr>
        <w:t xml:space="preserve">, 2013).  Gram-positive bacteria are chiefly targeted by this antibacterial activity (Pillay </w:t>
      </w:r>
      <w:r>
        <w:rPr>
          <w:rFonts w:ascii="Times New Roman" w:hAnsi="Times New Roman" w:cs="Times New Roman"/>
          <w:i/>
          <w:sz w:val="22"/>
          <w:szCs w:val="22"/>
        </w:rPr>
        <w:t>et al.</w:t>
      </w:r>
      <w:r>
        <w:rPr>
          <w:rFonts w:ascii="Times New Roman" w:hAnsi="Times New Roman" w:cs="Times New Roman"/>
          <w:sz w:val="22"/>
          <w:szCs w:val="22"/>
        </w:rPr>
        <w:t>, 2001).</w:t>
      </w:r>
    </w:p>
    <w:p w14:paraId="2FD53260" w14:textId="77777777" w:rsidR="00EF65F1" w:rsidRDefault="00EF65F1">
      <w:pPr>
        <w:spacing w:after="0" w:line="360" w:lineRule="auto"/>
        <w:ind w:firstLine="567"/>
        <w:contextualSpacing/>
        <w:jc w:val="both"/>
        <w:rPr>
          <w:rFonts w:ascii="Times New Roman" w:hAnsi="Times New Roman" w:cs="Times New Roman"/>
          <w:sz w:val="22"/>
          <w:szCs w:val="22"/>
        </w:rPr>
      </w:pPr>
    </w:p>
    <w:p w14:paraId="20FA601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Searsia chirindensis</w:t>
      </w:r>
      <w:r>
        <w:rPr>
          <w:rFonts w:ascii="Times New Roman" w:hAnsi="Times New Roman" w:cs="Times New Roman"/>
          <w:sz w:val="22"/>
          <w:szCs w:val="22"/>
        </w:rPr>
        <w:t xml:space="preserve"> formally known as </w:t>
      </w:r>
      <w:r>
        <w:rPr>
          <w:rFonts w:ascii="Times New Roman" w:hAnsi="Times New Roman" w:cs="Times New Roman"/>
          <w:i/>
          <w:sz w:val="22"/>
          <w:szCs w:val="22"/>
        </w:rPr>
        <w:t>Rhus chirindensis</w:t>
      </w:r>
      <w:r>
        <w:rPr>
          <w:rFonts w:ascii="Times New Roman" w:hAnsi="Times New Roman" w:cs="Times New Roman"/>
          <w:sz w:val="22"/>
          <w:szCs w:val="22"/>
        </w:rPr>
        <w:t xml:space="preserve">, or commonly known as the red currant, is an evergreen or deciduous tree typically found growing in forest environments (van Wyk &amp; van Wyk, 2009).  The bark, leaves or roots can be used medicinally to treat colds, post partem problems, diarrhoea, as well as being used to treat heart problems and rheumatism by increasing blood circulation (Madikizela </w:t>
      </w:r>
      <w:r>
        <w:rPr>
          <w:rFonts w:ascii="Times New Roman" w:hAnsi="Times New Roman" w:cs="Times New Roman"/>
          <w:i/>
          <w:sz w:val="22"/>
          <w:szCs w:val="22"/>
        </w:rPr>
        <w:t>et al.</w:t>
      </w:r>
      <w:r>
        <w:rPr>
          <w:rFonts w:ascii="Times New Roman" w:hAnsi="Times New Roman" w:cs="Times New Roman"/>
          <w:sz w:val="22"/>
          <w:szCs w:val="22"/>
        </w:rPr>
        <w:t xml:space="preserve">, 2013). In a study conducted by Madikizela </w:t>
      </w:r>
      <w:r>
        <w:rPr>
          <w:rFonts w:ascii="Times New Roman" w:hAnsi="Times New Roman" w:cs="Times New Roman"/>
          <w:i/>
          <w:sz w:val="22"/>
          <w:szCs w:val="22"/>
        </w:rPr>
        <w:t>et al</w:t>
      </w:r>
      <w:r>
        <w:rPr>
          <w:rFonts w:ascii="Times New Roman" w:hAnsi="Times New Roman" w:cs="Times New Roman"/>
          <w:sz w:val="22"/>
          <w:szCs w:val="22"/>
        </w:rPr>
        <w:t xml:space="preserve"> (2013) to isolate the antimicrobial compounds in </w:t>
      </w:r>
      <w:r>
        <w:rPr>
          <w:rFonts w:ascii="Times New Roman" w:hAnsi="Times New Roman" w:cs="Times New Roman"/>
          <w:i/>
          <w:sz w:val="22"/>
          <w:szCs w:val="22"/>
        </w:rPr>
        <w:t>Searsia chirindensis</w:t>
      </w:r>
      <w:r>
        <w:rPr>
          <w:rFonts w:ascii="Times New Roman" w:hAnsi="Times New Roman" w:cs="Times New Roman"/>
          <w:sz w:val="22"/>
          <w:szCs w:val="22"/>
        </w:rPr>
        <w:t xml:space="preserve">, five phenolic compounds were identified: Methyl gallate (methyl-3,4,5-trihydroxybenzoate); myricetrin-3-0-rhamnoside (myricetrin); kaempferol-3-0-rhamnoside; quercetin-3-0-arabinofuranoside.  The leaves have been shown to express antibacterial activity against a variety of bacterial strains (Madikizela </w:t>
      </w:r>
      <w:r>
        <w:rPr>
          <w:rFonts w:ascii="Times New Roman" w:hAnsi="Times New Roman" w:cs="Times New Roman"/>
          <w:i/>
          <w:sz w:val="22"/>
          <w:szCs w:val="22"/>
        </w:rPr>
        <w:t>et al.</w:t>
      </w:r>
      <w:r>
        <w:rPr>
          <w:rFonts w:ascii="Times New Roman" w:hAnsi="Times New Roman" w:cs="Times New Roman"/>
          <w:sz w:val="22"/>
          <w:szCs w:val="22"/>
        </w:rPr>
        <w:t>, 2013).</w:t>
      </w:r>
    </w:p>
    <w:p w14:paraId="40465789" w14:textId="77777777" w:rsidR="00EF65F1" w:rsidRDefault="00EF65F1">
      <w:pPr>
        <w:spacing w:after="0" w:line="360" w:lineRule="auto"/>
        <w:ind w:firstLine="567"/>
        <w:contextualSpacing/>
        <w:jc w:val="both"/>
        <w:rPr>
          <w:rFonts w:ascii="Times New Roman" w:hAnsi="Times New Roman" w:cs="Times New Roman"/>
          <w:sz w:val="22"/>
          <w:szCs w:val="22"/>
        </w:rPr>
      </w:pPr>
    </w:p>
    <w:p w14:paraId="6598E72D"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46" w:name="_Hlk529955623"/>
      <w:r>
        <w:rPr>
          <w:rFonts w:ascii="Times New Roman" w:hAnsi="Times New Roman" w:cs="Times New Roman"/>
          <w:sz w:val="22"/>
          <w:szCs w:val="22"/>
        </w:rPr>
        <w:t xml:space="preserve">The tree fuchsia, </w:t>
      </w:r>
      <w:r>
        <w:rPr>
          <w:rFonts w:ascii="Times New Roman" w:hAnsi="Times New Roman" w:cs="Times New Roman"/>
          <w:i/>
          <w:sz w:val="22"/>
          <w:szCs w:val="22"/>
        </w:rPr>
        <w:t>Halleria lucida</w:t>
      </w:r>
      <w:r>
        <w:rPr>
          <w:rFonts w:ascii="Times New Roman" w:hAnsi="Times New Roman" w:cs="Times New Roman"/>
          <w:sz w:val="22"/>
          <w:szCs w:val="22"/>
        </w:rPr>
        <w:t xml:space="preserve">, is typically a small tree or shrub that is evergreen (van Wyk &amp; van Wyk, 2009).  The plant is used to treat ear and skin complaints (Adedapo </w:t>
      </w:r>
      <w:r>
        <w:rPr>
          <w:rFonts w:ascii="Times New Roman" w:hAnsi="Times New Roman" w:cs="Times New Roman"/>
          <w:i/>
          <w:sz w:val="22"/>
          <w:szCs w:val="22"/>
        </w:rPr>
        <w:t>et al.</w:t>
      </w:r>
      <w:r>
        <w:rPr>
          <w:rFonts w:ascii="Times New Roman" w:hAnsi="Times New Roman" w:cs="Times New Roman"/>
          <w:sz w:val="22"/>
          <w:szCs w:val="22"/>
        </w:rPr>
        <w:t xml:space="preserve">, 2008; Coates Palgrave, 2002).  The leaves are typically eaten by game and livestock and contain the compounds hallerone and halleridone and the compound cyclohexandiol has been identified in the stems (Adedapo </w:t>
      </w:r>
      <w:r>
        <w:rPr>
          <w:rFonts w:ascii="Times New Roman" w:hAnsi="Times New Roman" w:cs="Times New Roman"/>
          <w:i/>
          <w:sz w:val="22"/>
          <w:szCs w:val="22"/>
        </w:rPr>
        <w:t>et al.</w:t>
      </w:r>
      <w:r>
        <w:rPr>
          <w:rFonts w:ascii="Times New Roman" w:hAnsi="Times New Roman" w:cs="Times New Roman"/>
          <w:sz w:val="22"/>
          <w:szCs w:val="22"/>
        </w:rPr>
        <w:t xml:space="preserve">, 2008).  Analysis of methanol extracts of leaves and stems by Adedapo </w:t>
      </w:r>
      <w:r>
        <w:rPr>
          <w:rFonts w:ascii="Times New Roman" w:hAnsi="Times New Roman" w:cs="Times New Roman"/>
          <w:i/>
          <w:sz w:val="22"/>
          <w:szCs w:val="22"/>
        </w:rPr>
        <w:t>et al</w:t>
      </w:r>
      <w:r>
        <w:rPr>
          <w:rFonts w:ascii="Times New Roman" w:hAnsi="Times New Roman" w:cs="Times New Roman"/>
          <w:sz w:val="22"/>
          <w:szCs w:val="22"/>
        </w:rPr>
        <w:t xml:space="preserve"> (2008) indicated a high concentration of phenolic compounds, with the leaves containing a higher proportion of flavonoids and the stems containing a higher proportion of polyphenols.  The plant shows antioxidant properties with increased activity proportional to the total phenolic content (Adedapo </w:t>
      </w:r>
      <w:r>
        <w:rPr>
          <w:rFonts w:ascii="Times New Roman" w:hAnsi="Times New Roman" w:cs="Times New Roman"/>
          <w:i/>
          <w:sz w:val="22"/>
          <w:szCs w:val="22"/>
        </w:rPr>
        <w:t>et al.</w:t>
      </w:r>
      <w:r>
        <w:rPr>
          <w:rFonts w:ascii="Times New Roman" w:hAnsi="Times New Roman" w:cs="Times New Roman"/>
          <w:sz w:val="22"/>
          <w:szCs w:val="22"/>
        </w:rPr>
        <w:t xml:space="preserve">, 2008).  Some antibacterial activity was observed with extracts from the plant, with stem portions showing some activity against gram-positive bacteria (Adedapo </w:t>
      </w:r>
      <w:r>
        <w:rPr>
          <w:rFonts w:ascii="Times New Roman" w:hAnsi="Times New Roman" w:cs="Times New Roman"/>
          <w:i/>
          <w:sz w:val="22"/>
          <w:szCs w:val="22"/>
        </w:rPr>
        <w:t>et al.</w:t>
      </w:r>
      <w:r>
        <w:rPr>
          <w:rFonts w:ascii="Times New Roman" w:hAnsi="Times New Roman" w:cs="Times New Roman"/>
          <w:sz w:val="22"/>
          <w:szCs w:val="22"/>
        </w:rPr>
        <w:t>, 2008).</w:t>
      </w:r>
    </w:p>
    <w:bookmarkEnd w:id="45"/>
    <w:bookmarkEnd w:id="46"/>
    <w:p w14:paraId="35E9A355" w14:textId="77777777" w:rsidR="00EF65F1" w:rsidRDefault="00EF65F1">
      <w:pPr>
        <w:spacing w:line="360" w:lineRule="auto"/>
        <w:ind w:firstLine="567"/>
        <w:contextualSpacing/>
        <w:jc w:val="both"/>
        <w:rPr>
          <w:rFonts w:ascii="Times New Roman" w:hAnsi="Times New Roman" w:cs="Times New Roman"/>
          <w:sz w:val="22"/>
          <w:szCs w:val="22"/>
        </w:rPr>
      </w:pPr>
    </w:p>
    <w:p w14:paraId="5F2BC2A1" w14:textId="77777777" w:rsidR="00EF65F1" w:rsidRDefault="00EF65F1">
      <w:pPr>
        <w:spacing w:line="360" w:lineRule="auto"/>
        <w:ind w:firstLine="567"/>
        <w:contextualSpacing/>
        <w:jc w:val="both"/>
        <w:rPr>
          <w:rFonts w:ascii="Times New Roman" w:hAnsi="Times New Roman" w:cs="Times New Roman"/>
          <w:sz w:val="22"/>
          <w:szCs w:val="22"/>
        </w:rPr>
      </w:pPr>
    </w:p>
    <w:p w14:paraId="2CD670A8"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47" w:name="_Toc2691122"/>
      <w:r>
        <w:rPr>
          <w:rFonts w:ascii="Times New Roman" w:hAnsi="Times New Roman" w:cs="Times New Roman"/>
          <w:b/>
          <w:color w:val="auto"/>
          <w:sz w:val="24"/>
          <w:szCs w:val="24"/>
        </w:rPr>
        <w:t>Plant secondary compounds</w:t>
      </w:r>
      <w:bookmarkEnd w:id="47"/>
    </w:p>
    <w:p w14:paraId="39ACB286" w14:textId="77777777" w:rsidR="00EF65F1" w:rsidRDefault="00EF65F1">
      <w:pPr>
        <w:spacing w:after="0" w:line="360" w:lineRule="auto"/>
        <w:ind w:firstLine="567"/>
        <w:contextualSpacing/>
        <w:jc w:val="both"/>
        <w:rPr>
          <w:rFonts w:ascii="Times New Roman" w:hAnsi="Times New Roman" w:cs="Times New Roman"/>
          <w:sz w:val="22"/>
          <w:szCs w:val="22"/>
        </w:rPr>
      </w:pPr>
    </w:p>
    <w:p w14:paraId="3149A230"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secondary compounds, also called bioactive plant factors/compounds, phytochemical feed substances/additives, herbal and botanical compounds or phytofactors (Flachowsky &amp; Lebzien, 2012; 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are produced by the plant as a form of defence against herbivore, microbial and insect attack and are not typically used in the primary biochemical and reproductive functions of the plant (Hart </w:t>
      </w:r>
      <w:r>
        <w:rPr>
          <w:rFonts w:ascii="Times New Roman" w:hAnsi="Times New Roman" w:cs="Times New Roman"/>
          <w:i/>
          <w:sz w:val="22"/>
          <w:szCs w:val="22"/>
        </w:rPr>
        <w:t>et al.</w:t>
      </w:r>
      <w:r>
        <w:rPr>
          <w:rFonts w:ascii="Times New Roman" w:hAnsi="Times New Roman" w:cs="Times New Roman"/>
          <w:sz w:val="22"/>
          <w:szCs w:val="22"/>
        </w:rPr>
        <w:t xml:space="preserve">, 2008; Bodas </w:t>
      </w:r>
      <w:r>
        <w:rPr>
          <w:rFonts w:ascii="Times New Roman" w:hAnsi="Times New Roman" w:cs="Times New Roman"/>
          <w:i/>
          <w:sz w:val="22"/>
          <w:szCs w:val="22"/>
        </w:rPr>
        <w:t>et al.</w:t>
      </w:r>
      <w:r>
        <w:rPr>
          <w:rFonts w:ascii="Times New Roman" w:hAnsi="Times New Roman" w:cs="Times New Roman"/>
          <w:sz w:val="22"/>
          <w:szCs w:val="22"/>
        </w:rPr>
        <w:t xml:space="preserve">, 2008), but are essential for the plants survival (Bodas </w:t>
      </w:r>
      <w:r>
        <w:rPr>
          <w:rFonts w:ascii="Times New Roman" w:hAnsi="Times New Roman" w:cs="Times New Roman"/>
          <w:i/>
          <w:sz w:val="22"/>
          <w:szCs w:val="22"/>
        </w:rPr>
        <w:t>et al.</w:t>
      </w:r>
      <w:r>
        <w:rPr>
          <w:rFonts w:ascii="Times New Roman" w:hAnsi="Times New Roman" w:cs="Times New Roman"/>
          <w:sz w:val="22"/>
          <w:szCs w:val="22"/>
        </w:rPr>
        <w:t xml:space="preserve">, 2012).  Over 200 000 plant secondary compounds have been identified (Bodas </w:t>
      </w:r>
      <w:r>
        <w:rPr>
          <w:rFonts w:ascii="Times New Roman" w:hAnsi="Times New Roman" w:cs="Times New Roman"/>
          <w:i/>
          <w:sz w:val="22"/>
          <w:szCs w:val="22"/>
        </w:rPr>
        <w:t>et al.</w:t>
      </w:r>
      <w:r>
        <w:rPr>
          <w:rFonts w:ascii="Times New Roman" w:hAnsi="Times New Roman" w:cs="Times New Roman"/>
          <w:sz w:val="22"/>
          <w:szCs w:val="22"/>
        </w:rPr>
        <w:t>, 2012).</w:t>
      </w:r>
    </w:p>
    <w:p w14:paraId="70DFC74D" w14:textId="77777777" w:rsidR="00EF65F1" w:rsidRDefault="00EF65F1">
      <w:pPr>
        <w:spacing w:after="0" w:line="360" w:lineRule="auto"/>
        <w:ind w:firstLine="567"/>
        <w:contextualSpacing/>
        <w:jc w:val="both"/>
        <w:rPr>
          <w:rFonts w:ascii="Times New Roman" w:hAnsi="Times New Roman" w:cs="Times New Roman"/>
          <w:sz w:val="22"/>
          <w:szCs w:val="22"/>
        </w:rPr>
      </w:pPr>
    </w:p>
    <w:p w14:paraId="53EDDA3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secondary compounds have typically been considered antinutritional factors in animal feeds due to their pertinence to reduce feed intake and/or digestibility, reducing animal productivity and health (McCann </w:t>
      </w:r>
      <w:r>
        <w:rPr>
          <w:rFonts w:ascii="Times New Roman" w:hAnsi="Times New Roman" w:cs="Times New Roman"/>
          <w:i/>
          <w:sz w:val="22"/>
          <w:szCs w:val="22"/>
        </w:rPr>
        <w:t>et al.</w:t>
      </w:r>
      <w:r>
        <w:rPr>
          <w:rFonts w:ascii="Times New Roman" w:hAnsi="Times New Roman" w:cs="Times New Roman"/>
          <w:sz w:val="22"/>
          <w:szCs w:val="22"/>
        </w:rPr>
        <w:t xml:space="preserve">, 2017).  However, the wide variety of secondary compounds with varying compositions and biological properties hold potential to enhance growth and production in livestock (Valenzuela-Grijalva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In ruminants this is likely due to their antibacterial activity, promoting eubiotic conditions within the rumen, resulting in enhanced rumen fermentation and health (Kumar </w:t>
      </w:r>
      <w:r>
        <w:rPr>
          <w:rFonts w:ascii="Times New Roman" w:hAnsi="Times New Roman" w:cs="Times New Roman"/>
          <w:i/>
          <w:sz w:val="22"/>
          <w:szCs w:val="22"/>
        </w:rPr>
        <w:t>et al.</w:t>
      </w:r>
      <w:r>
        <w:rPr>
          <w:rFonts w:ascii="Times New Roman" w:hAnsi="Times New Roman" w:cs="Times New Roman"/>
          <w:sz w:val="22"/>
          <w:szCs w:val="22"/>
        </w:rPr>
        <w:t xml:space="preserve">, 2014).  When used correctly plant secondary compounds have been shown to have the ability to shift ruminal microbial ecosystem to enhance rumen fermentation, reduce methanogen populations, reduce nutritional stress by decreasing the prevalence of disorders such as acidosis or bloat, and improve protein digestion through reduction in rumen feed protein degradation and improved microbial protein synthesis, which leads to improved animal health and productivity  (Patra &amp; Saxena, 2010; McCann </w:t>
      </w:r>
      <w:r>
        <w:rPr>
          <w:rFonts w:ascii="Times New Roman" w:hAnsi="Times New Roman" w:cs="Times New Roman"/>
          <w:i/>
          <w:sz w:val="22"/>
          <w:szCs w:val="22"/>
        </w:rPr>
        <w:t>et al.</w:t>
      </w:r>
      <w:r>
        <w:rPr>
          <w:rFonts w:ascii="Times New Roman" w:hAnsi="Times New Roman" w:cs="Times New Roman"/>
          <w:sz w:val="22"/>
          <w:szCs w:val="22"/>
        </w:rPr>
        <w:t xml:space="preserve">, 2017; Mendel </w:t>
      </w:r>
      <w:r>
        <w:rPr>
          <w:rFonts w:ascii="Times New Roman" w:hAnsi="Times New Roman" w:cs="Times New Roman"/>
          <w:i/>
          <w:sz w:val="22"/>
          <w:szCs w:val="22"/>
        </w:rPr>
        <w:t>et al.</w:t>
      </w:r>
      <w:r>
        <w:rPr>
          <w:rFonts w:ascii="Times New Roman" w:hAnsi="Times New Roman" w:cs="Times New Roman"/>
          <w:sz w:val="22"/>
          <w:szCs w:val="22"/>
        </w:rPr>
        <w:t xml:space="preserve">, 2017).  </w:t>
      </w:r>
    </w:p>
    <w:p w14:paraId="66D88881" w14:textId="77777777" w:rsidR="00EF65F1" w:rsidRDefault="00EF65F1">
      <w:pPr>
        <w:spacing w:after="0" w:line="360" w:lineRule="auto"/>
        <w:ind w:firstLine="567"/>
        <w:contextualSpacing/>
        <w:jc w:val="both"/>
        <w:rPr>
          <w:rFonts w:ascii="Times New Roman" w:hAnsi="Times New Roman" w:cs="Times New Roman"/>
          <w:sz w:val="22"/>
          <w:szCs w:val="22"/>
        </w:rPr>
      </w:pPr>
    </w:p>
    <w:p w14:paraId="1BF99CA0"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Due to the diversity in composition and biological activity of plant secondary compounds, deducing a singular mode of action on rumen fermentation is improbable, as they likely exert their effects through multiple modes of actions, which have not been fully determined (Valenzuela-Grijalva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However, </w:t>
      </w:r>
      <w:bookmarkStart w:id="48" w:name="_Hlk2675207"/>
      <w:r>
        <w:rPr>
          <w:rFonts w:ascii="Times New Roman" w:hAnsi="Times New Roman" w:cs="Times New Roman"/>
          <w:sz w:val="22"/>
          <w:szCs w:val="22"/>
        </w:rPr>
        <w:t xml:space="preserve">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proposed four main mechanism in which plant extracts could be beneficial as additives: </w:t>
      </w:r>
    </w:p>
    <w:p w14:paraId="51FA5ED8" w14:textId="77777777" w:rsidR="00EF65F1" w:rsidRDefault="00484A18">
      <w:pPr>
        <w:pStyle w:val="ListParagraph"/>
        <w:numPr>
          <w:ilvl w:val="0"/>
          <w:numId w:val="9"/>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Increasing dry matter intake</w:t>
      </w:r>
    </w:p>
    <w:p w14:paraId="0D157191" w14:textId="77777777" w:rsidR="00EF65F1" w:rsidRDefault="00484A18">
      <w:pPr>
        <w:pStyle w:val="ListParagraph"/>
        <w:numPr>
          <w:ilvl w:val="0"/>
          <w:numId w:val="9"/>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Modulating rumen fermentation characteristics</w:t>
      </w:r>
    </w:p>
    <w:p w14:paraId="0AB28D23" w14:textId="77777777" w:rsidR="00EF65F1" w:rsidRDefault="00484A18">
      <w:pPr>
        <w:pStyle w:val="ListParagraph"/>
        <w:numPr>
          <w:ilvl w:val="0"/>
          <w:numId w:val="9"/>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Increasing nutrient digestion and absorption</w:t>
      </w:r>
    </w:p>
    <w:p w14:paraId="7EDD39CC" w14:textId="77777777" w:rsidR="00EF65F1" w:rsidRDefault="00484A18">
      <w:pPr>
        <w:pStyle w:val="ListParagraph"/>
        <w:numPr>
          <w:ilvl w:val="0"/>
          <w:numId w:val="9"/>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To stimulate anabolic activity on target tissue.</w:t>
      </w:r>
    </w:p>
    <w:bookmarkEnd w:id="48"/>
    <w:p w14:paraId="07FF4F42" w14:textId="77777777" w:rsidR="00EF65F1" w:rsidRDefault="00EF65F1">
      <w:pPr>
        <w:spacing w:after="0" w:line="360" w:lineRule="auto"/>
        <w:ind w:firstLine="567"/>
        <w:contextualSpacing/>
        <w:jc w:val="both"/>
        <w:rPr>
          <w:rFonts w:ascii="Times New Roman" w:hAnsi="Times New Roman" w:cs="Times New Roman"/>
          <w:sz w:val="22"/>
          <w:szCs w:val="22"/>
        </w:rPr>
      </w:pPr>
    </w:p>
    <w:p w14:paraId="68904C19"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secondary compounds tend to mitigate rumen fermentation largely due to their antibacterial properties which primarily targets gram-positive bacteria (Busquet </w:t>
      </w:r>
      <w:r>
        <w:rPr>
          <w:rFonts w:ascii="Times New Roman" w:hAnsi="Times New Roman" w:cs="Times New Roman"/>
          <w:i/>
          <w:sz w:val="22"/>
          <w:szCs w:val="22"/>
        </w:rPr>
        <w:t>et al.</w:t>
      </w:r>
      <w:r>
        <w:rPr>
          <w:rFonts w:ascii="Times New Roman" w:hAnsi="Times New Roman" w:cs="Times New Roman"/>
          <w:sz w:val="22"/>
          <w:szCs w:val="22"/>
        </w:rPr>
        <w:t xml:space="preserve">, 2006; Valenzuela-Grijalva </w:t>
      </w:r>
      <w:r>
        <w:rPr>
          <w:rFonts w:ascii="Times New Roman" w:hAnsi="Times New Roman" w:cs="Times New Roman"/>
          <w:i/>
          <w:sz w:val="22"/>
          <w:szCs w:val="22"/>
        </w:rPr>
        <w:t xml:space="preserve">et </w:t>
      </w:r>
      <w:r>
        <w:rPr>
          <w:rFonts w:ascii="Times New Roman" w:hAnsi="Times New Roman" w:cs="Times New Roman"/>
          <w:i/>
          <w:sz w:val="22"/>
          <w:szCs w:val="22"/>
        </w:rPr>
        <w:lastRenderedPageBreak/>
        <w:t>al.</w:t>
      </w:r>
      <w:r>
        <w:rPr>
          <w:rFonts w:ascii="Times New Roman" w:hAnsi="Times New Roman" w:cs="Times New Roman"/>
          <w:sz w:val="22"/>
          <w:szCs w:val="22"/>
        </w:rPr>
        <w:t xml:space="preserve">, 2017).  This antibacterial activity causes 1) inhibition of cell wall synthesis, 2) disruption of cell wall structure and 3) inhibition of nucleic acid synthesis, protein synthesis and bacterial metabolic pathways (Valenzuela-Grijalva </w:t>
      </w:r>
      <w:r>
        <w:rPr>
          <w:rFonts w:ascii="Times New Roman" w:hAnsi="Times New Roman" w:cs="Times New Roman"/>
          <w:i/>
          <w:sz w:val="22"/>
          <w:szCs w:val="22"/>
        </w:rPr>
        <w:t>et al.</w:t>
      </w:r>
      <w:r>
        <w:rPr>
          <w:rFonts w:ascii="Times New Roman" w:hAnsi="Times New Roman" w:cs="Times New Roman"/>
          <w:sz w:val="22"/>
          <w:szCs w:val="22"/>
        </w:rPr>
        <w:t xml:space="preserve">, 2017).  This results in bacterial death altering the microbial population diversity within the rumen.  Relatively low concentrations of plant secondary compounds are required to produce these mitigating effects (Alexander </w:t>
      </w:r>
      <w:r>
        <w:rPr>
          <w:rFonts w:ascii="Times New Roman" w:hAnsi="Times New Roman" w:cs="Times New Roman"/>
          <w:i/>
          <w:sz w:val="22"/>
          <w:szCs w:val="22"/>
        </w:rPr>
        <w:t>et al.</w:t>
      </w:r>
      <w:r>
        <w:rPr>
          <w:rFonts w:ascii="Times New Roman" w:hAnsi="Times New Roman" w:cs="Times New Roman"/>
          <w:sz w:val="22"/>
          <w:szCs w:val="22"/>
        </w:rPr>
        <w:t xml:space="preserve">, 2008).  Defaunation or reduction of gram-positive bacteria in the rumen alters the VFA profile with more propionate being produced (Busquet </w:t>
      </w:r>
      <w:r>
        <w:rPr>
          <w:rFonts w:ascii="Times New Roman" w:hAnsi="Times New Roman" w:cs="Times New Roman"/>
          <w:i/>
          <w:sz w:val="22"/>
          <w:szCs w:val="22"/>
        </w:rPr>
        <w:t>et al.</w:t>
      </w:r>
      <w:r>
        <w:rPr>
          <w:rFonts w:ascii="Times New Roman" w:hAnsi="Times New Roman" w:cs="Times New Roman"/>
          <w:sz w:val="22"/>
          <w:szCs w:val="22"/>
        </w:rPr>
        <w:t xml:space="preserve">, 2006), which is a beneficial energy source for maintenance and growth purposes (Valenzuela-Grijalva </w:t>
      </w:r>
      <w:r>
        <w:rPr>
          <w:rFonts w:ascii="Times New Roman" w:hAnsi="Times New Roman" w:cs="Times New Roman"/>
          <w:i/>
          <w:sz w:val="22"/>
          <w:szCs w:val="22"/>
        </w:rPr>
        <w:t>et al.</w:t>
      </w:r>
      <w:r>
        <w:rPr>
          <w:rFonts w:ascii="Times New Roman" w:hAnsi="Times New Roman" w:cs="Times New Roman"/>
          <w:sz w:val="22"/>
          <w:szCs w:val="22"/>
        </w:rPr>
        <w:t>, 2017).</w:t>
      </w:r>
    </w:p>
    <w:p w14:paraId="02C452F9" w14:textId="77777777" w:rsidR="00EF65F1" w:rsidRDefault="00EF65F1">
      <w:pPr>
        <w:spacing w:after="0" w:line="360" w:lineRule="auto"/>
        <w:contextualSpacing/>
        <w:jc w:val="both"/>
        <w:rPr>
          <w:rFonts w:ascii="Times New Roman" w:hAnsi="Times New Roman" w:cs="Times New Roman"/>
          <w:sz w:val="22"/>
          <w:szCs w:val="22"/>
        </w:rPr>
      </w:pPr>
    </w:p>
    <w:p w14:paraId="40AFBF8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secondary compounds, with potential as rumen modifiers, can be broadly classified into four categories (Hart </w:t>
      </w:r>
      <w:r>
        <w:rPr>
          <w:rFonts w:ascii="Times New Roman" w:hAnsi="Times New Roman" w:cs="Times New Roman"/>
          <w:i/>
          <w:sz w:val="22"/>
          <w:szCs w:val="22"/>
        </w:rPr>
        <w:t>et al.</w:t>
      </w:r>
      <w:r>
        <w:rPr>
          <w:rFonts w:ascii="Times New Roman" w:hAnsi="Times New Roman" w:cs="Times New Roman"/>
          <w:sz w:val="22"/>
          <w:szCs w:val="22"/>
        </w:rPr>
        <w:t xml:space="preserve">, 2008; Patra &amp; Saxena, 2010; Bodas </w:t>
      </w:r>
      <w:r>
        <w:rPr>
          <w:rFonts w:ascii="Times New Roman" w:hAnsi="Times New Roman" w:cs="Times New Roman"/>
          <w:i/>
          <w:sz w:val="22"/>
          <w:szCs w:val="22"/>
        </w:rPr>
        <w:t>et al.</w:t>
      </w:r>
      <w:r>
        <w:rPr>
          <w:rFonts w:ascii="Times New Roman" w:hAnsi="Times New Roman" w:cs="Times New Roman"/>
          <w:sz w:val="22"/>
          <w:szCs w:val="22"/>
        </w:rPr>
        <w:t>, 2012):</w:t>
      </w:r>
    </w:p>
    <w:p w14:paraId="31543455" w14:textId="77777777" w:rsidR="00EF65F1" w:rsidRDefault="00484A18">
      <w:pPr>
        <w:pStyle w:val="ListParagraph"/>
        <w:numPr>
          <w:ilvl w:val="0"/>
          <w:numId w:val="10"/>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Polyphenols (tannins)</w:t>
      </w:r>
    </w:p>
    <w:p w14:paraId="06685C87" w14:textId="77777777" w:rsidR="00EF65F1" w:rsidRDefault="00484A18">
      <w:pPr>
        <w:pStyle w:val="ListParagraph"/>
        <w:numPr>
          <w:ilvl w:val="0"/>
          <w:numId w:val="10"/>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Saponins</w:t>
      </w:r>
    </w:p>
    <w:p w14:paraId="6CB24AA2" w14:textId="77777777" w:rsidR="00EF65F1" w:rsidRDefault="00484A18">
      <w:pPr>
        <w:pStyle w:val="ListParagraph"/>
        <w:numPr>
          <w:ilvl w:val="0"/>
          <w:numId w:val="10"/>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Organosulphurs </w:t>
      </w:r>
    </w:p>
    <w:p w14:paraId="0EE60D69" w14:textId="77777777" w:rsidR="00EF65F1" w:rsidRDefault="00484A18">
      <w:pPr>
        <w:pStyle w:val="ListParagraph"/>
        <w:numPr>
          <w:ilvl w:val="0"/>
          <w:numId w:val="10"/>
        </w:num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Essential oils </w:t>
      </w:r>
    </w:p>
    <w:p w14:paraId="2A9D1FA1" w14:textId="77777777" w:rsidR="00EF65F1" w:rsidRDefault="00EF65F1">
      <w:pPr>
        <w:pStyle w:val="ListParagraph"/>
        <w:spacing w:after="0" w:line="360" w:lineRule="auto"/>
        <w:ind w:left="1287"/>
        <w:jc w:val="both"/>
        <w:rPr>
          <w:rFonts w:ascii="Times New Roman" w:hAnsi="Times New Roman" w:cs="Times New Roman"/>
          <w:sz w:val="22"/>
          <w:szCs w:val="22"/>
        </w:rPr>
      </w:pPr>
    </w:p>
    <w:p w14:paraId="68D33CF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Figure 1.2 shows a breakdown of the classification of plant secondary compounds as described by Arowolo and He (2018).  </w:t>
      </w:r>
    </w:p>
    <w:p w14:paraId="0AD631D6" w14:textId="77777777" w:rsidR="00EF65F1" w:rsidRDefault="00EF65F1">
      <w:pPr>
        <w:spacing w:after="0" w:line="360" w:lineRule="auto"/>
        <w:contextualSpacing/>
        <w:rPr>
          <w:rFonts w:ascii="Times New Roman" w:hAnsi="Times New Roman" w:cs="Times New Roman"/>
          <w:sz w:val="22"/>
          <w:szCs w:val="22"/>
        </w:rPr>
      </w:pPr>
    </w:p>
    <w:p w14:paraId="5642A65F"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noProof/>
          <w:sz w:val="22"/>
          <w:szCs w:val="22"/>
          <w:lang w:eastAsia="en-ZA"/>
        </w:rPr>
        <w:drawing>
          <wp:inline distT="0" distB="0" distL="0" distR="0" wp14:anchorId="4D0CA820" wp14:editId="799AB8B3">
            <wp:extent cx="6315463" cy="3533775"/>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5).png"/>
                    <pic:cNvPicPr/>
                  </pic:nvPicPr>
                  <pic:blipFill>
                    <a:blip r:embed="rId13">
                      <a:extLst>
                        <a:ext uri="{28A0092B-C50C-407E-A947-70E740481C1C}">
                          <a14:useLocalDpi xmlns:a14="http://schemas.microsoft.com/office/drawing/2010/main" val="0"/>
                        </a:ext>
                      </a:extLst>
                    </a:blip>
                    <a:stretch>
                      <a:fillRect/>
                    </a:stretch>
                  </pic:blipFill>
                  <pic:spPr>
                    <a:xfrm>
                      <a:off x="0" y="0"/>
                      <a:ext cx="6376955" cy="3568182"/>
                    </a:xfrm>
                    <a:prstGeom prst="rect">
                      <a:avLst/>
                    </a:prstGeom>
                  </pic:spPr>
                </pic:pic>
              </a:graphicData>
            </a:graphic>
          </wp:inline>
        </w:drawing>
      </w:r>
    </w:p>
    <w:p w14:paraId="55F57D3A" w14:textId="77777777" w:rsidR="00EF65F1" w:rsidRDefault="00EF65F1">
      <w:pPr>
        <w:pStyle w:val="Caption"/>
        <w:spacing w:after="0" w:line="360" w:lineRule="auto"/>
        <w:contextualSpacing/>
        <w:jc w:val="both"/>
        <w:rPr>
          <w:rFonts w:ascii="Times New Roman" w:hAnsi="Times New Roman" w:cs="Times New Roman"/>
          <w:i w:val="0"/>
          <w:color w:val="auto"/>
          <w:sz w:val="24"/>
          <w:szCs w:val="24"/>
        </w:rPr>
      </w:pPr>
      <w:bookmarkStart w:id="49" w:name="_Toc530512567"/>
      <w:bookmarkStart w:id="50" w:name="_Toc2349030"/>
    </w:p>
    <w:p w14:paraId="45D1F76E" w14:textId="4EA4318B" w:rsidR="00EF65F1" w:rsidRDefault="00484A18">
      <w:pPr>
        <w:pStyle w:val="Caption"/>
        <w:spacing w:after="0" w:line="360" w:lineRule="auto"/>
        <w:contextualSpacing/>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Classification of plant secondary compounds (Arowolo &amp; He, 2018)</w:t>
      </w:r>
      <w:bookmarkEnd w:id="49"/>
      <w:bookmarkEnd w:id="50"/>
    </w:p>
    <w:p w14:paraId="230E1D3D"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51" w:name="_Toc2691123"/>
      <w:r>
        <w:rPr>
          <w:rFonts w:ascii="Times New Roman" w:hAnsi="Times New Roman" w:cs="Times New Roman"/>
          <w:color w:val="auto"/>
        </w:rPr>
        <w:lastRenderedPageBreak/>
        <w:t>Phenolic compounds</w:t>
      </w:r>
      <w:bookmarkEnd w:id="51"/>
    </w:p>
    <w:p w14:paraId="6F8484AC" w14:textId="77777777" w:rsidR="00EF65F1" w:rsidRDefault="00EF65F1">
      <w:pPr>
        <w:spacing w:after="0" w:line="360" w:lineRule="auto"/>
        <w:ind w:firstLine="567"/>
        <w:contextualSpacing/>
        <w:jc w:val="both"/>
        <w:rPr>
          <w:rFonts w:ascii="Times New Roman" w:hAnsi="Times New Roman" w:cs="Times New Roman"/>
          <w:sz w:val="22"/>
          <w:szCs w:val="22"/>
        </w:rPr>
      </w:pPr>
    </w:p>
    <w:p w14:paraId="49E2C0A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Phenolic compounds tend to express antimicrobial and antifungal properties and provide a chemical barrier against microbes for the plant tissues (Martini </w:t>
      </w:r>
      <w:r>
        <w:rPr>
          <w:rFonts w:ascii="Times New Roman" w:hAnsi="Times New Roman" w:cs="Times New Roman"/>
          <w:i/>
          <w:sz w:val="22"/>
          <w:szCs w:val="22"/>
        </w:rPr>
        <w:t>et al.</w:t>
      </w:r>
      <w:r>
        <w:rPr>
          <w:rFonts w:ascii="Times New Roman" w:hAnsi="Times New Roman" w:cs="Times New Roman"/>
          <w:sz w:val="22"/>
          <w:szCs w:val="22"/>
        </w:rPr>
        <w:t xml:space="preserve">, 2004; Madikizela </w:t>
      </w:r>
      <w:r>
        <w:rPr>
          <w:rFonts w:ascii="Times New Roman" w:hAnsi="Times New Roman" w:cs="Times New Roman"/>
          <w:i/>
          <w:sz w:val="22"/>
          <w:szCs w:val="22"/>
        </w:rPr>
        <w:t>et al.</w:t>
      </w:r>
      <w:r>
        <w:rPr>
          <w:rFonts w:ascii="Times New Roman" w:hAnsi="Times New Roman" w:cs="Times New Roman"/>
          <w:sz w:val="22"/>
          <w:szCs w:val="22"/>
        </w:rPr>
        <w:t xml:space="preserve">, 2013).  Due to the presence of the hydroxyl group in the phenolic structure, phenolic compounds tend to be the most effective antimicrobial compound compared to other plant secondary compounds (Busquet </w:t>
      </w:r>
      <w:r>
        <w:rPr>
          <w:rFonts w:ascii="Times New Roman" w:hAnsi="Times New Roman" w:cs="Times New Roman"/>
          <w:i/>
          <w:sz w:val="22"/>
          <w:szCs w:val="22"/>
        </w:rPr>
        <w:t>et al.</w:t>
      </w:r>
      <w:r>
        <w:rPr>
          <w:rFonts w:ascii="Times New Roman" w:hAnsi="Times New Roman" w:cs="Times New Roman"/>
          <w:sz w:val="22"/>
          <w:szCs w:val="22"/>
        </w:rPr>
        <w:t>, 2006).</w:t>
      </w:r>
    </w:p>
    <w:p w14:paraId="1B06B957" w14:textId="77777777" w:rsidR="00EF65F1" w:rsidRDefault="00EF65F1">
      <w:pPr>
        <w:spacing w:after="0" w:line="360" w:lineRule="auto"/>
        <w:ind w:firstLine="567"/>
        <w:contextualSpacing/>
        <w:jc w:val="both"/>
        <w:rPr>
          <w:rFonts w:ascii="Times New Roman" w:hAnsi="Times New Roman" w:cs="Times New Roman"/>
          <w:sz w:val="22"/>
          <w:szCs w:val="22"/>
        </w:rPr>
      </w:pPr>
    </w:p>
    <w:p w14:paraId="6C01082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Tannins, a polyphenolic biomolecule, have been shown to have anti-methanogenic potential, likely due to their direct effect on methanogenic Archaea and an indirect effect of a reduction in fibre digestion (Bodas </w:t>
      </w:r>
      <w:r>
        <w:rPr>
          <w:rFonts w:ascii="Times New Roman" w:hAnsi="Times New Roman" w:cs="Times New Roman"/>
          <w:i/>
          <w:sz w:val="22"/>
          <w:szCs w:val="22"/>
        </w:rPr>
        <w:t>et al.</w:t>
      </w:r>
      <w:r>
        <w:rPr>
          <w:rFonts w:ascii="Times New Roman" w:hAnsi="Times New Roman" w:cs="Times New Roman"/>
          <w:sz w:val="22"/>
          <w:szCs w:val="22"/>
        </w:rPr>
        <w:t xml:space="preserve">, 2008; Medjekal </w:t>
      </w:r>
      <w:r>
        <w:rPr>
          <w:rFonts w:ascii="Times New Roman" w:hAnsi="Times New Roman" w:cs="Times New Roman"/>
          <w:i/>
          <w:sz w:val="22"/>
          <w:szCs w:val="22"/>
        </w:rPr>
        <w:t>et al.</w:t>
      </w:r>
      <w:r>
        <w:rPr>
          <w:rFonts w:ascii="Times New Roman" w:hAnsi="Times New Roman" w:cs="Times New Roman"/>
          <w:sz w:val="22"/>
          <w:szCs w:val="22"/>
        </w:rPr>
        <w:t xml:space="preserve">, 2017).   However, the huge diversity of tannin type, structure and concentrations, has led to their variable effects on rumen methanogenesis (Rodriguez </w:t>
      </w:r>
      <w:r>
        <w:rPr>
          <w:rFonts w:ascii="Times New Roman" w:hAnsi="Times New Roman" w:cs="Times New Roman"/>
          <w:i/>
          <w:sz w:val="22"/>
          <w:szCs w:val="22"/>
        </w:rPr>
        <w:t>et al.</w:t>
      </w:r>
      <w:r>
        <w:rPr>
          <w:rFonts w:ascii="Times New Roman" w:hAnsi="Times New Roman" w:cs="Times New Roman"/>
          <w:sz w:val="22"/>
          <w:szCs w:val="22"/>
        </w:rPr>
        <w:t>, 2011;</w:t>
      </w:r>
      <w:r>
        <w:rPr>
          <w:rFonts w:ascii="Times New Roman" w:hAnsi="Times New Roman" w:cs="Times New Roman"/>
          <w:i/>
          <w:sz w:val="22"/>
          <w:szCs w:val="22"/>
        </w:rPr>
        <w:t xml:space="preserve"> </w:t>
      </w:r>
      <w:r>
        <w:rPr>
          <w:rFonts w:ascii="Times New Roman" w:hAnsi="Times New Roman" w:cs="Times New Roman"/>
          <w:sz w:val="22"/>
          <w:szCs w:val="22"/>
        </w:rPr>
        <w:t xml:space="preserve">Gemeda &amp; Hassen, 2015; Hassen </w:t>
      </w:r>
      <w:r>
        <w:rPr>
          <w:rFonts w:ascii="Times New Roman" w:hAnsi="Times New Roman" w:cs="Times New Roman"/>
          <w:i/>
          <w:sz w:val="22"/>
          <w:szCs w:val="22"/>
        </w:rPr>
        <w:t>et al.</w:t>
      </w:r>
      <w:r>
        <w:rPr>
          <w:rFonts w:ascii="Times New Roman" w:hAnsi="Times New Roman" w:cs="Times New Roman"/>
          <w:sz w:val="22"/>
          <w:szCs w:val="22"/>
        </w:rPr>
        <w:t xml:space="preserve">, 2016), as the bioactivity of tannins is shown to vary with structural differences as well as physiological responses between ruminants (Eloff </w:t>
      </w:r>
      <w:r>
        <w:rPr>
          <w:rFonts w:ascii="Times New Roman" w:hAnsi="Times New Roman" w:cs="Times New Roman"/>
          <w:i/>
          <w:sz w:val="22"/>
          <w:szCs w:val="22"/>
        </w:rPr>
        <w:t>et al.</w:t>
      </w:r>
      <w:r>
        <w:rPr>
          <w:rFonts w:ascii="Times New Roman" w:hAnsi="Times New Roman" w:cs="Times New Roman"/>
          <w:sz w:val="22"/>
          <w:szCs w:val="22"/>
        </w:rPr>
        <w:t xml:space="preserve">, 2008; Rochfort </w:t>
      </w:r>
      <w:r>
        <w:rPr>
          <w:rFonts w:ascii="Times New Roman" w:hAnsi="Times New Roman" w:cs="Times New Roman"/>
          <w:i/>
          <w:sz w:val="22"/>
          <w:szCs w:val="22"/>
        </w:rPr>
        <w:t>et al.</w:t>
      </w:r>
      <w:r>
        <w:rPr>
          <w:rFonts w:ascii="Times New Roman" w:hAnsi="Times New Roman" w:cs="Times New Roman"/>
          <w:sz w:val="22"/>
          <w:szCs w:val="22"/>
        </w:rPr>
        <w:t>, 2008).  Tannins, or tannin-containing plant extracts, have been shown to reduce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by up to 50% (Bodas </w:t>
      </w:r>
      <w:r>
        <w:rPr>
          <w:rFonts w:ascii="Times New Roman" w:hAnsi="Times New Roman" w:cs="Times New Roman"/>
          <w:i/>
          <w:sz w:val="22"/>
          <w:szCs w:val="22"/>
        </w:rPr>
        <w:t>et al.</w:t>
      </w:r>
      <w:r>
        <w:rPr>
          <w:rFonts w:ascii="Times New Roman" w:hAnsi="Times New Roman" w:cs="Times New Roman"/>
          <w:sz w:val="22"/>
          <w:szCs w:val="22"/>
        </w:rPr>
        <w:t xml:space="preserve">, 2012).  Tannins are found in a wide variety of trees, shrubs and plants and they tend to be more concentrated in the leaves and flower sections of the plants.  They have been shown to have biological activities including antimicrobial, anti-parasitic, antioxidant, anti-inflammatory and anti-virus effects (Huang </w:t>
      </w:r>
      <w:r>
        <w:rPr>
          <w:rFonts w:ascii="Times New Roman" w:hAnsi="Times New Roman" w:cs="Times New Roman"/>
          <w:i/>
          <w:sz w:val="22"/>
          <w:szCs w:val="22"/>
        </w:rPr>
        <w:t>et al.</w:t>
      </w:r>
      <w:r>
        <w:rPr>
          <w:rFonts w:ascii="Times New Roman" w:hAnsi="Times New Roman" w:cs="Times New Roman"/>
          <w:sz w:val="22"/>
          <w:szCs w:val="22"/>
        </w:rPr>
        <w:t xml:space="preserve">, 2018).  Two categories of tannins are recognised in terrestrial plants namely condensed tannin (CT) and hydrolysable tannins (HT) (Huang </w:t>
      </w:r>
      <w:r>
        <w:rPr>
          <w:rFonts w:ascii="Times New Roman" w:hAnsi="Times New Roman" w:cs="Times New Roman"/>
          <w:i/>
          <w:sz w:val="22"/>
          <w:szCs w:val="22"/>
        </w:rPr>
        <w:t>et al.</w:t>
      </w:r>
      <w:r>
        <w:rPr>
          <w:rFonts w:ascii="Times New Roman" w:hAnsi="Times New Roman" w:cs="Times New Roman"/>
          <w:sz w:val="22"/>
          <w:szCs w:val="22"/>
        </w:rPr>
        <w:t xml:space="preserve">, 2018).  CT are found in several plant species and have been shown to have an inhibiting effect on ruminal microorganisms (Rochfort </w:t>
      </w:r>
      <w:r>
        <w:rPr>
          <w:rFonts w:ascii="Times New Roman" w:hAnsi="Times New Roman" w:cs="Times New Roman"/>
          <w:i/>
          <w:sz w:val="22"/>
          <w:szCs w:val="22"/>
        </w:rPr>
        <w:t>et al.</w:t>
      </w:r>
      <w:r>
        <w:rPr>
          <w:rFonts w:ascii="Times New Roman" w:hAnsi="Times New Roman" w:cs="Times New Roman"/>
          <w:sz w:val="22"/>
          <w:szCs w:val="22"/>
        </w:rPr>
        <w:t>, 2008) and may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by decreasing concentrations of methanogens, protozoa and archaea (McCann </w:t>
      </w:r>
      <w:r>
        <w:rPr>
          <w:rFonts w:ascii="Times New Roman" w:hAnsi="Times New Roman" w:cs="Times New Roman"/>
          <w:i/>
          <w:sz w:val="22"/>
          <w:szCs w:val="22"/>
        </w:rPr>
        <w:t>et al.</w:t>
      </w:r>
      <w:r>
        <w:rPr>
          <w:rFonts w:ascii="Times New Roman" w:hAnsi="Times New Roman" w:cs="Times New Roman"/>
          <w:sz w:val="22"/>
          <w:szCs w:val="22"/>
        </w:rPr>
        <w:t xml:space="preserve">, 2017; Medjekal </w:t>
      </w:r>
      <w:r>
        <w:rPr>
          <w:rFonts w:ascii="Times New Roman" w:hAnsi="Times New Roman" w:cs="Times New Roman"/>
          <w:i/>
          <w:sz w:val="22"/>
          <w:szCs w:val="22"/>
        </w:rPr>
        <w:t>et al.</w:t>
      </w:r>
      <w:r>
        <w:rPr>
          <w:rFonts w:ascii="Times New Roman" w:hAnsi="Times New Roman" w:cs="Times New Roman"/>
          <w:sz w:val="22"/>
          <w:szCs w:val="22"/>
        </w:rPr>
        <w:t xml:space="preserve">, 2017).  HT, being toxic to animals due to their ease of degradability and absorption in the gastrointestinal tract (GIT) (Huang </w:t>
      </w:r>
      <w:r>
        <w:rPr>
          <w:rFonts w:ascii="Times New Roman" w:hAnsi="Times New Roman" w:cs="Times New Roman"/>
          <w:i/>
          <w:sz w:val="22"/>
          <w:szCs w:val="22"/>
        </w:rPr>
        <w:t>et al.</w:t>
      </w:r>
      <w:r>
        <w:rPr>
          <w:rFonts w:ascii="Times New Roman" w:hAnsi="Times New Roman" w:cs="Times New Roman"/>
          <w:sz w:val="22"/>
          <w:szCs w:val="22"/>
        </w:rPr>
        <w:t xml:space="preserve">, 2018), haven’t been researched to the same extent (Medjekal </w:t>
      </w:r>
      <w:r>
        <w:rPr>
          <w:rFonts w:ascii="Times New Roman" w:hAnsi="Times New Roman" w:cs="Times New Roman"/>
          <w:i/>
          <w:sz w:val="22"/>
          <w:szCs w:val="22"/>
        </w:rPr>
        <w:t>et al.</w:t>
      </w:r>
      <w:r>
        <w:rPr>
          <w:rFonts w:ascii="Times New Roman" w:hAnsi="Times New Roman" w:cs="Times New Roman"/>
          <w:sz w:val="22"/>
          <w:szCs w:val="22"/>
        </w:rPr>
        <w:t xml:space="preserve">, 2017).  CT are less susceptible to rumen degradation than HT due to their structural complexity and high molecular weight (Huang </w:t>
      </w:r>
      <w:r>
        <w:rPr>
          <w:rFonts w:ascii="Times New Roman" w:hAnsi="Times New Roman" w:cs="Times New Roman"/>
          <w:i/>
          <w:sz w:val="22"/>
          <w:szCs w:val="22"/>
        </w:rPr>
        <w:t>et al.</w:t>
      </w:r>
      <w:r>
        <w:rPr>
          <w:rFonts w:ascii="Times New Roman" w:hAnsi="Times New Roman" w:cs="Times New Roman"/>
          <w:sz w:val="22"/>
          <w:szCs w:val="22"/>
        </w:rPr>
        <w:t xml:space="preserve">, 2018).  Plant extracts (PE) containing high levels of tannins must be used with caution as tannins bind to proteins which can affect the growth of the animal, potentially reducing the activity and absorption capacity, as well as slowing the digestion rate of other compounds such as structural carbohydrates and microbial enzymes (Bodas </w:t>
      </w:r>
      <w:r>
        <w:rPr>
          <w:rFonts w:ascii="Times New Roman" w:hAnsi="Times New Roman" w:cs="Times New Roman"/>
          <w:i/>
          <w:sz w:val="22"/>
          <w:szCs w:val="22"/>
        </w:rPr>
        <w:t>et al.</w:t>
      </w:r>
      <w:r>
        <w:rPr>
          <w:rFonts w:ascii="Times New Roman" w:hAnsi="Times New Roman" w:cs="Times New Roman"/>
          <w:sz w:val="22"/>
          <w:szCs w:val="22"/>
        </w:rPr>
        <w:t xml:space="preserve">, 2012; Würger </w:t>
      </w:r>
      <w:r>
        <w:rPr>
          <w:rFonts w:ascii="Times New Roman" w:hAnsi="Times New Roman" w:cs="Times New Roman"/>
          <w:i/>
          <w:sz w:val="22"/>
          <w:szCs w:val="22"/>
        </w:rPr>
        <w:t>et al.</w:t>
      </w:r>
      <w:r>
        <w:rPr>
          <w:rFonts w:ascii="Times New Roman" w:hAnsi="Times New Roman" w:cs="Times New Roman"/>
          <w:sz w:val="22"/>
          <w:szCs w:val="22"/>
        </w:rPr>
        <w:t xml:space="preserve">, 2014).  However, this characteristic can also be used favourably to bind dietary proteins in order to reduce its degradation in the rumen thereby enhancing amino acids flow to the small intestine (McCann </w:t>
      </w:r>
      <w:r>
        <w:rPr>
          <w:rFonts w:ascii="Times New Roman" w:hAnsi="Times New Roman" w:cs="Times New Roman"/>
          <w:i/>
          <w:sz w:val="22"/>
          <w:szCs w:val="22"/>
        </w:rPr>
        <w:t>et al.</w:t>
      </w:r>
      <w:r>
        <w:rPr>
          <w:rFonts w:ascii="Times New Roman" w:hAnsi="Times New Roman" w:cs="Times New Roman"/>
          <w:sz w:val="22"/>
          <w:szCs w:val="22"/>
        </w:rPr>
        <w:t xml:space="preserve">, 2017; Arowolo &amp; He, 2018).  Additionally, efficiency of microbial protein synthesis may be increased with tannin supplementation (Alexander </w:t>
      </w:r>
      <w:r>
        <w:rPr>
          <w:rFonts w:ascii="Times New Roman" w:hAnsi="Times New Roman" w:cs="Times New Roman"/>
          <w:i/>
          <w:sz w:val="22"/>
          <w:szCs w:val="22"/>
        </w:rPr>
        <w:t>et al.</w:t>
      </w:r>
      <w:r>
        <w:rPr>
          <w:rFonts w:ascii="Times New Roman" w:hAnsi="Times New Roman" w:cs="Times New Roman"/>
          <w:sz w:val="22"/>
          <w:szCs w:val="22"/>
        </w:rPr>
        <w:t xml:space="preserve">, 2008).  Tannins may reduce the animal’s appetite when fed at high levels (Akanmu &amp; Hassen, 2018).  Due to these factors plants with high tannin contents should be used with caution as antibacterial feed additives for livestock (Würger </w:t>
      </w:r>
      <w:r>
        <w:rPr>
          <w:rFonts w:ascii="Times New Roman" w:hAnsi="Times New Roman" w:cs="Times New Roman"/>
          <w:i/>
          <w:sz w:val="22"/>
          <w:szCs w:val="22"/>
        </w:rPr>
        <w:t>et al.</w:t>
      </w:r>
      <w:r>
        <w:rPr>
          <w:rFonts w:ascii="Times New Roman" w:hAnsi="Times New Roman" w:cs="Times New Roman"/>
          <w:sz w:val="22"/>
          <w:szCs w:val="22"/>
        </w:rPr>
        <w:t xml:space="preserve">, 2014), as optimal doses of tannin </w:t>
      </w:r>
      <w:r>
        <w:rPr>
          <w:rFonts w:ascii="Times New Roman" w:hAnsi="Times New Roman" w:cs="Times New Roman"/>
          <w:sz w:val="22"/>
          <w:szCs w:val="22"/>
        </w:rPr>
        <w:lastRenderedPageBreak/>
        <w:t xml:space="preserve">supplementation are difficult to determine due to the molecular weight and structure of the tannin (Jouany &amp; Morgavi, 2007). </w:t>
      </w:r>
    </w:p>
    <w:p w14:paraId="7EA3DB25" w14:textId="77777777" w:rsidR="00EF65F1" w:rsidRDefault="00EF65F1">
      <w:pPr>
        <w:spacing w:after="0" w:line="360" w:lineRule="auto"/>
        <w:ind w:firstLine="567"/>
        <w:contextualSpacing/>
        <w:jc w:val="both"/>
        <w:rPr>
          <w:rFonts w:ascii="Times New Roman" w:hAnsi="Times New Roman" w:cs="Times New Roman"/>
          <w:sz w:val="22"/>
          <w:szCs w:val="22"/>
        </w:rPr>
      </w:pPr>
    </w:p>
    <w:p w14:paraId="6F1B262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Flavonoids are polyphenolic compounds and are known to express antibacterial, antiviral, antifungal and cardiovascular activity (Martini </w:t>
      </w:r>
      <w:r>
        <w:rPr>
          <w:rFonts w:ascii="Times New Roman" w:hAnsi="Times New Roman" w:cs="Times New Roman"/>
          <w:i/>
          <w:sz w:val="22"/>
          <w:szCs w:val="22"/>
        </w:rPr>
        <w:t>et al.</w:t>
      </w:r>
      <w:r>
        <w:rPr>
          <w:rFonts w:ascii="Times New Roman" w:hAnsi="Times New Roman" w:cs="Times New Roman"/>
          <w:sz w:val="22"/>
          <w:szCs w:val="22"/>
        </w:rPr>
        <w:t xml:space="preserve">, 2004; Kim </w:t>
      </w:r>
      <w:r>
        <w:rPr>
          <w:rFonts w:ascii="Times New Roman" w:hAnsi="Times New Roman" w:cs="Times New Roman"/>
          <w:i/>
          <w:sz w:val="22"/>
          <w:szCs w:val="22"/>
        </w:rPr>
        <w:t>et al.</w:t>
      </w:r>
      <w:r>
        <w:rPr>
          <w:rFonts w:ascii="Times New Roman" w:hAnsi="Times New Roman" w:cs="Times New Roman"/>
          <w:sz w:val="22"/>
          <w:szCs w:val="22"/>
        </w:rPr>
        <w:t xml:space="preserve">, 2015).  The rumen microbial population may be influenced positively or negatively through microbe and flavonoid interaction or through flavonoid degradation products influencing rumen microbial metabolism (Medjekal </w:t>
      </w:r>
      <w:r>
        <w:rPr>
          <w:rFonts w:ascii="Times New Roman" w:hAnsi="Times New Roman" w:cs="Times New Roman"/>
          <w:i/>
          <w:sz w:val="22"/>
          <w:szCs w:val="22"/>
        </w:rPr>
        <w:t>et al.</w:t>
      </w:r>
      <w:r>
        <w:rPr>
          <w:rFonts w:ascii="Times New Roman" w:hAnsi="Times New Roman" w:cs="Times New Roman"/>
          <w:sz w:val="22"/>
          <w:szCs w:val="22"/>
        </w:rPr>
        <w:t>, 2017).  Flavonoid containing plant extracts have been shown to increase digestibility of the crude protein and NDF fraction of feed, increasing microbial yield, as well as reducing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(Alexander </w:t>
      </w:r>
      <w:r>
        <w:rPr>
          <w:rFonts w:ascii="Times New Roman" w:hAnsi="Times New Roman" w:cs="Times New Roman"/>
          <w:i/>
          <w:sz w:val="22"/>
          <w:szCs w:val="22"/>
        </w:rPr>
        <w:t>et al.</w:t>
      </w:r>
      <w:r>
        <w:rPr>
          <w:rFonts w:ascii="Times New Roman" w:hAnsi="Times New Roman" w:cs="Times New Roman"/>
          <w:sz w:val="22"/>
          <w:szCs w:val="22"/>
        </w:rPr>
        <w:t xml:space="preserve">, 2008; Bodas </w:t>
      </w:r>
      <w:r>
        <w:rPr>
          <w:rFonts w:ascii="Times New Roman" w:hAnsi="Times New Roman" w:cs="Times New Roman"/>
          <w:i/>
          <w:sz w:val="22"/>
          <w:szCs w:val="22"/>
        </w:rPr>
        <w:t>et al.</w:t>
      </w:r>
      <w:r>
        <w:rPr>
          <w:rFonts w:ascii="Times New Roman" w:hAnsi="Times New Roman" w:cs="Times New Roman"/>
          <w:sz w:val="22"/>
          <w:szCs w:val="22"/>
        </w:rPr>
        <w:t xml:space="preserve">, 2008).  Kim </w:t>
      </w:r>
      <w:r>
        <w:rPr>
          <w:rFonts w:ascii="Times New Roman" w:hAnsi="Times New Roman" w:cs="Times New Roman"/>
          <w:i/>
          <w:sz w:val="22"/>
          <w:szCs w:val="22"/>
        </w:rPr>
        <w:t xml:space="preserve">et al </w:t>
      </w:r>
      <w:r>
        <w:rPr>
          <w:rFonts w:ascii="Times New Roman" w:hAnsi="Times New Roman" w:cs="Times New Roman"/>
          <w:sz w:val="22"/>
          <w:szCs w:val="22"/>
        </w:rPr>
        <w:t>(2015) studied the effects of flavonoid-rich PE on the rumen protozoal numbers and reported decreases of 60% in protozoal population with PE supplementation compared to the control.</w:t>
      </w:r>
    </w:p>
    <w:p w14:paraId="7F94A9C5" w14:textId="77777777" w:rsidR="00EF65F1" w:rsidRDefault="00EF65F1">
      <w:pPr>
        <w:spacing w:after="0" w:line="360" w:lineRule="auto"/>
        <w:ind w:firstLine="567"/>
        <w:contextualSpacing/>
        <w:jc w:val="both"/>
        <w:rPr>
          <w:rFonts w:ascii="Times New Roman" w:hAnsi="Times New Roman" w:cs="Times New Roman"/>
          <w:sz w:val="22"/>
          <w:szCs w:val="22"/>
        </w:rPr>
      </w:pPr>
    </w:p>
    <w:p w14:paraId="0541DC89"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52" w:name="_Toc2691124"/>
      <w:r>
        <w:rPr>
          <w:rFonts w:ascii="Times New Roman" w:hAnsi="Times New Roman" w:cs="Times New Roman"/>
          <w:color w:val="auto"/>
        </w:rPr>
        <w:t>Saponins</w:t>
      </w:r>
      <w:bookmarkEnd w:id="52"/>
    </w:p>
    <w:p w14:paraId="4AB631E2" w14:textId="77777777" w:rsidR="00EF65F1" w:rsidRDefault="00EF65F1">
      <w:pPr>
        <w:spacing w:after="0" w:line="360" w:lineRule="auto"/>
        <w:ind w:firstLine="567"/>
        <w:contextualSpacing/>
        <w:jc w:val="both"/>
        <w:rPr>
          <w:rFonts w:ascii="Times New Roman" w:hAnsi="Times New Roman" w:cs="Times New Roman"/>
          <w:sz w:val="22"/>
          <w:szCs w:val="22"/>
        </w:rPr>
      </w:pPr>
    </w:p>
    <w:p w14:paraId="4AA49B3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Interest in saponins as feed additives have been stimulated by their numerous biological activities including their anti-inflammatory, antibacterial, antiviral, antifungal, antiparasitic, immunostimulatory and heptaprotective properties (Mendel </w:t>
      </w:r>
      <w:r>
        <w:rPr>
          <w:rFonts w:ascii="Times New Roman" w:hAnsi="Times New Roman" w:cs="Times New Roman"/>
          <w:i/>
          <w:sz w:val="22"/>
          <w:szCs w:val="22"/>
        </w:rPr>
        <w:t>et al.</w:t>
      </w:r>
      <w:r>
        <w:rPr>
          <w:rFonts w:ascii="Times New Roman" w:hAnsi="Times New Roman" w:cs="Times New Roman"/>
          <w:sz w:val="22"/>
          <w:szCs w:val="22"/>
        </w:rPr>
        <w:t xml:space="preserve">, 2017).  Their effects are primarily limited to enteric microorganisms due to their limited potential for absorption in the GIT, but metabolism of saponins by rumen microbes may occur (Hart </w:t>
      </w:r>
      <w:r>
        <w:rPr>
          <w:rFonts w:ascii="Times New Roman" w:hAnsi="Times New Roman" w:cs="Times New Roman"/>
          <w:i/>
          <w:sz w:val="22"/>
          <w:szCs w:val="22"/>
        </w:rPr>
        <w:t>et al.</w:t>
      </w:r>
      <w:r>
        <w:rPr>
          <w:rFonts w:ascii="Times New Roman" w:hAnsi="Times New Roman" w:cs="Times New Roman"/>
          <w:sz w:val="22"/>
          <w:szCs w:val="22"/>
        </w:rPr>
        <w:t>, 2008).  Saponins have also been shown to potentially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likely attributed to a similar mode of action as that of ionophores, which have an antimicrobial effect mainly targeting gram-positive bacteria (Busquet </w:t>
      </w:r>
      <w:r>
        <w:rPr>
          <w:rFonts w:ascii="Times New Roman" w:hAnsi="Times New Roman" w:cs="Times New Roman"/>
          <w:i/>
          <w:sz w:val="22"/>
          <w:szCs w:val="22"/>
        </w:rPr>
        <w:t>et al.</w:t>
      </w:r>
      <w:r>
        <w:rPr>
          <w:rFonts w:ascii="Times New Roman" w:hAnsi="Times New Roman" w:cs="Times New Roman"/>
          <w:sz w:val="22"/>
          <w:szCs w:val="22"/>
        </w:rPr>
        <w:t xml:space="preserve">, 2006; Rochfort </w:t>
      </w:r>
      <w:r>
        <w:rPr>
          <w:rFonts w:ascii="Times New Roman" w:hAnsi="Times New Roman" w:cs="Times New Roman"/>
          <w:i/>
          <w:sz w:val="22"/>
          <w:szCs w:val="22"/>
        </w:rPr>
        <w:t>et al.</w:t>
      </w:r>
      <w:r>
        <w:rPr>
          <w:rFonts w:ascii="Times New Roman" w:hAnsi="Times New Roman" w:cs="Times New Roman"/>
          <w:sz w:val="22"/>
          <w:szCs w:val="22"/>
        </w:rPr>
        <w:t xml:space="preserve">, 2008), resulting in an increased proportion of propionate and decreased acetate concentrations (Busquet </w:t>
      </w:r>
      <w:r>
        <w:rPr>
          <w:rFonts w:ascii="Times New Roman" w:hAnsi="Times New Roman" w:cs="Times New Roman"/>
          <w:i/>
          <w:sz w:val="22"/>
          <w:szCs w:val="22"/>
        </w:rPr>
        <w:t>et al.</w:t>
      </w:r>
      <w:r>
        <w:rPr>
          <w:rFonts w:ascii="Times New Roman" w:hAnsi="Times New Roman" w:cs="Times New Roman"/>
          <w:sz w:val="22"/>
          <w:szCs w:val="22"/>
        </w:rPr>
        <w:t xml:space="preserve">, 2006).  Methanogenesis supressing activity of saponins has been shown in a number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and </w:t>
      </w:r>
      <w:r>
        <w:rPr>
          <w:rFonts w:ascii="Times New Roman" w:hAnsi="Times New Roman" w:cs="Times New Roman"/>
          <w:i/>
          <w:sz w:val="22"/>
          <w:szCs w:val="22"/>
        </w:rPr>
        <w:t>in vivo</w:t>
      </w:r>
      <w:r>
        <w:rPr>
          <w:rFonts w:ascii="Times New Roman" w:hAnsi="Times New Roman" w:cs="Times New Roman"/>
          <w:sz w:val="22"/>
          <w:szCs w:val="22"/>
        </w:rPr>
        <w:t xml:space="preserve"> studies, although Bodas </w:t>
      </w:r>
      <w:r>
        <w:rPr>
          <w:rFonts w:ascii="Times New Roman" w:hAnsi="Times New Roman" w:cs="Times New Roman"/>
          <w:i/>
          <w:sz w:val="22"/>
          <w:szCs w:val="22"/>
        </w:rPr>
        <w:t xml:space="preserve">et al </w:t>
      </w:r>
      <w:r>
        <w:rPr>
          <w:rFonts w:ascii="Times New Roman" w:hAnsi="Times New Roman" w:cs="Times New Roman"/>
          <w:sz w:val="22"/>
          <w:szCs w:val="22"/>
        </w:rPr>
        <w:t xml:space="preserve">(2012) reported that high doses of saponins are required to inhibit methanogens.  Martin </w:t>
      </w:r>
      <w:r>
        <w:rPr>
          <w:rFonts w:ascii="Times New Roman" w:hAnsi="Times New Roman" w:cs="Times New Roman"/>
          <w:i/>
          <w:sz w:val="22"/>
          <w:szCs w:val="22"/>
        </w:rPr>
        <w:t xml:space="preserve">et al </w:t>
      </w:r>
      <w:r>
        <w:rPr>
          <w:rFonts w:ascii="Times New Roman" w:hAnsi="Times New Roman" w:cs="Times New Roman"/>
          <w:sz w:val="22"/>
          <w:szCs w:val="22"/>
        </w:rPr>
        <w:t>(2010) reported that saponins have the ability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by 15 to 40% depending on the dose.  The rumen fungi population has been shown to decrease with saponin supplementation (Bodas </w:t>
      </w:r>
      <w:r>
        <w:rPr>
          <w:rFonts w:ascii="Times New Roman" w:hAnsi="Times New Roman" w:cs="Times New Roman"/>
          <w:i/>
          <w:sz w:val="22"/>
          <w:szCs w:val="22"/>
        </w:rPr>
        <w:t>et al.</w:t>
      </w:r>
      <w:r>
        <w:rPr>
          <w:rFonts w:ascii="Times New Roman" w:hAnsi="Times New Roman" w:cs="Times New Roman"/>
          <w:sz w:val="22"/>
          <w:szCs w:val="22"/>
        </w:rPr>
        <w:t xml:space="preserve">, 2012).  Ciliate protozoa, peptidase-producing bacteria and cellulolytic bacteria are also suppressed by saponins (Soliva </w:t>
      </w:r>
      <w:r>
        <w:rPr>
          <w:rFonts w:ascii="Times New Roman" w:hAnsi="Times New Roman" w:cs="Times New Roman"/>
          <w:i/>
          <w:sz w:val="22"/>
          <w:szCs w:val="22"/>
        </w:rPr>
        <w:t>et al.</w:t>
      </w:r>
      <w:r>
        <w:rPr>
          <w:rFonts w:ascii="Times New Roman" w:hAnsi="Times New Roman" w:cs="Times New Roman"/>
          <w:sz w:val="22"/>
          <w:szCs w:val="22"/>
        </w:rPr>
        <w:t xml:space="preserve">, 2008; Medjekal </w:t>
      </w:r>
      <w:r>
        <w:rPr>
          <w:rFonts w:ascii="Times New Roman" w:hAnsi="Times New Roman" w:cs="Times New Roman"/>
          <w:i/>
          <w:sz w:val="22"/>
          <w:szCs w:val="22"/>
        </w:rPr>
        <w:t>et al.</w:t>
      </w:r>
      <w:r>
        <w:rPr>
          <w:rFonts w:ascii="Times New Roman" w:hAnsi="Times New Roman" w:cs="Times New Roman"/>
          <w:sz w:val="22"/>
          <w:szCs w:val="22"/>
        </w:rPr>
        <w:t xml:space="preserve">, 2017).  Saponin’s anti-protozoal activity is of a result of destruction of the cell membrane caused by their irreversible binding to cholesterol and can occur with low doses of saponin supplementation (Busquet </w:t>
      </w:r>
      <w:r>
        <w:rPr>
          <w:rFonts w:ascii="Times New Roman" w:hAnsi="Times New Roman" w:cs="Times New Roman"/>
          <w:i/>
          <w:sz w:val="22"/>
          <w:szCs w:val="22"/>
        </w:rPr>
        <w:t>et al.</w:t>
      </w:r>
      <w:r>
        <w:rPr>
          <w:rFonts w:ascii="Times New Roman" w:hAnsi="Times New Roman" w:cs="Times New Roman"/>
          <w:sz w:val="22"/>
          <w:szCs w:val="22"/>
        </w:rPr>
        <w:t xml:space="preserve">, 2006; Bodas </w:t>
      </w:r>
      <w:r>
        <w:rPr>
          <w:rFonts w:ascii="Times New Roman" w:hAnsi="Times New Roman" w:cs="Times New Roman"/>
          <w:i/>
          <w:sz w:val="22"/>
          <w:szCs w:val="22"/>
        </w:rPr>
        <w:t>et al.</w:t>
      </w:r>
      <w:r>
        <w:rPr>
          <w:rFonts w:ascii="Times New Roman" w:hAnsi="Times New Roman" w:cs="Times New Roman"/>
          <w:sz w:val="22"/>
          <w:szCs w:val="22"/>
        </w:rPr>
        <w:t xml:space="preserve">, 2012).  Like tannins, saponins have the ability to bind dietary protein thereby reducing their rumen degradability (Arowolo &amp; He, 2018).  This ability, along with increasing microbial protein synthesis, leads to reduced hydrogen production, decreasing methanogenesis (Martin </w:t>
      </w:r>
      <w:r>
        <w:rPr>
          <w:rFonts w:ascii="Times New Roman" w:hAnsi="Times New Roman" w:cs="Times New Roman"/>
          <w:i/>
          <w:sz w:val="22"/>
          <w:szCs w:val="22"/>
        </w:rPr>
        <w:t>et al.</w:t>
      </w:r>
      <w:r>
        <w:rPr>
          <w:rFonts w:ascii="Times New Roman" w:hAnsi="Times New Roman" w:cs="Times New Roman"/>
          <w:sz w:val="22"/>
          <w:szCs w:val="22"/>
        </w:rPr>
        <w:t xml:space="preserve">, 2010).  Saponins have been reported to improve digestibility of feeds by selectively increasing the numbers of specific bacteria namely </w:t>
      </w:r>
      <w:r>
        <w:rPr>
          <w:rFonts w:ascii="Times New Roman" w:hAnsi="Times New Roman" w:cs="Times New Roman"/>
          <w:i/>
          <w:sz w:val="22"/>
          <w:szCs w:val="22"/>
        </w:rPr>
        <w:t xml:space="preserve">Ruminococcus flavefaciens, Prevotella </w:t>
      </w:r>
      <w:r>
        <w:rPr>
          <w:rFonts w:ascii="Times New Roman" w:hAnsi="Times New Roman" w:cs="Times New Roman"/>
          <w:sz w:val="22"/>
          <w:szCs w:val="22"/>
        </w:rPr>
        <w:t xml:space="preserve">and </w:t>
      </w:r>
      <w:r>
        <w:rPr>
          <w:rFonts w:ascii="Times New Roman" w:hAnsi="Times New Roman" w:cs="Times New Roman"/>
          <w:i/>
          <w:sz w:val="22"/>
          <w:szCs w:val="22"/>
        </w:rPr>
        <w:t>F. succinogenes</w:t>
      </w:r>
      <w:r>
        <w:rPr>
          <w:rFonts w:ascii="Times New Roman" w:hAnsi="Times New Roman" w:cs="Times New Roman"/>
          <w:sz w:val="22"/>
          <w:szCs w:val="22"/>
        </w:rPr>
        <w:t xml:space="preserve"> (Arowolo &amp; He, 2018).  Total tract digestibility has been reported to improve with saponin </w:t>
      </w:r>
      <w:r>
        <w:rPr>
          <w:rFonts w:ascii="Times New Roman" w:hAnsi="Times New Roman" w:cs="Times New Roman"/>
          <w:sz w:val="22"/>
          <w:szCs w:val="22"/>
        </w:rPr>
        <w:lastRenderedPageBreak/>
        <w:t xml:space="preserve">supplementation likely as a result of digestion site shifting from the rumen to the hindgut (Bodas </w:t>
      </w:r>
      <w:r>
        <w:rPr>
          <w:rFonts w:ascii="Times New Roman" w:hAnsi="Times New Roman" w:cs="Times New Roman"/>
          <w:i/>
          <w:sz w:val="22"/>
          <w:szCs w:val="22"/>
        </w:rPr>
        <w:t>et al.</w:t>
      </w:r>
      <w:r>
        <w:rPr>
          <w:rFonts w:ascii="Times New Roman" w:hAnsi="Times New Roman" w:cs="Times New Roman"/>
          <w:sz w:val="22"/>
          <w:szCs w:val="22"/>
        </w:rPr>
        <w:t>, 2012).  Improved feed efficiency, growth and health has been claimed with saponin supplementation to diets of ruminants (Jouany &amp; Morgavi, 2007).</w:t>
      </w:r>
    </w:p>
    <w:p w14:paraId="27E29CD1" w14:textId="77777777" w:rsidR="00EF65F1" w:rsidRDefault="00EF65F1">
      <w:pPr>
        <w:spacing w:after="0" w:line="360" w:lineRule="auto"/>
        <w:ind w:firstLine="567"/>
        <w:contextualSpacing/>
        <w:jc w:val="both"/>
        <w:rPr>
          <w:rFonts w:ascii="Times New Roman" w:hAnsi="Times New Roman" w:cs="Times New Roman"/>
          <w:sz w:val="22"/>
          <w:szCs w:val="22"/>
        </w:rPr>
      </w:pPr>
    </w:p>
    <w:p w14:paraId="3BA6B4A0" w14:textId="225397D6" w:rsidR="00EF65F1" w:rsidRDefault="00484A18">
      <w:pPr>
        <w:pStyle w:val="Heading3"/>
        <w:spacing w:before="0" w:line="360" w:lineRule="auto"/>
        <w:ind w:left="284"/>
        <w:contextualSpacing/>
        <w:jc w:val="both"/>
        <w:rPr>
          <w:rFonts w:ascii="Times New Roman" w:hAnsi="Times New Roman" w:cs="Times New Roman"/>
          <w:color w:val="auto"/>
        </w:rPr>
      </w:pPr>
      <w:bookmarkStart w:id="53" w:name="_Toc2691125"/>
      <w:r>
        <w:rPr>
          <w:rFonts w:ascii="Times New Roman" w:hAnsi="Times New Roman" w:cs="Times New Roman"/>
          <w:color w:val="auto"/>
        </w:rPr>
        <w:t xml:space="preserve">Essential </w:t>
      </w:r>
      <w:r w:rsidR="006D2425">
        <w:rPr>
          <w:rFonts w:ascii="Times New Roman" w:hAnsi="Times New Roman" w:cs="Times New Roman"/>
          <w:color w:val="auto"/>
        </w:rPr>
        <w:t>o</w:t>
      </w:r>
      <w:r>
        <w:rPr>
          <w:rFonts w:ascii="Times New Roman" w:hAnsi="Times New Roman" w:cs="Times New Roman"/>
          <w:color w:val="auto"/>
        </w:rPr>
        <w:t>ils</w:t>
      </w:r>
      <w:bookmarkEnd w:id="53"/>
    </w:p>
    <w:p w14:paraId="056C2888" w14:textId="77777777" w:rsidR="00EF65F1" w:rsidRDefault="00EF65F1">
      <w:pPr>
        <w:spacing w:after="0" w:line="360" w:lineRule="auto"/>
        <w:ind w:firstLine="567"/>
        <w:contextualSpacing/>
        <w:jc w:val="both"/>
        <w:rPr>
          <w:rFonts w:ascii="Times New Roman" w:hAnsi="Times New Roman" w:cs="Times New Roman"/>
          <w:sz w:val="22"/>
          <w:szCs w:val="22"/>
        </w:rPr>
      </w:pPr>
    </w:p>
    <w:p w14:paraId="215BAB0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Essential oils (EO) are volatile aromatic compounds found throughout the plant’s structure and tend to have an oily consistency (Hart </w:t>
      </w:r>
      <w:r>
        <w:rPr>
          <w:rFonts w:ascii="Times New Roman" w:hAnsi="Times New Roman" w:cs="Times New Roman"/>
          <w:i/>
          <w:sz w:val="22"/>
          <w:szCs w:val="22"/>
        </w:rPr>
        <w:t>et al.</w:t>
      </w:r>
      <w:r>
        <w:rPr>
          <w:rFonts w:ascii="Times New Roman" w:hAnsi="Times New Roman" w:cs="Times New Roman"/>
          <w:sz w:val="22"/>
          <w:szCs w:val="22"/>
        </w:rPr>
        <w:t xml:space="preserve">, 2008). The concentration of EO in the plant can be dependent on various factors including the stage of growth, plant health and environmental conditions (Hart </w:t>
      </w:r>
      <w:r>
        <w:rPr>
          <w:rFonts w:ascii="Times New Roman" w:hAnsi="Times New Roman" w:cs="Times New Roman"/>
          <w:i/>
          <w:sz w:val="22"/>
          <w:szCs w:val="22"/>
        </w:rPr>
        <w:t>et al.</w:t>
      </w:r>
      <w:r>
        <w:rPr>
          <w:rFonts w:ascii="Times New Roman" w:hAnsi="Times New Roman" w:cs="Times New Roman"/>
          <w:sz w:val="22"/>
          <w:szCs w:val="22"/>
        </w:rPr>
        <w:t>,</w:t>
      </w:r>
      <w:r>
        <w:rPr>
          <w:rFonts w:ascii="Times New Roman" w:hAnsi="Times New Roman" w:cs="Times New Roman"/>
          <w:i/>
          <w:sz w:val="22"/>
          <w:szCs w:val="22"/>
        </w:rPr>
        <w:t xml:space="preserve"> </w:t>
      </w:r>
      <w:r>
        <w:rPr>
          <w:rFonts w:ascii="Times New Roman" w:hAnsi="Times New Roman" w:cs="Times New Roman"/>
          <w:sz w:val="22"/>
          <w:szCs w:val="22"/>
        </w:rPr>
        <w:t xml:space="preserve">2008).  Geographical locations, weather conditions, collection season, processing and storage are also known to affect the concentration of EO and their activity (Van Vuuren </w:t>
      </w:r>
      <w:r>
        <w:rPr>
          <w:rFonts w:ascii="Times New Roman" w:hAnsi="Times New Roman" w:cs="Times New Roman"/>
          <w:i/>
          <w:sz w:val="22"/>
          <w:szCs w:val="22"/>
        </w:rPr>
        <w:t>et al.</w:t>
      </w:r>
      <w:r>
        <w:rPr>
          <w:rFonts w:ascii="Times New Roman" w:hAnsi="Times New Roman" w:cs="Times New Roman"/>
          <w:sz w:val="22"/>
          <w:szCs w:val="22"/>
        </w:rPr>
        <w:t xml:space="preserve">, 2007; Patra &amp; Saxena, 2010).  EO can be classified as alcohol, ester or aldehyde derivatives of phenylpropanoids and terpenoids (Greathead, 2003).  With terpenoids and phenylpropanoids being the most important active compounds (McGrath </w:t>
      </w:r>
      <w:r>
        <w:rPr>
          <w:rFonts w:ascii="Times New Roman" w:hAnsi="Times New Roman" w:cs="Times New Roman"/>
          <w:i/>
          <w:sz w:val="22"/>
          <w:szCs w:val="22"/>
        </w:rPr>
        <w:t>et al.</w:t>
      </w:r>
      <w:r>
        <w:rPr>
          <w:rFonts w:ascii="Times New Roman" w:hAnsi="Times New Roman" w:cs="Times New Roman"/>
          <w:sz w:val="22"/>
          <w:szCs w:val="22"/>
        </w:rPr>
        <w:t>, 2018).</w:t>
      </w:r>
    </w:p>
    <w:p w14:paraId="54BDA354" w14:textId="77777777" w:rsidR="00EF65F1" w:rsidRDefault="00EF65F1">
      <w:pPr>
        <w:spacing w:after="0" w:line="360" w:lineRule="auto"/>
        <w:ind w:firstLine="567"/>
        <w:contextualSpacing/>
        <w:jc w:val="both"/>
        <w:rPr>
          <w:rFonts w:ascii="Times New Roman" w:hAnsi="Times New Roman" w:cs="Times New Roman"/>
          <w:sz w:val="22"/>
          <w:szCs w:val="22"/>
        </w:rPr>
      </w:pPr>
    </w:p>
    <w:p w14:paraId="0A2FC1A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EO can manipulate the rumen microbes and has been reported to have antimicrobial, antioxidative, and fungicidal properties, which has been attributed to their effect on cell membranes (Hart </w:t>
      </w:r>
      <w:r>
        <w:rPr>
          <w:rFonts w:ascii="Times New Roman" w:hAnsi="Times New Roman" w:cs="Times New Roman"/>
          <w:i/>
          <w:sz w:val="22"/>
          <w:szCs w:val="22"/>
        </w:rPr>
        <w:t>et al.</w:t>
      </w:r>
      <w:r>
        <w:rPr>
          <w:rFonts w:ascii="Times New Roman" w:hAnsi="Times New Roman" w:cs="Times New Roman"/>
          <w:sz w:val="22"/>
          <w:szCs w:val="22"/>
        </w:rPr>
        <w:t xml:space="preserve">, 2008; Tomkins </w:t>
      </w:r>
      <w:r>
        <w:rPr>
          <w:rFonts w:ascii="Times New Roman" w:hAnsi="Times New Roman" w:cs="Times New Roman"/>
          <w:i/>
          <w:sz w:val="22"/>
          <w:szCs w:val="22"/>
        </w:rPr>
        <w:t>et al.</w:t>
      </w:r>
      <w:r>
        <w:rPr>
          <w:rFonts w:ascii="Times New Roman" w:hAnsi="Times New Roman" w:cs="Times New Roman"/>
          <w:sz w:val="22"/>
          <w:szCs w:val="22"/>
        </w:rPr>
        <w:t xml:space="preserve">, 2015; Mendel </w:t>
      </w:r>
      <w:r>
        <w:rPr>
          <w:rFonts w:ascii="Times New Roman" w:hAnsi="Times New Roman" w:cs="Times New Roman"/>
          <w:i/>
          <w:sz w:val="22"/>
          <w:szCs w:val="22"/>
        </w:rPr>
        <w:t>et al.</w:t>
      </w:r>
      <w:r>
        <w:rPr>
          <w:rFonts w:ascii="Times New Roman" w:hAnsi="Times New Roman" w:cs="Times New Roman"/>
          <w:sz w:val="22"/>
          <w:szCs w:val="22"/>
        </w:rPr>
        <w:t xml:space="preserve">, 2017), and there is evidence that they are able to resist degradation in the rumen fluid environment (Mendel </w:t>
      </w:r>
      <w:r>
        <w:rPr>
          <w:rFonts w:ascii="Times New Roman" w:hAnsi="Times New Roman" w:cs="Times New Roman"/>
          <w:i/>
          <w:sz w:val="22"/>
          <w:szCs w:val="22"/>
        </w:rPr>
        <w:t>et al.</w:t>
      </w:r>
      <w:r>
        <w:rPr>
          <w:rFonts w:ascii="Times New Roman" w:hAnsi="Times New Roman" w:cs="Times New Roman"/>
          <w:sz w:val="22"/>
          <w:szCs w:val="22"/>
        </w:rPr>
        <w:t xml:space="preserve">, 2017).  Hart </w:t>
      </w:r>
      <w:r>
        <w:rPr>
          <w:rFonts w:ascii="Times New Roman" w:hAnsi="Times New Roman" w:cs="Times New Roman"/>
          <w:i/>
          <w:sz w:val="22"/>
          <w:szCs w:val="22"/>
        </w:rPr>
        <w:t xml:space="preserve">et al </w:t>
      </w:r>
      <w:r>
        <w:rPr>
          <w:rFonts w:ascii="Times New Roman" w:hAnsi="Times New Roman" w:cs="Times New Roman"/>
          <w:sz w:val="22"/>
          <w:szCs w:val="22"/>
        </w:rPr>
        <w:t>(2008) reported that EO have been shown to have the ability to manipulate rumen fermentation due to their effect on bacterial populations.  The extent to which will be influenced by the chemical composition of the EO.  EO may cause selective action to certain bacterial species, resulting in reduced protein and starch degradation and inhabitation of amino acid degradation.  EO may reduce amino acid deamination due to inhibition of the hyper ammonia producing bacteria,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suppression has been shown to be affected in a dose dependent manner, with ruminal methanogens being affected at high dose levels (Bodas </w:t>
      </w:r>
      <w:r>
        <w:rPr>
          <w:rFonts w:ascii="Times New Roman" w:hAnsi="Times New Roman" w:cs="Times New Roman"/>
          <w:i/>
          <w:sz w:val="22"/>
          <w:szCs w:val="22"/>
        </w:rPr>
        <w:t>et al.</w:t>
      </w:r>
      <w:r>
        <w:rPr>
          <w:rFonts w:ascii="Times New Roman" w:hAnsi="Times New Roman" w:cs="Times New Roman"/>
          <w:sz w:val="22"/>
          <w:szCs w:val="22"/>
        </w:rPr>
        <w:t xml:space="preserve">, 2012).  Gram-positive bacteria have been shown to be more susceptible to plant EO than gram-negative bacteria (Busquet </w:t>
      </w:r>
      <w:r>
        <w:rPr>
          <w:rFonts w:ascii="Times New Roman" w:hAnsi="Times New Roman" w:cs="Times New Roman"/>
          <w:i/>
          <w:sz w:val="22"/>
          <w:szCs w:val="22"/>
        </w:rPr>
        <w:t>et al.</w:t>
      </w:r>
      <w:r>
        <w:rPr>
          <w:rFonts w:ascii="Times New Roman" w:hAnsi="Times New Roman" w:cs="Times New Roman"/>
          <w:sz w:val="22"/>
          <w:szCs w:val="22"/>
        </w:rPr>
        <w:t xml:space="preserve">, 2006; Hart </w:t>
      </w:r>
      <w:r>
        <w:rPr>
          <w:rFonts w:ascii="Times New Roman" w:hAnsi="Times New Roman" w:cs="Times New Roman"/>
          <w:i/>
          <w:sz w:val="22"/>
          <w:szCs w:val="22"/>
        </w:rPr>
        <w:t>et al.</w:t>
      </w:r>
      <w:r>
        <w:rPr>
          <w:rFonts w:ascii="Times New Roman" w:hAnsi="Times New Roman" w:cs="Times New Roman"/>
          <w:sz w:val="22"/>
          <w:szCs w:val="22"/>
        </w:rPr>
        <w:t xml:space="preserve">, 2008) thereby utilising a similar mode of action to ionophores whereby the ionic gradient is disturbed (McGrath </w:t>
      </w:r>
      <w:r>
        <w:rPr>
          <w:rFonts w:ascii="Times New Roman" w:hAnsi="Times New Roman" w:cs="Times New Roman"/>
          <w:i/>
          <w:sz w:val="22"/>
          <w:szCs w:val="22"/>
        </w:rPr>
        <w:t>et al.</w:t>
      </w:r>
      <w:r>
        <w:rPr>
          <w:rFonts w:ascii="Times New Roman" w:hAnsi="Times New Roman" w:cs="Times New Roman"/>
          <w:sz w:val="22"/>
          <w:szCs w:val="22"/>
        </w:rPr>
        <w:t xml:space="preserve">, 2018).  EO have been reported to decrease the acetate: propionate ratio and increasing total VFA concentrations (McGrath </w:t>
      </w:r>
      <w:r>
        <w:rPr>
          <w:rFonts w:ascii="Times New Roman" w:hAnsi="Times New Roman" w:cs="Times New Roman"/>
          <w:i/>
          <w:sz w:val="22"/>
          <w:szCs w:val="22"/>
        </w:rPr>
        <w:t>et al.</w:t>
      </w:r>
      <w:r>
        <w:rPr>
          <w:rFonts w:ascii="Times New Roman" w:hAnsi="Times New Roman" w:cs="Times New Roman"/>
          <w:sz w:val="22"/>
          <w:szCs w:val="22"/>
        </w:rPr>
        <w:t xml:space="preserve">, 2018).  Increased palatability of feeds supplemented with EO may result in increased DMI leading to increased productivity (McGrath </w:t>
      </w:r>
      <w:r>
        <w:rPr>
          <w:rFonts w:ascii="Times New Roman" w:hAnsi="Times New Roman" w:cs="Times New Roman"/>
          <w:i/>
          <w:sz w:val="22"/>
          <w:szCs w:val="22"/>
        </w:rPr>
        <w:t>et al.</w:t>
      </w:r>
      <w:r>
        <w:rPr>
          <w:rFonts w:ascii="Times New Roman" w:hAnsi="Times New Roman" w:cs="Times New Roman"/>
          <w:sz w:val="22"/>
          <w:szCs w:val="22"/>
        </w:rPr>
        <w:t xml:space="preserve">, 2018).  </w:t>
      </w:r>
      <w:r>
        <w:rPr>
          <w:rFonts w:ascii="Times New Roman" w:hAnsi="Times New Roman" w:cs="Times New Roman"/>
          <w:i/>
          <w:sz w:val="22"/>
          <w:szCs w:val="22"/>
        </w:rPr>
        <w:t xml:space="preserve">In vitro </w:t>
      </w:r>
      <w:r>
        <w:rPr>
          <w:rFonts w:ascii="Times New Roman" w:hAnsi="Times New Roman" w:cs="Times New Roman"/>
          <w:sz w:val="22"/>
          <w:szCs w:val="22"/>
        </w:rPr>
        <w:t xml:space="preserve">studies have reported that EO can modulate rumen fermentation and other parameters such as gastrointestinal contractility (Mendel </w:t>
      </w:r>
      <w:r>
        <w:rPr>
          <w:rFonts w:ascii="Times New Roman" w:hAnsi="Times New Roman" w:cs="Times New Roman"/>
          <w:i/>
          <w:sz w:val="22"/>
          <w:szCs w:val="22"/>
        </w:rPr>
        <w:t>et al.</w:t>
      </w:r>
      <w:r>
        <w:rPr>
          <w:rFonts w:ascii="Times New Roman" w:hAnsi="Times New Roman" w:cs="Times New Roman"/>
          <w:sz w:val="22"/>
          <w:szCs w:val="22"/>
        </w:rPr>
        <w:t>, 2017).</w:t>
      </w:r>
    </w:p>
    <w:p w14:paraId="65251256" w14:textId="77777777" w:rsidR="00EF65F1" w:rsidRDefault="00EF65F1">
      <w:pPr>
        <w:spacing w:line="360" w:lineRule="auto"/>
        <w:ind w:firstLine="567"/>
        <w:contextualSpacing/>
        <w:jc w:val="both"/>
        <w:rPr>
          <w:rFonts w:ascii="Times New Roman" w:hAnsi="Times New Roman" w:cs="Times New Roman"/>
          <w:sz w:val="22"/>
          <w:szCs w:val="22"/>
        </w:rPr>
      </w:pPr>
    </w:p>
    <w:p w14:paraId="5A3D51F2" w14:textId="77777777" w:rsidR="00EF65F1" w:rsidRDefault="00EF65F1">
      <w:pPr>
        <w:spacing w:line="360" w:lineRule="auto"/>
        <w:ind w:firstLine="567"/>
        <w:contextualSpacing/>
        <w:jc w:val="both"/>
        <w:rPr>
          <w:rFonts w:ascii="Times New Roman" w:hAnsi="Times New Roman" w:cs="Times New Roman"/>
          <w:sz w:val="22"/>
          <w:szCs w:val="22"/>
        </w:rPr>
      </w:pPr>
    </w:p>
    <w:p w14:paraId="7D7D8F8C" w14:textId="77777777" w:rsidR="00EF65F1" w:rsidRDefault="00EF65F1">
      <w:pPr>
        <w:spacing w:line="360" w:lineRule="auto"/>
        <w:ind w:firstLine="567"/>
        <w:contextualSpacing/>
        <w:jc w:val="both"/>
        <w:rPr>
          <w:rFonts w:ascii="Times New Roman" w:hAnsi="Times New Roman" w:cs="Times New Roman"/>
          <w:sz w:val="22"/>
          <w:szCs w:val="22"/>
        </w:rPr>
      </w:pPr>
    </w:p>
    <w:p w14:paraId="54F8D782"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54" w:name="_Toc2691126"/>
      <w:r>
        <w:rPr>
          <w:rFonts w:ascii="Times New Roman" w:hAnsi="Times New Roman" w:cs="Times New Roman"/>
          <w:b/>
          <w:i/>
          <w:color w:val="auto"/>
          <w:sz w:val="24"/>
          <w:szCs w:val="24"/>
        </w:rPr>
        <w:lastRenderedPageBreak/>
        <w:t>In vitro</w:t>
      </w:r>
      <w:r>
        <w:rPr>
          <w:rFonts w:ascii="Times New Roman" w:hAnsi="Times New Roman" w:cs="Times New Roman"/>
          <w:b/>
          <w:color w:val="auto"/>
          <w:sz w:val="24"/>
          <w:szCs w:val="24"/>
        </w:rPr>
        <w:t xml:space="preserve"> methodology</w:t>
      </w:r>
      <w:bookmarkEnd w:id="54"/>
    </w:p>
    <w:p w14:paraId="6970748F" w14:textId="77777777" w:rsidR="00EF65F1" w:rsidRDefault="00EF65F1">
      <w:pPr>
        <w:spacing w:after="0" w:line="360" w:lineRule="auto"/>
        <w:ind w:firstLine="567"/>
        <w:contextualSpacing/>
        <w:jc w:val="both"/>
        <w:rPr>
          <w:rFonts w:ascii="Times New Roman" w:hAnsi="Times New Roman" w:cs="Times New Roman"/>
          <w:sz w:val="22"/>
          <w:szCs w:val="22"/>
        </w:rPr>
      </w:pPr>
    </w:p>
    <w:p w14:paraId="1A348617"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In vitro</w:t>
      </w:r>
      <w:r>
        <w:rPr>
          <w:rFonts w:ascii="Times New Roman" w:hAnsi="Times New Roman" w:cs="Times New Roman"/>
          <w:sz w:val="22"/>
          <w:szCs w:val="22"/>
        </w:rPr>
        <w:t xml:space="preserve"> rumen fermentation studies are those whereby substrates, with or without additives, are incubated with rumen fluid to assess the nutritive value, fermentation characteristics and/or digestibility of ruminant feeds (Yáñez-Ruiz </w:t>
      </w:r>
      <w:r>
        <w:rPr>
          <w:rFonts w:ascii="Times New Roman" w:hAnsi="Times New Roman" w:cs="Times New Roman"/>
          <w:i/>
          <w:sz w:val="22"/>
          <w:szCs w:val="22"/>
        </w:rPr>
        <w:t>et al.</w:t>
      </w:r>
      <w:r>
        <w:rPr>
          <w:rFonts w:ascii="Times New Roman" w:hAnsi="Times New Roman" w:cs="Times New Roman"/>
          <w:sz w:val="22"/>
          <w:szCs w:val="22"/>
        </w:rPr>
        <w:t xml:space="preserve">, 2016), it also allows for interactions between plant species and rumen microbes to be assessed without detriment to the animal (Durmic </w:t>
      </w:r>
      <w:r>
        <w:rPr>
          <w:rFonts w:ascii="Times New Roman" w:hAnsi="Times New Roman" w:cs="Times New Roman"/>
          <w:i/>
          <w:sz w:val="22"/>
          <w:szCs w:val="22"/>
        </w:rPr>
        <w:t>et al.</w:t>
      </w:r>
      <w:r>
        <w:rPr>
          <w:rFonts w:ascii="Times New Roman" w:hAnsi="Times New Roman" w:cs="Times New Roman"/>
          <w:sz w:val="22"/>
          <w:szCs w:val="22"/>
        </w:rPr>
        <w:t>, 2010).  These studies are valuable for screening plants for bioactive activity on rumen fermentation characteristics and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mitigation potential, as it reduces the cost and time, especially when several feeds or additives need to be evaluated (Durmic </w:t>
      </w:r>
      <w:r>
        <w:rPr>
          <w:rFonts w:ascii="Times New Roman" w:hAnsi="Times New Roman" w:cs="Times New Roman"/>
          <w:i/>
          <w:sz w:val="22"/>
          <w:szCs w:val="22"/>
        </w:rPr>
        <w:t>et al.</w:t>
      </w:r>
      <w:r>
        <w:rPr>
          <w:rFonts w:ascii="Times New Roman" w:hAnsi="Times New Roman" w:cs="Times New Roman"/>
          <w:sz w:val="22"/>
          <w:szCs w:val="22"/>
        </w:rPr>
        <w:t xml:space="preserve">, 2010; Cattani </w:t>
      </w:r>
      <w:r>
        <w:rPr>
          <w:rFonts w:ascii="Times New Roman" w:hAnsi="Times New Roman" w:cs="Times New Roman"/>
          <w:i/>
          <w:sz w:val="22"/>
          <w:szCs w:val="22"/>
        </w:rPr>
        <w:t>et al.</w:t>
      </w:r>
      <w:r>
        <w:rPr>
          <w:rFonts w:ascii="Times New Roman" w:hAnsi="Times New Roman" w:cs="Times New Roman"/>
          <w:sz w:val="22"/>
          <w:szCs w:val="22"/>
        </w:rPr>
        <w:t xml:space="preserve">, 2016; Yáñez-Ruiz </w:t>
      </w:r>
      <w:r>
        <w:rPr>
          <w:rFonts w:ascii="Times New Roman" w:hAnsi="Times New Roman" w:cs="Times New Roman"/>
          <w:i/>
          <w:sz w:val="22"/>
          <w:szCs w:val="22"/>
        </w:rPr>
        <w:t>et al.</w:t>
      </w:r>
      <w:r>
        <w:rPr>
          <w:rFonts w:ascii="Times New Roman" w:hAnsi="Times New Roman" w:cs="Times New Roman"/>
          <w:sz w:val="22"/>
          <w:szCs w:val="22"/>
        </w:rPr>
        <w:t xml:space="preserve">, 2016; Du Toit </w:t>
      </w:r>
      <w:r>
        <w:rPr>
          <w:rFonts w:ascii="Times New Roman" w:hAnsi="Times New Roman" w:cs="Times New Roman"/>
          <w:i/>
          <w:sz w:val="22"/>
          <w:szCs w:val="22"/>
        </w:rPr>
        <w:t>et al.</w:t>
      </w:r>
      <w:r>
        <w:rPr>
          <w:rFonts w:ascii="Times New Roman" w:hAnsi="Times New Roman" w:cs="Times New Roman"/>
          <w:sz w:val="22"/>
          <w:szCs w:val="22"/>
        </w:rPr>
        <w:t xml:space="preserve">, 2018).  It is also valuable when the effect of different doses of the same compound needs to be evaluated (Busquet </w:t>
      </w:r>
      <w:r>
        <w:rPr>
          <w:rFonts w:ascii="Times New Roman" w:hAnsi="Times New Roman" w:cs="Times New Roman"/>
          <w:i/>
          <w:sz w:val="22"/>
          <w:szCs w:val="22"/>
        </w:rPr>
        <w:t>et al.</w:t>
      </w:r>
      <w:r>
        <w:rPr>
          <w:rFonts w:ascii="Times New Roman" w:hAnsi="Times New Roman" w:cs="Times New Roman"/>
          <w:sz w:val="22"/>
          <w:szCs w:val="22"/>
        </w:rPr>
        <w:t xml:space="preserve">, 2006).  The rate and extent of rumen fermentation of a feed or additive effect, determined by the microbial fermentation pattern, can be determined by analysing the amount of gas produced at certain time intervals (Singh </w:t>
      </w:r>
      <w:r>
        <w:rPr>
          <w:rFonts w:ascii="Times New Roman" w:hAnsi="Times New Roman" w:cs="Times New Roman"/>
          <w:i/>
          <w:sz w:val="22"/>
          <w:szCs w:val="22"/>
        </w:rPr>
        <w:t>et al.</w:t>
      </w:r>
      <w:r>
        <w:rPr>
          <w:rFonts w:ascii="Times New Roman" w:hAnsi="Times New Roman" w:cs="Times New Roman"/>
          <w:sz w:val="22"/>
          <w:szCs w:val="22"/>
        </w:rPr>
        <w:t>, 2005;</w:t>
      </w:r>
      <w:r>
        <w:rPr>
          <w:rFonts w:ascii="Times New Roman" w:hAnsi="Times New Roman" w:cs="Times New Roman"/>
          <w:i/>
          <w:sz w:val="22"/>
          <w:szCs w:val="22"/>
        </w:rPr>
        <w:t xml:space="preserve"> </w:t>
      </w:r>
      <w:r>
        <w:rPr>
          <w:rFonts w:ascii="Times New Roman" w:hAnsi="Times New Roman" w:cs="Times New Roman"/>
          <w:sz w:val="22"/>
          <w:szCs w:val="22"/>
        </w:rPr>
        <w:t xml:space="preserve">Berhane </w:t>
      </w:r>
      <w:r>
        <w:rPr>
          <w:rFonts w:ascii="Times New Roman" w:hAnsi="Times New Roman" w:cs="Times New Roman"/>
          <w:i/>
          <w:sz w:val="22"/>
          <w:szCs w:val="22"/>
        </w:rPr>
        <w:t>et al.</w:t>
      </w:r>
      <w:r>
        <w:rPr>
          <w:rFonts w:ascii="Times New Roman" w:hAnsi="Times New Roman" w:cs="Times New Roman"/>
          <w:sz w:val="22"/>
          <w:szCs w:val="22"/>
        </w:rPr>
        <w:t xml:space="preserve">, 2006; Ulger </w:t>
      </w:r>
      <w:r>
        <w:rPr>
          <w:rFonts w:ascii="Times New Roman" w:hAnsi="Times New Roman" w:cs="Times New Roman"/>
          <w:i/>
          <w:sz w:val="22"/>
          <w:szCs w:val="22"/>
        </w:rPr>
        <w:t>et al.</w:t>
      </w:r>
      <w:r>
        <w:rPr>
          <w:rFonts w:ascii="Times New Roman" w:hAnsi="Times New Roman" w:cs="Times New Roman"/>
          <w:sz w:val="22"/>
          <w:szCs w:val="22"/>
        </w:rPr>
        <w:t>, 2017).</w:t>
      </w:r>
    </w:p>
    <w:p w14:paraId="6C08E8A9" w14:textId="77777777" w:rsidR="00EF65F1" w:rsidRDefault="00EF65F1">
      <w:pPr>
        <w:spacing w:after="0" w:line="360" w:lineRule="auto"/>
        <w:ind w:firstLine="567"/>
        <w:contextualSpacing/>
        <w:jc w:val="both"/>
        <w:rPr>
          <w:rFonts w:ascii="Times New Roman" w:hAnsi="Times New Roman" w:cs="Times New Roman"/>
          <w:sz w:val="22"/>
          <w:szCs w:val="22"/>
        </w:rPr>
      </w:pPr>
    </w:p>
    <w:p w14:paraId="2CD2801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It is recommended by Yáñez-Ruiz </w:t>
      </w:r>
      <w:r>
        <w:rPr>
          <w:rFonts w:ascii="Times New Roman" w:hAnsi="Times New Roman" w:cs="Times New Roman"/>
          <w:i/>
          <w:sz w:val="22"/>
          <w:szCs w:val="22"/>
        </w:rPr>
        <w:t>et al</w:t>
      </w:r>
      <w:r>
        <w:rPr>
          <w:rFonts w:ascii="Times New Roman" w:hAnsi="Times New Roman" w:cs="Times New Roman"/>
          <w:sz w:val="22"/>
          <w:szCs w:val="22"/>
        </w:rPr>
        <w:t xml:space="preserve"> (2016) that donor animal which provides inoculum be the same species as the animals for which the intended feeds be used (Yáñez-Ruiz </w:t>
      </w:r>
      <w:r>
        <w:rPr>
          <w:rFonts w:ascii="Times New Roman" w:hAnsi="Times New Roman" w:cs="Times New Roman"/>
          <w:i/>
          <w:sz w:val="22"/>
          <w:szCs w:val="22"/>
        </w:rPr>
        <w:t>et al.</w:t>
      </w:r>
      <w:r>
        <w:rPr>
          <w:rFonts w:ascii="Times New Roman" w:hAnsi="Times New Roman" w:cs="Times New Roman"/>
          <w:sz w:val="22"/>
          <w:szCs w:val="22"/>
        </w:rPr>
        <w:t xml:space="preserve">, 2016).  The microbial population and activity are influenced by the diet fed to the donor animals, therefore it is advised to ensure that the donor animals are adapted to a diet that is similar to the substrate used </w:t>
      </w:r>
      <w:r>
        <w:rPr>
          <w:rFonts w:ascii="Times New Roman" w:hAnsi="Times New Roman" w:cs="Times New Roman"/>
          <w:i/>
          <w:sz w:val="22"/>
          <w:szCs w:val="22"/>
        </w:rPr>
        <w:t>in vitro</w:t>
      </w:r>
      <w:r>
        <w:rPr>
          <w:rFonts w:ascii="Times New Roman" w:hAnsi="Times New Roman" w:cs="Times New Roman"/>
          <w:sz w:val="22"/>
          <w:szCs w:val="22"/>
        </w:rPr>
        <w:t xml:space="preserve"> (Yáñez-Ruiz </w:t>
      </w:r>
      <w:r>
        <w:rPr>
          <w:rFonts w:ascii="Times New Roman" w:hAnsi="Times New Roman" w:cs="Times New Roman"/>
          <w:i/>
          <w:sz w:val="22"/>
          <w:szCs w:val="22"/>
        </w:rPr>
        <w:t>et al.</w:t>
      </w:r>
      <w:r>
        <w:rPr>
          <w:rFonts w:ascii="Times New Roman" w:hAnsi="Times New Roman" w:cs="Times New Roman"/>
          <w:sz w:val="22"/>
          <w:szCs w:val="22"/>
        </w:rPr>
        <w:t xml:space="preserve">, 2016).  Factors such as pH and microbial composition may affect the efficacy of feed additives, however collection of rumen fluid before the morning feeding can minimise the effect of diet and lower the variation in activity and composition of inocula (Yáñez-Ruiz </w:t>
      </w:r>
      <w:r>
        <w:rPr>
          <w:rFonts w:ascii="Times New Roman" w:hAnsi="Times New Roman" w:cs="Times New Roman"/>
          <w:i/>
          <w:sz w:val="22"/>
          <w:szCs w:val="22"/>
        </w:rPr>
        <w:t>et al.</w:t>
      </w:r>
      <w:r>
        <w:rPr>
          <w:rFonts w:ascii="Times New Roman" w:hAnsi="Times New Roman" w:cs="Times New Roman"/>
          <w:sz w:val="22"/>
          <w:szCs w:val="22"/>
        </w:rPr>
        <w:t xml:space="preserve">, 2016).  Diurnal variation in inocula composition can be minimised by feeding frequent meals (Yáñez-Ruiz </w:t>
      </w:r>
      <w:r>
        <w:rPr>
          <w:rFonts w:ascii="Times New Roman" w:hAnsi="Times New Roman" w:cs="Times New Roman"/>
          <w:i/>
          <w:sz w:val="22"/>
          <w:szCs w:val="22"/>
        </w:rPr>
        <w:t>et al.</w:t>
      </w:r>
      <w:r>
        <w:rPr>
          <w:rFonts w:ascii="Times New Roman" w:hAnsi="Times New Roman" w:cs="Times New Roman"/>
          <w:sz w:val="22"/>
          <w:szCs w:val="22"/>
        </w:rPr>
        <w:t xml:space="preserve">, 2016).  The concentration of microbes in rumen inocula will be reduced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as opposed to </w:t>
      </w:r>
      <w:r>
        <w:rPr>
          <w:rFonts w:ascii="Times New Roman" w:hAnsi="Times New Roman" w:cs="Times New Roman"/>
          <w:i/>
          <w:sz w:val="22"/>
          <w:szCs w:val="22"/>
        </w:rPr>
        <w:t>in vivo</w:t>
      </w:r>
      <w:r>
        <w:rPr>
          <w:rFonts w:ascii="Times New Roman" w:hAnsi="Times New Roman" w:cs="Times New Roman"/>
          <w:sz w:val="22"/>
          <w:szCs w:val="22"/>
        </w:rPr>
        <w:t xml:space="preserve"> environments, therefore higher treatment dosages are recommended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to ensure adequate interaction of additive and microbes (Cattani </w:t>
      </w:r>
      <w:r>
        <w:rPr>
          <w:rFonts w:ascii="Times New Roman" w:hAnsi="Times New Roman" w:cs="Times New Roman"/>
          <w:i/>
          <w:sz w:val="22"/>
          <w:szCs w:val="22"/>
        </w:rPr>
        <w:t>et al.</w:t>
      </w:r>
      <w:r>
        <w:rPr>
          <w:rFonts w:ascii="Times New Roman" w:hAnsi="Times New Roman" w:cs="Times New Roman"/>
          <w:sz w:val="22"/>
          <w:szCs w:val="22"/>
        </w:rPr>
        <w:t xml:space="preserve">, 2016).  This manifestation may require a re-evaluating of dose rate when plant extracts are evaluated </w:t>
      </w:r>
      <w:r>
        <w:rPr>
          <w:rFonts w:ascii="Times New Roman" w:hAnsi="Times New Roman" w:cs="Times New Roman"/>
          <w:i/>
          <w:sz w:val="22"/>
          <w:szCs w:val="22"/>
        </w:rPr>
        <w:t xml:space="preserve">in vivo </w:t>
      </w:r>
      <w:r>
        <w:rPr>
          <w:rFonts w:ascii="Times New Roman" w:hAnsi="Times New Roman" w:cs="Times New Roman"/>
          <w:sz w:val="22"/>
          <w:szCs w:val="22"/>
        </w:rPr>
        <w:t>studies.</w:t>
      </w:r>
    </w:p>
    <w:p w14:paraId="22891DB8" w14:textId="77777777" w:rsidR="00EF65F1" w:rsidRDefault="00EF65F1">
      <w:pPr>
        <w:spacing w:after="0" w:line="360" w:lineRule="auto"/>
        <w:ind w:firstLine="567"/>
        <w:contextualSpacing/>
        <w:jc w:val="both"/>
        <w:rPr>
          <w:rFonts w:ascii="Times New Roman" w:hAnsi="Times New Roman" w:cs="Times New Roman"/>
          <w:sz w:val="22"/>
          <w:szCs w:val="22"/>
        </w:rPr>
      </w:pPr>
    </w:p>
    <w:p w14:paraId="0145DF2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Eragrostis curvula</w:t>
      </w:r>
      <w:r>
        <w:rPr>
          <w:rFonts w:ascii="Times New Roman" w:hAnsi="Times New Roman" w:cs="Times New Roman"/>
          <w:sz w:val="22"/>
          <w:szCs w:val="22"/>
        </w:rPr>
        <w:t xml:space="preserve"> hay was used in this study as a substrate for </w:t>
      </w:r>
      <w:r>
        <w:rPr>
          <w:rFonts w:ascii="Times New Roman" w:hAnsi="Times New Roman" w:cs="Times New Roman"/>
          <w:i/>
          <w:sz w:val="22"/>
          <w:szCs w:val="22"/>
        </w:rPr>
        <w:t xml:space="preserve">in vitro </w:t>
      </w:r>
      <w:r>
        <w:rPr>
          <w:rFonts w:ascii="Times New Roman" w:hAnsi="Times New Roman" w:cs="Times New Roman"/>
          <w:sz w:val="22"/>
          <w:szCs w:val="22"/>
        </w:rPr>
        <w:t xml:space="preserve">analysis, to determine the effects of different plant extract additives on rumen fermentation parameters.  The chemical composition of the substrate is shown to influence the effect plant secondary compounds have on the rumen microbial population and thus their effect on rumen fermentation parameters (Klevenhusen </w:t>
      </w:r>
      <w:r>
        <w:rPr>
          <w:rFonts w:ascii="Times New Roman" w:hAnsi="Times New Roman" w:cs="Times New Roman"/>
          <w:i/>
          <w:sz w:val="22"/>
          <w:szCs w:val="22"/>
        </w:rPr>
        <w:t>et al.</w:t>
      </w:r>
      <w:r>
        <w:rPr>
          <w:rFonts w:ascii="Times New Roman" w:hAnsi="Times New Roman" w:cs="Times New Roman"/>
          <w:sz w:val="22"/>
          <w:szCs w:val="22"/>
        </w:rPr>
        <w:t>, 2012).  The extent of enteric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 from substrates is largely related to chemical composition especially the fibre content, while digestibility and protein content also have impact on the accuracy of rumen fermentation parameters (Klevenhusen </w:t>
      </w:r>
      <w:r>
        <w:rPr>
          <w:rFonts w:ascii="Times New Roman" w:hAnsi="Times New Roman" w:cs="Times New Roman"/>
          <w:i/>
          <w:sz w:val="22"/>
          <w:szCs w:val="22"/>
        </w:rPr>
        <w:t>et al.</w:t>
      </w:r>
      <w:r>
        <w:rPr>
          <w:rFonts w:ascii="Times New Roman" w:hAnsi="Times New Roman" w:cs="Times New Roman"/>
          <w:sz w:val="22"/>
          <w:szCs w:val="22"/>
        </w:rPr>
        <w:t xml:space="preserve">, 2012; Montenegro </w:t>
      </w:r>
      <w:r>
        <w:rPr>
          <w:rFonts w:ascii="Times New Roman" w:hAnsi="Times New Roman" w:cs="Times New Roman"/>
          <w:i/>
          <w:sz w:val="22"/>
          <w:szCs w:val="22"/>
        </w:rPr>
        <w:t>et al.</w:t>
      </w:r>
      <w:r>
        <w:rPr>
          <w:rFonts w:ascii="Times New Roman" w:hAnsi="Times New Roman" w:cs="Times New Roman"/>
          <w:sz w:val="22"/>
          <w:szCs w:val="22"/>
        </w:rPr>
        <w:t xml:space="preserve">, 2016; Zhong </w:t>
      </w:r>
      <w:r>
        <w:rPr>
          <w:rFonts w:ascii="Times New Roman" w:hAnsi="Times New Roman" w:cs="Times New Roman"/>
          <w:i/>
          <w:sz w:val="22"/>
          <w:szCs w:val="22"/>
        </w:rPr>
        <w:t>et al.</w:t>
      </w:r>
      <w:r>
        <w:rPr>
          <w:rFonts w:ascii="Times New Roman" w:hAnsi="Times New Roman" w:cs="Times New Roman"/>
          <w:sz w:val="22"/>
          <w:szCs w:val="22"/>
        </w:rPr>
        <w:t xml:space="preserve">, 2016).  </w:t>
      </w:r>
    </w:p>
    <w:p w14:paraId="708DD32C" w14:textId="77777777" w:rsidR="00EF65F1" w:rsidRDefault="00EF65F1">
      <w:pPr>
        <w:spacing w:after="0" w:line="360" w:lineRule="auto"/>
        <w:ind w:firstLine="567"/>
        <w:contextualSpacing/>
        <w:jc w:val="both"/>
        <w:rPr>
          <w:rFonts w:ascii="Times New Roman" w:hAnsi="Times New Roman" w:cs="Times New Roman"/>
          <w:sz w:val="22"/>
          <w:szCs w:val="22"/>
        </w:rPr>
      </w:pPr>
    </w:p>
    <w:p w14:paraId="0BEB253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lastRenderedPageBreak/>
        <w:t xml:space="preserve">Eragrostis curvula </w:t>
      </w:r>
      <w:r>
        <w:rPr>
          <w:rFonts w:ascii="Times New Roman" w:hAnsi="Times New Roman" w:cs="Times New Roman"/>
          <w:sz w:val="22"/>
          <w:szCs w:val="22"/>
        </w:rPr>
        <w:t xml:space="preserve">(Weeping love grass) is a tufted, perennial grass indigenous to South Africa (Dickinson </w:t>
      </w:r>
      <w:r>
        <w:rPr>
          <w:rFonts w:ascii="Times New Roman" w:hAnsi="Times New Roman" w:cs="Times New Roman"/>
          <w:i/>
          <w:sz w:val="22"/>
          <w:szCs w:val="22"/>
        </w:rPr>
        <w:t>et al.</w:t>
      </w:r>
      <w:r>
        <w:rPr>
          <w:rFonts w:ascii="Times New Roman" w:hAnsi="Times New Roman" w:cs="Times New Roman"/>
          <w:sz w:val="22"/>
          <w:szCs w:val="22"/>
        </w:rPr>
        <w:t xml:space="preserve">, 2010).  Kriek and Meissner (1989) assessed it to be the most important grass for grazing and hay production in the South African eastern highveld region, due to its abundance and its ability to be fortified with lucerne to produce high quality roughage. </w:t>
      </w:r>
    </w:p>
    <w:p w14:paraId="56FE7E86" w14:textId="77777777" w:rsidR="00EF65F1" w:rsidRDefault="00EF65F1">
      <w:pPr>
        <w:spacing w:after="0" w:line="360" w:lineRule="auto"/>
        <w:ind w:firstLine="567"/>
        <w:contextualSpacing/>
        <w:jc w:val="both"/>
        <w:rPr>
          <w:rFonts w:ascii="Times New Roman" w:hAnsi="Times New Roman" w:cs="Times New Roman"/>
          <w:sz w:val="22"/>
          <w:szCs w:val="22"/>
        </w:rPr>
      </w:pPr>
    </w:p>
    <w:p w14:paraId="7C48BD9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Various factors have been known to influence the nutritional quality of </w:t>
      </w:r>
      <w:r>
        <w:rPr>
          <w:rFonts w:ascii="Times New Roman" w:hAnsi="Times New Roman" w:cs="Times New Roman"/>
          <w:i/>
          <w:sz w:val="22"/>
          <w:szCs w:val="22"/>
        </w:rPr>
        <w:t>E. curvula</w:t>
      </w:r>
      <w:r>
        <w:rPr>
          <w:rFonts w:ascii="Times New Roman" w:hAnsi="Times New Roman" w:cs="Times New Roman"/>
          <w:sz w:val="22"/>
          <w:szCs w:val="22"/>
        </w:rPr>
        <w:t xml:space="preserve"> hay.  These include, the maturity of the grass when cut, amount of rainfall during the growing period, timing of cutting and cultivar (Berhane </w:t>
      </w:r>
      <w:r>
        <w:rPr>
          <w:rFonts w:ascii="Times New Roman" w:hAnsi="Times New Roman" w:cs="Times New Roman"/>
          <w:i/>
          <w:sz w:val="22"/>
          <w:szCs w:val="22"/>
        </w:rPr>
        <w:t>et al.</w:t>
      </w:r>
      <w:r>
        <w:rPr>
          <w:rFonts w:ascii="Times New Roman" w:hAnsi="Times New Roman" w:cs="Times New Roman"/>
          <w:sz w:val="22"/>
          <w:szCs w:val="22"/>
        </w:rPr>
        <w:t xml:space="preserve">, 2006; Dickinson </w:t>
      </w:r>
      <w:r>
        <w:rPr>
          <w:rFonts w:ascii="Times New Roman" w:hAnsi="Times New Roman" w:cs="Times New Roman"/>
          <w:i/>
          <w:sz w:val="22"/>
          <w:szCs w:val="22"/>
        </w:rPr>
        <w:t>et al.</w:t>
      </w:r>
      <w:r>
        <w:rPr>
          <w:rFonts w:ascii="Times New Roman" w:hAnsi="Times New Roman" w:cs="Times New Roman"/>
          <w:sz w:val="22"/>
          <w:szCs w:val="22"/>
        </w:rPr>
        <w:t xml:space="preserve">, 2010; Zhong </w:t>
      </w:r>
      <w:r>
        <w:rPr>
          <w:rFonts w:ascii="Times New Roman" w:hAnsi="Times New Roman" w:cs="Times New Roman"/>
          <w:i/>
          <w:sz w:val="22"/>
          <w:szCs w:val="22"/>
        </w:rPr>
        <w:t>et al.</w:t>
      </w:r>
      <w:r>
        <w:rPr>
          <w:rFonts w:ascii="Times New Roman" w:hAnsi="Times New Roman" w:cs="Times New Roman"/>
          <w:sz w:val="22"/>
          <w:szCs w:val="22"/>
        </w:rPr>
        <w:t xml:space="preserve">, 2016).  Time of harvesting also influences the composition of plants, with DM, ADF, NDF and ash having a linear relationship with plant maturity, whereas CP decreases (Berhane </w:t>
      </w:r>
      <w:r>
        <w:rPr>
          <w:rFonts w:ascii="Times New Roman" w:hAnsi="Times New Roman" w:cs="Times New Roman"/>
          <w:i/>
          <w:sz w:val="22"/>
          <w:szCs w:val="22"/>
        </w:rPr>
        <w:t>et al.</w:t>
      </w:r>
      <w:r>
        <w:rPr>
          <w:rFonts w:ascii="Times New Roman" w:hAnsi="Times New Roman" w:cs="Times New Roman"/>
          <w:sz w:val="22"/>
          <w:szCs w:val="22"/>
        </w:rPr>
        <w:t xml:space="preserve">, 2006).  A large percentage of ruminants in Africa, located in the tropic and subtropical regions, consume poor quality roughage diets characterised by high NDF fractions and low nitrogen levels (Rodriguez </w:t>
      </w:r>
      <w:r>
        <w:rPr>
          <w:rFonts w:ascii="Times New Roman" w:hAnsi="Times New Roman" w:cs="Times New Roman"/>
          <w:i/>
          <w:sz w:val="22"/>
          <w:szCs w:val="22"/>
        </w:rPr>
        <w:t>et al.</w:t>
      </w:r>
      <w:r>
        <w:rPr>
          <w:rFonts w:ascii="Times New Roman" w:hAnsi="Times New Roman" w:cs="Times New Roman"/>
          <w:sz w:val="22"/>
          <w:szCs w:val="22"/>
        </w:rPr>
        <w:t xml:space="preserve">, 2009; Arowolo &amp; He, 2018).  This tendency may be exacerbated due to food shortages as a result of global warming in years to come (Adejoro &amp; Hassen, 2018).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is a representative of the diet type consumed by animals in the tropics.  This forage can be classified as having average nutritional potential (Kriek &amp; Meissner, 1989), with DM digestibility in ruminants ranging from 43 to 60% (Heuzé </w:t>
      </w:r>
      <w:r>
        <w:rPr>
          <w:rFonts w:ascii="Times New Roman" w:hAnsi="Times New Roman" w:cs="Times New Roman"/>
          <w:i/>
          <w:sz w:val="22"/>
          <w:szCs w:val="22"/>
        </w:rPr>
        <w:t>et al.</w:t>
      </w:r>
      <w:r>
        <w:rPr>
          <w:rFonts w:ascii="Times New Roman" w:hAnsi="Times New Roman" w:cs="Times New Roman"/>
          <w:sz w:val="22"/>
          <w:szCs w:val="22"/>
        </w:rPr>
        <w:t xml:space="preserve">, 2015).  </w:t>
      </w:r>
      <w:r>
        <w:rPr>
          <w:rFonts w:ascii="Times New Roman" w:hAnsi="Times New Roman" w:cs="Times New Roman"/>
          <w:i/>
          <w:sz w:val="22"/>
          <w:szCs w:val="22"/>
        </w:rPr>
        <w:t>E. curvula</w:t>
      </w:r>
      <w:r>
        <w:rPr>
          <w:rFonts w:ascii="Times New Roman" w:hAnsi="Times New Roman" w:cs="Times New Roman"/>
          <w:sz w:val="22"/>
          <w:szCs w:val="22"/>
        </w:rPr>
        <w:t xml:space="preserve"> is present in abundance and additives to improve ruminal fermentation of this type of hay would improve ruminant productivity in the tropics and sub-tropics (Arowolo &amp; He, 2018).</w:t>
      </w:r>
    </w:p>
    <w:p w14:paraId="0D9DF458" w14:textId="77777777" w:rsidR="00EF65F1" w:rsidRDefault="00EF65F1">
      <w:pPr>
        <w:spacing w:line="360" w:lineRule="auto"/>
        <w:ind w:firstLine="567"/>
        <w:contextualSpacing/>
        <w:jc w:val="both"/>
        <w:rPr>
          <w:rFonts w:ascii="Times New Roman" w:hAnsi="Times New Roman" w:cs="Times New Roman"/>
          <w:sz w:val="22"/>
          <w:szCs w:val="22"/>
        </w:rPr>
      </w:pPr>
    </w:p>
    <w:p w14:paraId="7FB38724"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55" w:name="_Toc2691127"/>
      <w:r>
        <w:rPr>
          <w:rFonts w:ascii="Times New Roman" w:hAnsi="Times New Roman" w:cs="Times New Roman"/>
          <w:b/>
          <w:color w:val="auto"/>
          <w:sz w:val="24"/>
          <w:szCs w:val="24"/>
        </w:rPr>
        <w:t>Conclusion</w:t>
      </w:r>
      <w:bookmarkEnd w:id="55"/>
    </w:p>
    <w:p w14:paraId="2554729B" w14:textId="77777777" w:rsidR="00EF65F1" w:rsidRDefault="00EF65F1">
      <w:pPr>
        <w:spacing w:after="0" w:line="360" w:lineRule="auto"/>
        <w:ind w:firstLine="567"/>
        <w:contextualSpacing/>
        <w:jc w:val="both"/>
        <w:rPr>
          <w:rFonts w:ascii="Times New Roman" w:hAnsi="Times New Roman" w:cs="Times New Roman"/>
          <w:sz w:val="22"/>
          <w:szCs w:val="22"/>
        </w:rPr>
      </w:pPr>
    </w:p>
    <w:p w14:paraId="33BD67F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Research on the effect of plant secondary compounds in ruminants, and specifically on the rumen environment, is limited and this provides us with a unique opportunity to screen numerous locally available plants and identify those that may be beneficial as feed additives for ruminants (Rochfort </w:t>
      </w:r>
      <w:r>
        <w:rPr>
          <w:rFonts w:ascii="Times New Roman" w:hAnsi="Times New Roman" w:cs="Times New Roman"/>
          <w:i/>
          <w:sz w:val="22"/>
          <w:szCs w:val="22"/>
        </w:rPr>
        <w:t>et al.</w:t>
      </w:r>
      <w:r>
        <w:rPr>
          <w:rFonts w:ascii="Times New Roman" w:hAnsi="Times New Roman" w:cs="Times New Roman"/>
          <w:sz w:val="22"/>
          <w:szCs w:val="22"/>
        </w:rPr>
        <w:t xml:space="preserve">, 2008). </w:t>
      </w:r>
    </w:p>
    <w:p w14:paraId="044A6FC3" w14:textId="77777777" w:rsidR="00EF65F1" w:rsidRDefault="00EF65F1">
      <w:pPr>
        <w:spacing w:after="0" w:line="360" w:lineRule="auto"/>
        <w:ind w:firstLine="567"/>
        <w:contextualSpacing/>
        <w:jc w:val="both"/>
        <w:rPr>
          <w:rFonts w:ascii="Times New Roman" w:hAnsi="Times New Roman" w:cs="Times New Roman"/>
          <w:sz w:val="22"/>
          <w:szCs w:val="22"/>
        </w:rPr>
      </w:pPr>
    </w:p>
    <w:p w14:paraId="36AE3713"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56" w:name="_Hlk2675282"/>
      <w:r>
        <w:rPr>
          <w:rFonts w:ascii="Times New Roman" w:hAnsi="Times New Roman" w:cs="Times New Roman"/>
          <w:sz w:val="22"/>
          <w:szCs w:val="22"/>
        </w:rPr>
        <w:t>Methane</w:t>
      </w:r>
      <w:r>
        <w:rPr>
          <w:rFonts w:ascii="Times New Roman" w:hAnsi="Times New Roman" w:cs="Times New Roman"/>
          <w:sz w:val="22"/>
          <w:szCs w:val="22"/>
          <w:vertAlign w:val="subscript"/>
        </w:rPr>
        <w:t xml:space="preserve"> </w:t>
      </w:r>
      <w:r>
        <w:rPr>
          <w:rFonts w:ascii="Times New Roman" w:hAnsi="Times New Roman" w:cs="Times New Roman"/>
          <w:sz w:val="22"/>
          <w:szCs w:val="22"/>
        </w:rPr>
        <w:t xml:space="preserve">reduction approaches that potentially reduce animal production are unlikely to be adopted by the industry due to a reduction in profitability for farming enterprises (Martin </w:t>
      </w:r>
      <w:r>
        <w:rPr>
          <w:rFonts w:ascii="Times New Roman" w:hAnsi="Times New Roman" w:cs="Times New Roman"/>
          <w:i/>
          <w:sz w:val="22"/>
          <w:szCs w:val="22"/>
        </w:rPr>
        <w:t>et al.</w:t>
      </w:r>
      <w:r>
        <w:rPr>
          <w:rFonts w:ascii="Times New Roman" w:hAnsi="Times New Roman" w:cs="Times New Roman"/>
          <w:sz w:val="22"/>
          <w:szCs w:val="22"/>
        </w:rPr>
        <w:t>, 2010; Grainger &amp; Beauchemin, 2011), therefore, it is important that potential feed additives and/or mitigation strategies considered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do not significantly reduce total volatile fatty acid, gas production and productivity (Montenegro </w:t>
      </w:r>
      <w:r>
        <w:rPr>
          <w:rFonts w:ascii="Times New Roman" w:hAnsi="Times New Roman" w:cs="Times New Roman"/>
          <w:i/>
          <w:sz w:val="22"/>
          <w:szCs w:val="22"/>
        </w:rPr>
        <w:t>et al.</w:t>
      </w:r>
      <w:r>
        <w:rPr>
          <w:rFonts w:ascii="Times New Roman" w:hAnsi="Times New Roman" w:cs="Times New Roman"/>
          <w:sz w:val="22"/>
          <w:szCs w:val="22"/>
        </w:rPr>
        <w:t>, 2016).  Without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 reduction strategies, global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are expected to increase by 60% by 2030, and the increase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is directly proportional to the projected increase in domestic ruminant population size (Grainger &amp; Beauchemin, 2011; Rajas-Downing </w:t>
      </w:r>
      <w:r>
        <w:rPr>
          <w:rFonts w:ascii="Times New Roman" w:hAnsi="Times New Roman" w:cs="Times New Roman"/>
          <w:i/>
          <w:sz w:val="22"/>
          <w:szCs w:val="22"/>
        </w:rPr>
        <w:t>et al.</w:t>
      </w:r>
      <w:r>
        <w:rPr>
          <w:rFonts w:ascii="Times New Roman" w:hAnsi="Times New Roman" w:cs="Times New Roman"/>
          <w:sz w:val="22"/>
          <w:szCs w:val="22"/>
        </w:rPr>
        <w:t xml:space="preserve">, 2017).  </w:t>
      </w:r>
    </w:p>
    <w:bookmarkEnd w:id="56"/>
    <w:p w14:paraId="5483A653" w14:textId="77777777" w:rsidR="00EF65F1" w:rsidRDefault="00EF65F1">
      <w:pPr>
        <w:spacing w:after="0" w:line="360" w:lineRule="auto"/>
        <w:ind w:firstLine="567"/>
        <w:contextualSpacing/>
        <w:jc w:val="both"/>
        <w:rPr>
          <w:rFonts w:ascii="Times New Roman" w:hAnsi="Times New Roman" w:cs="Times New Roman"/>
          <w:sz w:val="22"/>
          <w:szCs w:val="22"/>
        </w:rPr>
      </w:pPr>
    </w:p>
    <w:p w14:paraId="5990907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lastRenderedPageBreak/>
        <w:t xml:space="preserve">The banning of antibiotic-based growth promoters from ruminant feeds has been estimated to increase production costs in the ruminant sector by 3.5 to 5.0% (Cardozo </w:t>
      </w:r>
      <w:r>
        <w:rPr>
          <w:rFonts w:ascii="Times New Roman" w:hAnsi="Times New Roman" w:cs="Times New Roman"/>
          <w:i/>
          <w:sz w:val="22"/>
          <w:szCs w:val="22"/>
        </w:rPr>
        <w:t>et al.</w:t>
      </w:r>
      <w:r>
        <w:rPr>
          <w:rFonts w:ascii="Times New Roman" w:hAnsi="Times New Roman" w:cs="Times New Roman"/>
          <w:sz w:val="22"/>
          <w:szCs w:val="22"/>
        </w:rPr>
        <w:t xml:space="preserve">, 2005).  Therefore, it is essential to identify alternative additives that will allow producers to maintain productivity at similar levels without significantly increasing production costs.  Plant extract additives have the potential to improve digestibility and/or increase feed intake, enhance nutrient utilisation of ruminant diets, and the medicinal properties of plant extracts such as their antimicrobial activity could enhance animal health and welfare.  Therefore, animal performance is likely to increase with supplementation of certain plant extracts that exhibit these attributes (Salem </w:t>
      </w:r>
      <w:r>
        <w:rPr>
          <w:rFonts w:ascii="Times New Roman" w:hAnsi="Times New Roman" w:cs="Times New Roman"/>
          <w:i/>
          <w:sz w:val="22"/>
          <w:szCs w:val="22"/>
        </w:rPr>
        <w:t>et al.</w:t>
      </w:r>
      <w:r>
        <w:rPr>
          <w:rFonts w:ascii="Times New Roman" w:hAnsi="Times New Roman" w:cs="Times New Roman"/>
          <w:sz w:val="22"/>
          <w:szCs w:val="22"/>
        </w:rPr>
        <w:t>, 2012).</w:t>
      </w:r>
    </w:p>
    <w:p w14:paraId="1A0449E1" w14:textId="77777777" w:rsidR="00EF65F1" w:rsidRDefault="00EF65F1">
      <w:pPr>
        <w:spacing w:after="0" w:line="360" w:lineRule="auto"/>
        <w:ind w:firstLine="567"/>
        <w:contextualSpacing/>
        <w:jc w:val="both"/>
        <w:rPr>
          <w:rFonts w:ascii="Times New Roman" w:hAnsi="Times New Roman" w:cs="Times New Roman"/>
          <w:sz w:val="22"/>
          <w:szCs w:val="22"/>
        </w:rPr>
      </w:pPr>
    </w:p>
    <w:p w14:paraId="31930C3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Manipulation of the rumen fermentation has been influenced by a variety of plant extracts at varying dose levels (Hart </w:t>
      </w:r>
      <w:r>
        <w:rPr>
          <w:rFonts w:ascii="Times New Roman" w:hAnsi="Times New Roman" w:cs="Times New Roman"/>
          <w:i/>
          <w:sz w:val="22"/>
          <w:szCs w:val="22"/>
        </w:rPr>
        <w:t>et al.</w:t>
      </w:r>
      <w:r>
        <w:rPr>
          <w:rFonts w:ascii="Times New Roman" w:hAnsi="Times New Roman" w:cs="Times New Roman"/>
          <w:sz w:val="22"/>
          <w:szCs w:val="22"/>
        </w:rPr>
        <w:t>, 2008).  Although many plant species have known medicinal properties, little information is known with respect to the usage of these extracts to modulate rumen fermentation and the correct dosage rates for use in ruminants (Masika &amp; Afolayan, 2002).  Determination of an optimal dose of application of plant extracts is complicated by variability in terms of the bioactive chemical composition and concentration that occurs between preparations (Jouany &amp; Morgavi, 2007).  Thus, it is important to evaluate the effects of plant species and dose rate of plant extracts on rumen fermentation parameters.</w:t>
      </w:r>
    </w:p>
    <w:p w14:paraId="71494F48" w14:textId="77777777" w:rsidR="00EF65F1" w:rsidRDefault="00EF65F1">
      <w:pPr>
        <w:spacing w:after="0" w:line="360" w:lineRule="auto"/>
        <w:ind w:firstLine="567"/>
        <w:contextualSpacing/>
        <w:jc w:val="both"/>
        <w:rPr>
          <w:rFonts w:ascii="Times New Roman" w:hAnsi="Times New Roman" w:cs="Times New Roman"/>
          <w:sz w:val="22"/>
          <w:szCs w:val="22"/>
        </w:rPr>
      </w:pPr>
    </w:p>
    <w:p w14:paraId="2473762B"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57" w:name="_Hlk2675327"/>
      <w:r>
        <w:rPr>
          <w:rFonts w:ascii="Times New Roman" w:hAnsi="Times New Roman" w:cs="Times New Roman"/>
          <w:sz w:val="22"/>
          <w:szCs w:val="22"/>
        </w:rPr>
        <w:t xml:space="preserve">Reducing the environmental impact of livestock and improving feed efficiency are two potential advantages in enhancing ruminal fermentation, which will lead to increased profitability of the ruminant industry (Zhong </w:t>
      </w:r>
      <w:r>
        <w:rPr>
          <w:rFonts w:ascii="Times New Roman" w:hAnsi="Times New Roman" w:cs="Times New Roman"/>
          <w:i/>
          <w:sz w:val="22"/>
          <w:szCs w:val="22"/>
        </w:rPr>
        <w:t>et al.</w:t>
      </w:r>
      <w:r>
        <w:rPr>
          <w:rFonts w:ascii="Times New Roman" w:hAnsi="Times New Roman" w:cs="Times New Roman"/>
          <w:sz w:val="22"/>
          <w:szCs w:val="22"/>
        </w:rPr>
        <w:t xml:space="preserve">, 2016; McCann </w:t>
      </w:r>
      <w:r>
        <w:rPr>
          <w:rFonts w:ascii="Times New Roman" w:hAnsi="Times New Roman" w:cs="Times New Roman"/>
          <w:i/>
          <w:sz w:val="22"/>
          <w:szCs w:val="22"/>
        </w:rPr>
        <w:t>et al.</w:t>
      </w:r>
      <w:r>
        <w:rPr>
          <w:rFonts w:ascii="Times New Roman" w:hAnsi="Times New Roman" w:cs="Times New Roman"/>
          <w:sz w:val="22"/>
          <w:szCs w:val="22"/>
        </w:rPr>
        <w:t xml:space="preserve">, 2017).  </w:t>
      </w:r>
    </w:p>
    <w:bookmarkEnd w:id="57"/>
    <w:p w14:paraId="7C891095" w14:textId="77777777" w:rsidR="00EF65F1" w:rsidRDefault="00EF65F1">
      <w:pPr>
        <w:spacing w:line="360" w:lineRule="auto"/>
        <w:contextualSpacing/>
        <w:jc w:val="both"/>
        <w:rPr>
          <w:rFonts w:ascii="Times New Roman" w:hAnsi="Times New Roman" w:cs="Times New Roman"/>
          <w:sz w:val="24"/>
          <w:szCs w:val="24"/>
        </w:rPr>
      </w:pPr>
    </w:p>
    <w:p w14:paraId="314E107A" w14:textId="77777777" w:rsidR="00EF65F1" w:rsidRDefault="00EF65F1">
      <w:pPr>
        <w:spacing w:line="360" w:lineRule="auto"/>
        <w:contextualSpacing/>
        <w:jc w:val="both"/>
        <w:rPr>
          <w:rFonts w:ascii="Times New Roman" w:hAnsi="Times New Roman" w:cs="Times New Roman"/>
          <w:sz w:val="24"/>
          <w:szCs w:val="24"/>
        </w:rPr>
      </w:pPr>
    </w:p>
    <w:p w14:paraId="1ADAE4F9" w14:textId="77777777" w:rsidR="00EF65F1" w:rsidRDefault="00EF65F1">
      <w:pPr>
        <w:spacing w:line="360" w:lineRule="auto"/>
        <w:contextualSpacing/>
        <w:jc w:val="both"/>
        <w:rPr>
          <w:rFonts w:ascii="Times New Roman" w:hAnsi="Times New Roman" w:cs="Times New Roman"/>
          <w:sz w:val="24"/>
          <w:szCs w:val="24"/>
        </w:rPr>
      </w:pPr>
    </w:p>
    <w:p w14:paraId="5A8EF754" w14:textId="77777777" w:rsidR="00EF65F1" w:rsidRDefault="00EF65F1">
      <w:pPr>
        <w:spacing w:line="360" w:lineRule="auto"/>
        <w:contextualSpacing/>
        <w:jc w:val="both"/>
        <w:rPr>
          <w:rFonts w:ascii="Times New Roman" w:hAnsi="Times New Roman" w:cs="Times New Roman"/>
          <w:sz w:val="24"/>
          <w:szCs w:val="24"/>
        </w:rPr>
      </w:pPr>
    </w:p>
    <w:p w14:paraId="39B3274F" w14:textId="77777777" w:rsidR="00EF65F1" w:rsidRDefault="00EF65F1">
      <w:pPr>
        <w:spacing w:line="360" w:lineRule="auto"/>
        <w:contextualSpacing/>
        <w:jc w:val="both"/>
        <w:rPr>
          <w:rFonts w:ascii="Times New Roman" w:hAnsi="Times New Roman" w:cs="Times New Roman"/>
          <w:sz w:val="24"/>
          <w:szCs w:val="24"/>
        </w:rPr>
      </w:pPr>
    </w:p>
    <w:p w14:paraId="28F7DAB7" w14:textId="77777777" w:rsidR="00EF65F1" w:rsidRDefault="00EF65F1">
      <w:pPr>
        <w:spacing w:line="360" w:lineRule="auto"/>
        <w:contextualSpacing/>
        <w:jc w:val="both"/>
        <w:rPr>
          <w:rFonts w:ascii="Times New Roman" w:hAnsi="Times New Roman" w:cs="Times New Roman"/>
          <w:sz w:val="24"/>
          <w:szCs w:val="24"/>
        </w:rPr>
      </w:pPr>
    </w:p>
    <w:p w14:paraId="478E703A" w14:textId="77777777" w:rsidR="00EF65F1" w:rsidRDefault="00EF65F1">
      <w:pPr>
        <w:spacing w:line="360" w:lineRule="auto"/>
        <w:contextualSpacing/>
        <w:jc w:val="both"/>
        <w:rPr>
          <w:rFonts w:ascii="Times New Roman" w:hAnsi="Times New Roman" w:cs="Times New Roman"/>
          <w:sz w:val="24"/>
          <w:szCs w:val="24"/>
        </w:rPr>
      </w:pPr>
    </w:p>
    <w:p w14:paraId="3E74416E" w14:textId="77777777" w:rsidR="00EF65F1" w:rsidRDefault="00EF65F1">
      <w:pPr>
        <w:spacing w:line="360" w:lineRule="auto"/>
        <w:contextualSpacing/>
        <w:jc w:val="both"/>
        <w:rPr>
          <w:rFonts w:ascii="Times New Roman" w:hAnsi="Times New Roman" w:cs="Times New Roman"/>
          <w:sz w:val="24"/>
          <w:szCs w:val="24"/>
        </w:rPr>
      </w:pPr>
    </w:p>
    <w:p w14:paraId="0CFEE312" w14:textId="77777777" w:rsidR="00EF65F1" w:rsidRDefault="00EF65F1">
      <w:pPr>
        <w:spacing w:line="360" w:lineRule="auto"/>
        <w:contextualSpacing/>
        <w:jc w:val="both"/>
        <w:rPr>
          <w:rFonts w:ascii="Times New Roman" w:hAnsi="Times New Roman" w:cs="Times New Roman"/>
          <w:sz w:val="24"/>
          <w:szCs w:val="24"/>
        </w:rPr>
      </w:pPr>
    </w:p>
    <w:p w14:paraId="2959CF4E" w14:textId="77777777" w:rsidR="00EF65F1" w:rsidRDefault="00EF65F1">
      <w:pPr>
        <w:spacing w:line="360" w:lineRule="auto"/>
        <w:contextualSpacing/>
        <w:jc w:val="both"/>
        <w:rPr>
          <w:rFonts w:ascii="Times New Roman" w:hAnsi="Times New Roman" w:cs="Times New Roman"/>
          <w:sz w:val="24"/>
          <w:szCs w:val="24"/>
        </w:rPr>
      </w:pPr>
    </w:p>
    <w:p w14:paraId="7572ABCA" w14:textId="77777777" w:rsidR="00EF65F1" w:rsidRDefault="00EF65F1">
      <w:pPr>
        <w:spacing w:line="360" w:lineRule="auto"/>
        <w:contextualSpacing/>
        <w:jc w:val="both"/>
        <w:rPr>
          <w:rFonts w:ascii="Times New Roman" w:hAnsi="Times New Roman" w:cs="Times New Roman"/>
          <w:sz w:val="24"/>
          <w:szCs w:val="24"/>
        </w:rPr>
      </w:pPr>
    </w:p>
    <w:p w14:paraId="4B355706" w14:textId="77777777" w:rsidR="00EF65F1" w:rsidRDefault="00EF65F1">
      <w:pPr>
        <w:spacing w:line="360" w:lineRule="auto"/>
        <w:contextualSpacing/>
        <w:jc w:val="both"/>
        <w:rPr>
          <w:rFonts w:ascii="Times New Roman" w:hAnsi="Times New Roman" w:cs="Times New Roman"/>
          <w:sz w:val="24"/>
          <w:szCs w:val="24"/>
        </w:rPr>
      </w:pPr>
    </w:p>
    <w:p w14:paraId="585857B9" w14:textId="77777777" w:rsidR="00EF65F1" w:rsidRDefault="00EF65F1">
      <w:pPr>
        <w:spacing w:line="360" w:lineRule="auto"/>
        <w:contextualSpacing/>
        <w:jc w:val="both"/>
        <w:rPr>
          <w:rFonts w:ascii="Times New Roman" w:hAnsi="Times New Roman" w:cs="Times New Roman"/>
          <w:sz w:val="24"/>
          <w:szCs w:val="24"/>
        </w:rPr>
      </w:pPr>
    </w:p>
    <w:p w14:paraId="502A262E"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58" w:name="_Toc2691128"/>
      <w:r>
        <w:rPr>
          <w:rFonts w:ascii="Times New Roman" w:hAnsi="Times New Roman" w:cs="Times New Roman"/>
          <w:b/>
          <w:color w:val="auto"/>
          <w:sz w:val="24"/>
          <w:szCs w:val="24"/>
        </w:rPr>
        <w:lastRenderedPageBreak/>
        <w:t>Hypothesis</w:t>
      </w:r>
      <w:bookmarkEnd w:id="58"/>
    </w:p>
    <w:p w14:paraId="7C07819B" w14:textId="77777777" w:rsidR="00EF65F1" w:rsidRDefault="00EF65F1">
      <w:pPr>
        <w:spacing w:after="0" w:line="360" w:lineRule="auto"/>
        <w:contextualSpacing/>
        <w:jc w:val="both"/>
        <w:rPr>
          <w:rFonts w:ascii="Times New Roman" w:hAnsi="Times New Roman" w:cs="Times New Roman"/>
          <w:sz w:val="22"/>
          <w:szCs w:val="22"/>
        </w:rPr>
      </w:pPr>
    </w:p>
    <w:p w14:paraId="470421C7" w14:textId="77777777" w:rsidR="00EF65F1" w:rsidRDefault="00484A18">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Study 1</w:t>
      </w:r>
    </w:p>
    <w:p w14:paraId="04909C8C"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Null hypothesis (H</w:t>
      </w:r>
      <w:r>
        <w:rPr>
          <w:rFonts w:ascii="Times New Roman" w:hAnsi="Times New Roman" w:cs="Times New Roman"/>
          <w:sz w:val="22"/>
          <w:szCs w:val="22"/>
          <w:vertAlign w:val="subscript"/>
        </w:rPr>
        <w:t>o</w:t>
      </w:r>
      <w:r>
        <w:rPr>
          <w:rFonts w:ascii="Times New Roman" w:hAnsi="Times New Roman" w:cs="Times New Roman"/>
          <w:sz w:val="22"/>
          <w:szCs w:val="22"/>
        </w:rPr>
        <w:t xml:space="preserve">): </w:t>
      </w:r>
      <w:r>
        <w:rPr>
          <w:rFonts w:ascii="Times New Roman" w:hAnsi="Times New Roman" w:cs="Times New Roman"/>
          <w:sz w:val="22"/>
          <w:szCs w:val="22"/>
        </w:rPr>
        <w:tab/>
        <w:t xml:space="preserve">Compared to the negative control, plant extracts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have no significant impact on rumen fermentation parameters at a dose level of 50 mg/kg DM.</w:t>
      </w:r>
    </w:p>
    <w:p w14:paraId="3AD264C0" w14:textId="77777777" w:rsidR="00EF65F1" w:rsidRDefault="00EF65F1">
      <w:pPr>
        <w:spacing w:after="0" w:line="360" w:lineRule="auto"/>
        <w:contextualSpacing/>
        <w:jc w:val="both"/>
        <w:rPr>
          <w:rFonts w:ascii="Times New Roman" w:hAnsi="Times New Roman" w:cs="Times New Roman"/>
          <w:sz w:val="22"/>
          <w:szCs w:val="22"/>
        </w:rPr>
      </w:pPr>
    </w:p>
    <w:p w14:paraId="346FF4F0"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Alternative hypothesis (H</w:t>
      </w:r>
      <w:r>
        <w:rPr>
          <w:rFonts w:ascii="Times New Roman" w:hAnsi="Times New Roman" w:cs="Times New Roman"/>
          <w:sz w:val="22"/>
          <w:szCs w:val="22"/>
          <w:vertAlign w:val="subscript"/>
        </w:rPr>
        <w:t>1</w:t>
      </w:r>
      <w:r>
        <w:rPr>
          <w:rFonts w:ascii="Times New Roman" w:hAnsi="Times New Roman" w:cs="Times New Roman"/>
          <w:sz w:val="22"/>
          <w:szCs w:val="22"/>
        </w:rPr>
        <w:t xml:space="preserve">):  Compared to the negative control, plant extracts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have a significant impact on rumen fermentation parameters at a dose level of 50 mg/kg DM.</w:t>
      </w:r>
    </w:p>
    <w:p w14:paraId="46147733" w14:textId="77777777" w:rsidR="00EF65F1" w:rsidRDefault="00EF65F1">
      <w:pPr>
        <w:spacing w:after="0" w:line="360" w:lineRule="auto"/>
        <w:contextualSpacing/>
        <w:jc w:val="both"/>
        <w:rPr>
          <w:rFonts w:ascii="Times New Roman" w:hAnsi="Times New Roman" w:cs="Times New Roman"/>
          <w:sz w:val="22"/>
          <w:szCs w:val="22"/>
        </w:rPr>
      </w:pPr>
    </w:p>
    <w:p w14:paraId="1A2DBB78" w14:textId="77777777" w:rsidR="00EF65F1" w:rsidRDefault="00484A18">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Study 2</w:t>
      </w:r>
    </w:p>
    <w:p w14:paraId="677D9932"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Null hypothesis (H</w:t>
      </w:r>
      <w:r>
        <w:rPr>
          <w:rFonts w:ascii="Times New Roman" w:hAnsi="Times New Roman" w:cs="Times New Roman"/>
          <w:sz w:val="22"/>
          <w:szCs w:val="22"/>
          <w:vertAlign w:val="subscript"/>
        </w:rPr>
        <w:t>o</w:t>
      </w:r>
      <w:r>
        <w:rPr>
          <w:rFonts w:ascii="Times New Roman" w:hAnsi="Times New Roman" w:cs="Times New Roman"/>
          <w:sz w:val="22"/>
          <w:szCs w:val="22"/>
        </w:rPr>
        <w:t xml:space="preserve">): </w:t>
      </w:r>
      <w:r>
        <w:rPr>
          <w:rFonts w:ascii="Times New Roman" w:hAnsi="Times New Roman" w:cs="Times New Roman"/>
          <w:sz w:val="22"/>
          <w:szCs w:val="22"/>
        </w:rPr>
        <w:tab/>
        <w:t xml:space="preserve">Compared to the negative control, plant extracts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have no significant impact on rumen fermentation parameters at dose levels of 300 and/or 600 mg/kg DM.</w:t>
      </w:r>
    </w:p>
    <w:p w14:paraId="586B129E" w14:textId="77777777" w:rsidR="00EF65F1" w:rsidRDefault="00EF65F1">
      <w:pPr>
        <w:spacing w:after="0" w:line="360" w:lineRule="auto"/>
        <w:contextualSpacing/>
        <w:jc w:val="both"/>
        <w:rPr>
          <w:rFonts w:ascii="Times New Roman" w:hAnsi="Times New Roman" w:cs="Times New Roman"/>
          <w:sz w:val="22"/>
          <w:szCs w:val="22"/>
        </w:rPr>
      </w:pPr>
    </w:p>
    <w:p w14:paraId="1EB6101E"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Alternative hypothesis (H</w:t>
      </w:r>
      <w:r>
        <w:rPr>
          <w:rFonts w:ascii="Times New Roman" w:hAnsi="Times New Roman" w:cs="Times New Roman"/>
          <w:sz w:val="22"/>
          <w:szCs w:val="22"/>
          <w:vertAlign w:val="subscript"/>
        </w:rPr>
        <w:t>1</w:t>
      </w:r>
      <w:r>
        <w:rPr>
          <w:rFonts w:ascii="Times New Roman" w:hAnsi="Times New Roman" w:cs="Times New Roman"/>
          <w:sz w:val="22"/>
          <w:szCs w:val="22"/>
        </w:rPr>
        <w:t xml:space="preserve">):  Compared to the negative control, plant extracts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have a significant impact on rumen fermentation parameters at dose levels of 300 and/or 600 mg/kg DM. </w:t>
      </w:r>
    </w:p>
    <w:p w14:paraId="499504C6" w14:textId="77777777" w:rsidR="00EF65F1" w:rsidRDefault="00EF65F1">
      <w:pPr>
        <w:spacing w:line="360" w:lineRule="auto"/>
        <w:contextualSpacing/>
        <w:jc w:val="both"/>
        <w:rPr>
          <w:rFonts w:ascii="Times New Roman" w:hAnsi="Times New Roman" w:cs="Times New Roman"/>
          <w:sz w:val="22"/>
          <w:szCs w:val="22"/>
        </w:rPr>
      </w:pPr>
    </w:p>
    <w:p w14:paraId="74E4EA68" w14:textId="77777777" w:rsidR="00EF65F1" w:rsidRDefault="00484A18">
      <w:pPr>
        <w:spacing w:after="0" w:line="360" w:lineRule="auto"/>
        <w:contextualSpacing/>
        <w:jc w:val="both"/>
        <w:rPr>
          <w:rFonts w:ascii="Times New Roman" w:hAnsi="Times New Roman" w:cs="Times New Roman"/>
          <w:sz w:val="22"/>
          <w:szCs w:val="22"/>
        </w:rPr>
      </w:pPr>
      <w:bookmarkStart w:id="59" w:name="_Hlk2675422"/>
      <w:r>
        <w:rPr>
          <w:rFonts w:ascii="Times New Roman" w:hAnsi="Times New Roman" w:cs="Times New Roman"/>
          <w:sz w:val="22"/>
          <w:szCs w:val="22"/>
        </w:rPr>
        <w:t xml:space="preserve">Ethical approval for all </w:t>
      </w:r>
      <w:r>
        <w:rPr>
          <w:rFonts w:ascii="Times New Roman" w:hAnsi="Times New Roman" w:cs="Times New Roman"/>
          <w:i/>
          <w:sz w:val="22"/>
          <w:szCs w:val="22"/>
        </w:rPr>
        <w:t xml:space="preserve">in vitro </w:t>
      </w:r>
      <w:r>
        <w:rPr>
          <w:rFonts w:ascii="Times New Roman" w:hAnsi="Times New Roman" w:cs="Times New Roman"/>
          <w:sz w:val="22"/>
          <w:szCs w:val="22"/>
        </w:rPr>
        <w:t xml:space="preserve">tests in this study was granted by the Animal Ethics Committee of University of Pretoria, Reference number ECO36-17. </w:t>
      </w:r>
    </w:p>
    <w:p w14:paraId="0D0186C1" w14:textId="77777777" w:rsidR="00EF65F1" w:rsidRDefault="00EF65F1">
      <w:pPr>
        <w:pStyle w:val="Heading1"/>
        <w:spacing w:before="0" w:line="360" w:lineRule="auto"/>
        <w:contextualSpacing/>
        <w:jc w:val="center"/>
        <w:rPr>
          <w:rFonts w:ascii="Arial" w:hAnsi="Arial" w:cs="Arial"/>
          <w:color w:val="auto"/>
          <w:sz w:val="24"/>
          <w:szCs w:val="24"/>
        </w:rPr>
        <w:sectPr w:rsidR="00EF65F1">
          <w:pgSz w:w="11906" w:h="16838" w:code="9"/>
          <w:pgMar w:top="1440" w:right="1440" w:bottom="1440" w:left="1440" w:header="567" w:footer="794" w:gutter="0"/>
          <w:pgNumType w:start="1"/>
          <w:cols w:space="708"/>
          <w:docGrid w:linePitch="360"/>
        </w:sectPr>
      </w:pPr>
      <w:bookmarkStart w:id="60" w:name="_Toc530486670"/>
      <w:bookmarkEnd w:id="59"/>
    </w:p>
    <w:p w14:paraId="0E9B4E0B" w14:textId="77777777" w:rsidR="00EF65F1" w:rsidRDefault="00484A18">
      <w:pPr>
        <w:pStyle w:val="Heading1"/>
        <w:spacing w:before="0" w:line="360" w:lineRule="auto"/>
        <w:ind w:left="142"/>
        <w:contextualSpacing/>
        <w:jc w:val="center"/>
        <w:rPr>
          <w:rFonts w:ascii="Times New Roman" w:hAnsi="Times New Roman" w:cs="Times New Roman"/>
          <w:b/>
          <w:color w:val="auto"/>
          <w:sz w:val="28"/>
          <w:szCs w:val="28"/>
        </w:rPr>
      </w:pPr>
      <w:bookmarkStart w:id="61" w:name="_Toc2691129"/>
      <w:r>
        <w:rPr>
          <w:rFonts w:ascii="Times New Roman" w:hAnsi="Times New Roman" w:cs="Times New Roman"/>
          <w:b/>
          <w:i/>
          <w:color w:val="auto"/>
          <w:sz w:val="28"/>
          <w:szCs w:val="28"/>
        </w:rPr>
        <w:lastRenderedPageBreak/>
        <w:t>In vitro</w:t>
      </w:r>
      <w:r>
        <w:rPr>
          <w:rFonts w:ascii="Times New Roman" w:hAnsi="Times New Roman" w:cs="Times New Roman"/>
          <w:b/>
          <w:color w:val="auto"/>
          <w:sz w:val="28"/>
          <w:szCs w:val="28"/>
        </w:rPr>
        <w:t xml:space="preserve"> rumen fermentation characteristics of </w:t>
      </w:r>
      <w:r>
        <w:rPr>
          <w:rFonts w:ascii="Times New Roman" w:hAnsi="Times New Roman" w:cs="Times New Roman"/>
          <w:b/>
          <w:i/>
          <w:color w:val="auto"/>
          <w:sz w:val="28"/>
          <w:szCs w:val="28"/>
        </w:rPr>
        <w:t>Eragrostis curvula</w:t>
      </w:r>
      <w:r>
        <w:rPr>
          <w:rFonts w:ascii="Times New Roman" w:hAnsi="Times New Roman" w:cs="Times New Roman"/>
          <w:b/>
          <w:color w:val="auto"/>
          <w:sz w:val="28"/>
          <w:szCs w:val="28"/>
        </w:rPr>
        <w:t xml:space="preserve"> hay supplemented with seven different plant extract additives tested at a recommended dose level</w:t>
      </w:r>
      <w:bookmarkEnd w:id="60"/>
      <w:bookmarkEnd w:id="61"/>
    </w:p>
    <w:p w14:paraId="770DAAC0" w14:textId="77777777" w:rsidR="00EF65F1" w:rsidRDefault="00EF65F1">
      <w:pPr>
        <w:spacing w:after="0" w:line="360" w:lineRule="auto"/>
        <w:ind w:firstLine="567"/>
        <w:contextualSpacing/>
        <w:rPr>
          <w:rFonts w:ascii="Times New Roman" w:hAnsi="Times New Roman" w:cs="Times New Roman"/>
          <w:sz w:val="22"/>
          <w:szCs w:val="22"/>
        </w:rPr>
      </w:pPr>
    </w:p>
    <w:p w14:paraId="625C6EC6"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62" w:name="_Toc2691130"/>
      <w:r>
        <w:rPr>
          <w:rFonts w:ascii="Times New Roman" w:hAnsi="Times New Roman" w:cs="Times New Roman"/>
          <w:b/>
          <w:color w:val="auto"/>
          <w:sz w:val="24"/>
          <w:szCs w:val="24"/>
        </w:rPr>
        <w:t>Abstract</w:t>
      </w:r>
      <w:bookmarkEnd w:id="62"/>
    </w:p>
    <w:p w14:paraId="0F1298D8" w14:textId="77777777" w:rsidR="00EF65F1" w:rsidRDefault="00EF65F1">
      <w:pPr>
        <w:spacing w:after="0" w:line="360" w:lineRule="auto"/>
        <w:ind w:firstLine="567"/>
        <w:contextualSpacing/>
        <w:jc w:val="both"/>
        <w:rPr>
          <w:rFonts w:ascii="Times New Roman" w:hAnsi="Times New Roman" w:cs="Times New Roman"/>
          <w:sz w:val="22"/>
          <w:szCs w:val="22"/>
        </w:rPr>
      </w:pPr>
    </w:p>
    <w:p w14:paraId="577E540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An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gas production study was conducted to evaluate the potential effect of extracts from seven South African plant species for their ability to modify rumen fermentation parameters when added at a recommended dose level of 50 mg/kg DM to </w:t>
      </w:r>
      <w:r>
        <w:rPr>
          <w:rFonts w:ascii="Times New Roman" w:hAnsi="Times New Roman" w:cs="Times New Roman"/>
          <w:i/>
          <w:sz w:val="22"/>
          <w:szCs w:val="22"/>
        </w:rPr>
        <w:t xml:space="preserve">Eragrostis curvula </w:t>
      </w:r>
      <w:r>
        <w:rPr>
          <w:rFonts w:ascii="Times New Roman" w:hAnsi="Times New Roman" w:cs="Times New Roman"/>
          <w:sz w:val="22"/>
          <w:szCs w:val="22"/>
        </w:rPr>
        <w:t>hay</w:t>
      </w:r>
      <w:r>
        <w:rPr>
          <w:rFonts w:ascii="Times New Roman" w:hAnsi="Times New Roman" w:cs="Times New Roman"/>
          <w:i/>
          <w:sz w:val="22"/>
          <w:szCs w:val="22"/>
        </w:rPr>
        <w:t xml:space="preserve">.  </w:t>
      </w:r>
      <w:r>
        <w:rPr>
          <w:rFonts w:ascii="Times New Roman" w:hAnsi="Times New Roman" w:cs="Times New Roman"/>
          <w:sz w:val="22"/>
          <w:szCs w:val="22"/>
        </w:rPr>
        <w:t xml:space="preserve">The species studied were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Plant extracts from </w:t>
      </w:r>
      <w:r>
        <w:rPr>
          <w:rFonts w:ascii="Times New Roman" w:hAnsi="Times New Roman" w:cs="Times New Roman"/>
          <w:i/>
          <w:sz w:val="22"/>
          <w:szCs w:val="22"/>
        </w:rPr>
        <w:t xml:space="preserve">Moringa oleifera </w:t>
      </w:r>
      <w:r>
        <w:rPr>
          <w:rFonts w:ascii="Times New Roman" w:hAnsi="Times New Roman" w:cs="Times New Roman"/>
          <w:sz w:val="22"/>
          <w:szCs w:val="22"/>
        </w:rPr>
        <w:t>were included as a positive control at a recommended dose level of 50 mg/kg DM due to its potential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Rumensin</w:t>
      </w:r>
      <w:r>
        <w:rPr>
          <w:rFonts w:ascii="Times New Roman" w:hAnsi="Times New Roman" w:cs="Times New Roman"/>
          <w:sz w:val="22"/>
          <w:szCs w:val="22"/>
          <w:vertAlign w:val="superscript"/>
        </w:rPr>
        <w:t xml:space="preserve">® </w:t>
      </w:r>
      <w:r>
        <w:rPr>
          <w:rFonts w:ascii="Times New Roman" w:hAnsi="Times New Roman" w:cs="Times New Roman"/>
          <w:sz w:val="22"/>
          <w:szCs w:val="22"/>
        </w:rPr>
        <w:t xml:space="preserve">20% (monensin) was evaluated as a positive control at 75 mg/kg DM.  A 4 mL solution of plant extract(s) was added to 400 mg of </w:t>
      </w:r>
      <w:r>
        <w:rPr>
          <w:rFonts w:ascii="Times New Roman" w:hAnsi="Times New Roman" w:cs="Times New Roman"/>
          <w:i/>
          <w:sz w:val="22"/>
          <w:szCs w:val="22"/>
        </w:rPr>
        <w:t xml:space="preserve">E. curvula </w:t>
      </w:r>
      <w:r>
        <w:rPr>
          <w:rFonts w:ascii="Times New Roman" w:hAnsi="Times New Roman" w:cs="Times New Roman"/>
          <w:sz w:val="22"/>
          <w:szCs w:val="22"/>
        </w:rPr>
        <w:t>hay and incubated with 40 mL of rumen buffered solution at 39°C for 48 hours.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and gas rumen fermentation characteristics were evaluated at 2, 4, 8, 12, 24 and 48 hours post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Plant extracts were also evaluated separately for their effect on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organic matter digestibility.  All plant extracts increased the volume and the rate of gas production with significant increases (P &lt; 0.05) occurring with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at 4 to 24 hours of incubation, </w:t>
      </w:r>
      <w:r>
        <w:rPr>
          <w:rFonts w:ascii="Times New Roman" w:hAnsi="Times New Roman" w:cs="Times New Roman"/>
          <w:i/>
          <w:sz w:val="22"/>
          <w:szCs w:val="22"/>
        </w:rPr>
        <w:t xml:space="preserve">C. erythrophyllum </w:t>
      </w:r>
      <w:r>
        <w:rPr>
          <w:rFonts w:ascii="Times New Roman" w:hAnsi="Times New Roman" w:cs="Times New Roman"/>
          <w:sz w:val="22"/>
          <w:szCs w:val="22"/>
        </w:rPr>
        <w:t>at 12 and 24 hours of incubation</w:t>
      </w:r>
      <w:r>
        <w:rPr>
          <w:rFonts w:ascii="Times New Roman" w:hAnsi="Times New Roman" w:cs="Times New Roman"/>
          <w:i/>
          <w:sz w:val="22"/>
          <w:szCs w:val="22"/>
        </w:rPr>
        <w:t xml:space="preserve"> </w:t>
      </w:r>
      <w:r>
        <w:rPr>
          <w:rFonts w:ascii="Times New Roman" w:hAnsi="Times New Roman" w:cs="Times New Roman"/>
          <w:sz w:val="22"/>
          <w:szCs w:val="22"/>
        </w:rPr>
        <w:t xml:space="preserve">and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at 24 hours of incubation compared to the negative control.  Therefore, plant extracts from the species </w:t>
      </w:r>
      <w:r>
        <w:rPr>
          <w:rFonts w:ascii="Times New Roman" w:hAnsi="Times New Roman" w:cs="Times New Roman"/>
          <w:i/>
          <w:sz w:val="22"/>
          <w:szCs w:val="22"/>
        </w:rPr>
        <w:t xml:space="preserve">C. erythrophyllum, S. chirindensis </w:t>
      </w:r>
      <w:r>
        <w:rPr>
          <w:rFonts w:ascii="Times New Roman" w:hAnsi="Times New Roman" w:cs="Times New Roman"/>
          <w:sz w:val="22"/>
          <w:szCs w:val="22"/>
        </w:rPr>
        <w:t xml:space="preserve">and </w:t>
      </w:r>
      <w:r>
        <w:rPr>
          <w:rFonts w:ascii="Times New Roman" w:hAnsi="Times New Roman" w:cs="Times New Roman"/>
          <w:i/>
          <w:sz w:val="22"/>
          <w:szCs w:val="22"/>
        </w:rPr>
        <w:t>H. lucida</w:t>
      </w:r>
      <w:r>
        <w:rPr>
          <w:rFonts w:ascii="Times New Roman" w:hAnsi="Times New Roman" w:cs="Times New Roman"/>
          <w:sz w:val="22"/>
          <w:szCs w:val="22"/>
        </w:rPr>
        <w:t xml:space="preserve"> at a dose level of 50 mg/kg DM have a notable effect on the rumen fermentation parameters tested and further testing of these plant extracts in the range of 50 mg/kg DM dose level is recommended. </w:t>
      </w:r>
    </w:p>
    <w:p w14:paraId="246BA921" w14:textId="77777777" w:rsidR="00EF65F1" w:rsidRDefault="00EF65F1">
      <w:pPr>
        <w:spacing w:after="0" w:line="360" w:lineRule="auto"/>
        <w:ind w:firstLine="567"/>
        <w:contextualSpacing/>
        <w:jc w:val="both"/>
        <w:rPr>
          <w:rFonts w:ascii="Times New Roman" w:hAnsi="Times New Roman" w:cs="Times New Roman"/>
          <w:sz w:val="22"/>
          <w:szCs w:val="22"/>
        </w:rPr>
      </w:pPr>
    </w:p>
    <w:p w14:paraId="51441D1F" w14:textId="77777777" w:rsidR="00EF65F1" w:rsidRDefault="00484A18">
      <w:pPr>
        <w:spacing w:after="0" w:line="360" w:lineRule="auto"/>
        <w:contextualSpacing/>
        <w:jc w:val="both"/>
        <w:rPr>
          <w:rFonts w:ascii="Times New Roman" w:hAnsi="Times New Roman" w:cs="Times New Roman"/>
          <w:sz w:val="22"/>
          <w:szCs w:val="22"/>
        </w:rPr>
      </w:pPr>
      <w:r w:rsidRPr="00364C97">
        <w:rPr>
          <w:rFonts w:ascii="Times New Roman" w:hAnsi="Times New Roman" w:cs="Times New Roman"/>
          <w:b/>
          <w:sz w:val="22"/>
          <w:szCs w:val="22"/>
        </w:rPr>
        <w:t>Keywords:</w:t>
      </w:r>
      <w:r>
        <w:rPr>
          <w:rFonts w:ascii="Times New Roman" w:hAnsi="Times New Roman" w:cs="Times New Roman"/>
          <w:b/>
          <w:sz w:val="22"/>
          <w:szCs w:val="22"/>
        </w:rPr>
        <w:t xml:space="preserve"> </w:t>
      </w:r>
      <w:r>
        <w:rPr>
          <w:rFonts w:ascii="Times New Roman" w:hAnsi="Times New Roman" w:cs="Times New Roman"/>
          <w:sz w:val="22"/>
          <w:szCs w:val="22"/>
        </w:rPr>
        <w:t xml:space="preserve">plant extract, rumen fermentation, </w:t>
      </w:r>
      <w:r>
        <w:rPr>
          <w:rFonts w:ascii="Times New Roman" w:hAnsi="Times New Roman" w:cs="Times New Roman"/>
          <w:i/>
          <w:sz w:val="22"/>
          <w:szCs w:val="22"/>
        </w:rPr>
        <w:t>in vitro</w:t>
      </w:r>
      <w:r>
        <w:rPr>
          <w:rFonts w:ascii="Times New Roman" w:hAnsi="Times New Roman" w:cs="Times New Roman"/>
          <w:sz w:val="22"/>
          <w:szCs w:val="22"/>
        </w:rPr>
        <w:t>, CH</w:t>
      </w:r>
      <w:r>
        <w:rPr>
          <w:rFonts w:ascii="Times New Roman" w:hAnsi="Times New Roman" w:cs="Times New Roman"/>
          <w:sz w:val="22"/>
          <w:szCs w:val="22"/>
          <w:vertAlign w:val="subscript"/>
        </w:rPr>
        <w:t>4</w:t>
      </w:r>
    </w:p>
    <w:p w14:paraId="3D1E08B3" w14:textId="77777777" w:rsidR="00EF65F1" w:rsidRDefault="00EF65F1">
      <w:pPr>
        <w:spacing w:after="0" w:line="360" w:lineRule="auto"/>
        <w:ind w:firstLine="567"/>
        <w:contextualSpacing/>
        <w:jc w:val="both"/>
        <w:rPr>
          <w:rFonts w:ascii="Times New Roman" w:hAnsi="Times New Roman" w:cs="Times New Roman"/>
          <w:sz w:val="22"/>
          <w:szCs w:val="22"/>
        </w:rPr>
      </w:pPr>
    </w:p>
    <w:p w14:paraId="44409E15"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63" w:name="_Toc2691131"/>
      <w:r>
        <w:rPr>
          <w:rFonts w:ascii="Times New Roman" w:hAnsi="Times New Roman" w:cs="Times New Roman"/>
          <w:b/>
          <w:color w:val="auto"/>
          <w:sz w:val="24"/>
          <w:szCs w:val="24"/>
        </w:rPr>
        <w:t>Introduction</w:t>
      </w:r>
      <w:bookmarkEnd w:id="63"/>
    </w:p>
    <w:p w14:paraId="7DFD6A69" w14:textId="77777777" w:rsidR="00EF65F1" w:rsidRDefault="00EF65F1">
      <w:pPr>
        <w:spacing w:after="0" w:line="360" w:lineRule="auto"/>
        <w:ind w:firstLine="567"/>
        <w:contextualSpacing/>
        <w:jc w:val="both"/>
        <w:rPr>
          <w:rFonts w:ascii="Times New Roman" w:hAnsi="Times New Roman" w:cs="Times New Roman"/>
          <w:sz w:val="22"/>
          <w:szCs w:val="22"/>
        </w:rPr>
      </w:pPr>
    </w:p>
    <w:p w14:paraId="7DE835B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identification of potential new feed additives for ruminants with the ability to improve the efficiency of rumen microbial fermentation can be achieved through the screening of plant material using </w:t>
      </w:r>
      <w:r>
        <w:rPr>
          <w:rFonts w:ascii="Times New Roman" w:hAnsi="Times New Roman" w:cs="Times New Roman"/>
          <w:i/>
          <w:sz w:val="22"/>
          <w:szCs w:val="22"/>
        </w:rPr>
        <w:t xml:space="preserve">in vitro </w:t>
      </w:r>
      <w:r>
        <w:rPr>
          <w:rFonts w:ascii="Times New Roman" w:hAnsi="Times New Roman" w:cs="Times New Roman"/>
          <w:sz w:val="22"/>
          <w:szCs w:val="22"/>
        </w:rPr>
        <w:t xml:space="preserve">gas production techniques in order to evaluate their effect on rumen fermentation characteristics (Busquet </w:t>
      </w:r>
      <w:r>
        <w:rPr>
          <w:rFonts w:ascii="Times New Roman" w:hAnsi="Times New Roman" w:cs="Times New Roman"/>
          <w:i/>
          <w:sz w:val="22"/>
          <w:szCs w:val="22"/>
        </w:rPr>
        <w:t>et al.</w:t>
      </w:r>
      <w:r>
        <w:rPr>
          <w:rFonts w:ascii="Times New Roman" w:hAnsi="Times New Roman" w:cs="Times New Roman"/>
          <w:sz w:val="22"/>
          <w:szCs w:val="22"/>
        </w:rPr>
        <w:t xml:space="preserve">, 2006; Soliva </w:t>
      </w:r>
      <w:r>
        <w:rPr>
          <w:rFonts w:ascii="Times New Roman" w:hAnsi="Times New Roman" w:cs="Times New Roman"/>
          <w:i/>
          <w:sz w:val="22"/>
          <w:szCs w:val="22"/>
        </w:rPr>
        <w:t>et al.</w:t>
      </w:r>
      <w:r>
        <w:rPr>
          <w:rFonts w:ascii="Times New Roman" w:hAnsi="Times New Roman" w:cs="Times New Roman"/>
          <w:sz w:val="22"/>
          <w:szCs w:val="22"/>
        </w:rPr>
        <w:t xml:space="preserve">, 2008).  The potential ability for a plant species to induce a change on rumen parameters will depend on the plants active principle’s concentration, nature and activity (Garcia-González </w:t>
      </w:r>
      <w:r>
        <w:rPr>
          <w:rFonts w:ascii="Times New Roman" w:hAnsi="Times New Roman" w:cs="Times New Roman"/>
          <w:i/>
          <w:sz w:val="22"/>
          <w:szCs w:val="22"/>
        </w:rPr>
        <w:t>et al.</w:t>
      </w:r>
      <w:r>
        <w:rPr>
          <w:rFonts w:ascii="Times New Roman" w:hAnsi="Times New Roman" w:cs="Times New Roman"/>
          <w:sz w:val="22"/>
          <w:szCs w:val="22"/>
        </w:rPr>
        <w:t>, 2008).</w:t>
      </w:r>
    </w:p>
    <w:p w14:paraId="50621CE0" w14:textId="77777777" w:rsidR="00EF65F1" w:rsidRDefault="00EF65F1">
      <w:pPr>
        <w:spacing w:after="0" w:line="360" w:lineRule="auto"/>
        <w:ind w:firstLine="567"/>
        <w:contextualSpacing/>
        <w:jc w:val="both"/>
        <w:rPr>
          <w:rFonts w:ascii="Times New Roman" w:hAnsi="Times New Roman" w:cs="Times New Roman"/>
          <w:sz w:val="22"/>
          <w:szCs w:val="22"/>
        </w:rPr>
      </w:pPr>
    </w:p>
    <w:p w14:paraId="5EFAA46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lastRenderedPageBreak/>
        <w:t xml:space="preserve">Tree leaves have been shown to contain substantial amounts of plant secondary compounds and are generally considered to be safe for animal consumption (Elghandour </w:t>
      </w:r>
      <w:r>
        <w:rPr>
          <w:rFonts w:ascii="Times New Roman" w:hAnsi="Times New Roman" w:cs="Times New Roman"/>
          <w:i/>
          <w:sz w:val="22"/>
          <w:szCs w:val="22"/>
        </w:rPr>
        <w:t>et al.</w:t>
      </w:r>
      <w:r>
        <w:rPr>
          <w:rFonts w:ascii="Times New Roman" w:hAnsi="Times New Roman" w:cs="Times New Roman"/>
          <w:sz w:val="22"/>
          <w:szCs w:val="22"/>
        </w:rPr>
        <w:t xml:space="preserve">, 2017).  Browsing of predominately tree leaves by cattle and sheep, to supplement the poor-quality grazing conditions, is a common practise in communal grazing areas in southern Africa.  By determining the effect of this plant material on rumen fermentation parameters may enhance strategies to improve production in these areas (Tefera </w:t>
      </w:r>
      <w:r>
        <w:rPr>
          <w:rFonts w:ascii="Times New Roman" w:hAnsi="Times New Roman" w:cs="Times New Roman"/>
          <w:i/>
          <w:sz w:val="22"/>
          <w:szCs w:val="22"/>
        </w:rPr>
        <w:t>et al.</w:t>
      </w:r>
      <w:r>
        <w:rPr>
          <w:rFonts w:ascii="Times New Roman" w:hAnsi="Times New Roman" w:cs="Times New Roman"/>
          <w:sz w:val="22"/>
          <w:szCs w:val="22"/>
        </w:rPr>
        <w:t xml:space="preserve">, 2008; Rojas-Downing </w:t>
      </w:r>
      <w:r>
        <w:rPr>
          <w:rFonts w:ascii="Times New Roman" w:hAnsi="Times New Roman" w:cs="Times New Roman"/>
          <w:i/>
          <w:sz w:val="22"/>
          <w:szCs w:val="22"/>
        </w:rPr>
        <w:t>et al.</w:t>
      </w:r>
      <w:r>
        <w:rPr>
          <w:rFonts w:ascii="Times New Roman" w:hAnsi="Times New Roman" w:cs="Times New Roman"/>
          <w:sz w:val="22"/>
          <w:szCs w:val="22"/>
        </w:rPr>
        <w:t xml:space="preserve">, 2017).  </w:t>
      </w:r>
    </w:p>
    <w:p w14:paraId="5081D3E4" w14:textId="77777777" w:rsidR="00EF65F1" w:rsidRDefault="00EF65F1">
      <w:pPr>
        <w:spacing w:after="0" w:line="360" w:lineRule="auto"/>
        <w:ind w:firstLine="567"/>
        <w:contextualSpacing/>
        <w:jc w:val="both"/>
        <w:rPr>
          <w:rFonts w:ascii="Times New Roman" w:hAnsi="Times New Roman" w:cs="Times New Roman"/>
          <w:sz w:val="22"/>
          <w:szCs w:val="22"/>
        </w:rPr>
      </w:pPr>
    </w:p>
    <w:p w14:paraId="1FAAAED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extracts from the tree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Halleria lucida</w:t>
      </w:r>
      <w:r>
        <w:rPr>
          <w:rFonts w:ascii="Times New Roman" w:hAnsi="Times New Roman" w:cs="Times New Roman"/>
          <w:sz w:val="22"/>
          <w:szCs w:val="22"/>
        </w:rPr>
        <w:t xml:space="preserve"> are known to contain bioactive secondary compounds in their leaves and have been characterised as medicinal plants by van Wyk </w:t>
      </w:r>
      <w:r>
        <w:rPr>
          <w:rFonts w:ascii="Times New Roman" w:hAnsi="Times New Roman" w:cs="Times New Roman"/>
          <w:i/>
          <w:sz w:val="22"/>
          <w:szCs w:val="22"/>
        </w:rPr>
        <w:t>et al</w:t>
      </w:r>
      <w:r>
        <w:rPr>
          <w:rFonts w:ascii="Times New Roman" w:hAnsi="Times New Roman" w:cs="Times New Roman"/>
          <w:sz w:val="22"/>
          <w:szCs w:val="22"/>
        </w:rPr>
        <w:t xml:space="preserve"> (2013).  Therefore, these species were specifically chosen for this study in order to evaluate their effect on </w:t>
      </w:r>
      <w:r>
        <w:rPr>
          <w:rFonts w:ascii="Times New Roman" w:hAnsi="Times New Roman" w:cs="Times New Roman"/>
          <w:i/>
          <w:sz w:val="22"/>
          <w:szCs w:val="22"/>
        </w:rPr>
        <w:t xml:space="preserve">in vitro </w:t>
      </w:r>
      <w:r>
        <w:rPr>
          <w:rFonts w:ascii="Times New Roman" w:hAnsi="Times New Roman" w:cs="Times New Roman"/>
          <w:sz w:val="22"/>
          <w:szCs w:val="22"/>
        </w:rPr>
        <w:t>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Additionally, only the leaf and stem fractions were collected to ensure a sustainable collection process (Mtunzi </w:t>
      </w:r>
      <w:r>
        <w:rPr>
          <w:rFonts w:ascii="Times New Roman" w:hAnsi="Times New Roman" w:cs="Times New Roman"/>
          <w:i/>
          <w:sz w:val="22"/>
          <w:szCs w:val="22"/>
        </w:rPr>
        <w:t>et al.</w:t>
      </w:r>
      <w:r>
        <w:rPr>
          <w:rFonts w:ascii="Times New Roman" w:hAnsi="Times New Roman" w:cs="Times New Roman"/>
          <w:sz w:val="22"/>
          <w:szCs w:val="22"/>
        </w:rPr>
        <w:t>, 2017).</w:t>
      </w:r>
    </w:p>
    <w:p w14:paraId="72014B5C" w14:textId="77777777" w:rsidR="00EF65F1" w:rsidRDefault="00EF65F1">
      <w:pPr>
        <w:spacing w:after="0" w:line="360" w:lineRule="auto"/>
        <w:ind w:firstLine="567"/>
        <w:contextualSpacing/>
        <w:jc w:val="both"/>
        <w:rPr>
          <w:rFonts w:ascii="Times New Roman" w:hAnsi="Times New Roman" w:cs="Times New Roman"/>
          <w:sz w:val="22"/>
          <w:szCs w:val="22"/>
        </w:rPr>
      </w:pPr>
    </w:p>
    <w:p w14:paraId="36B4F48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plant extracts in this study were tested at a dose level of 50 mg/kg DM, as recommended by Akanmu and Hassen (2018) who reported extracts from several plant species which had the ability to manipulate rumen conditions, improve feed digestibility and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at this dose level.  The inclusion of plant extracts from the species </w:t>
      </w:r>
      <w:r>
        <w:rPr>
          <w:rFonts w:ascii="Times New Roman" w:hAnsi="Times New Roman" w:cs="Times New Roman"/>
          <w:i/>
          <w:sz w:val="22"/>
          <w:szCs w:val="22"/>
        </w:rPr>
        <w:t xml:space="preserve">M. oleifera </w:t>
      </w:r>
      <w:r>
        <w:rPr>
          <w:rFonts w:ascii="Times New Roman" w:hAnsi="Times New Roman" w:cs="Times New Roman"/>
          <w:sz w:val="22"/>
          <w:szCs w:val="22"/>
        </w:rPr>
        <w:t>in this study was</w:t>
      </w:r>
      <w:r>
        <w:rPr>
          <w:rFonts w:ascii="Times New Roman" w:hAnsi="Times New Roman" w:cs="Times New Roman"/>
          <w:i/>
          <w:sz w:val="22"/>
          <w:szCs w:val="22"/>
        </w:rPr>
        <w:t xml:space="preserve"> </w:t>
      </w:r>
      <w:r>
        <w:rPr>
          <w:rFonts w:ascii="Times New Roman" w:hAnsi="Times New Roman" w:cs="Times New Roman"/>
          <w:sz w:val="22"/>
          <w:szCs w:val="22"/>
        </w:rPr>
        <w:t>due to its reported ability to reduce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emissions, improve</w:t>
      </w:r>
      <w:r>
        <w:rPr>
          <w:rFonts w:ascii="Times New Roman" w:hAnsi="Times New Roman" w:cs="Times New Roman"/>
          <w:i/>
          <w:sz w:val="22"/>
          <w:szCs w:val="22"/>
        </w:rPr>
        <w:t xml:space="preserve"> in vitro </w:t>
      </w:r>
      <w:r>
        <w:rPr>
          <w:rFonts w:ascii="Times New Roman" w:hAnsi="Times New Roman" w:cs="Times New Roman"/>
          <w:sz w:val="22"/>
          <w:szCs w:val="22"/>
        </w:rPr>
        <w:t xml:space="preserve">organic matter digestibility of the substrate, increase growth performance and health condition of sheep during </w:t>
      </w:r>
      <w:r>
        <w:rPr>
          <w:rFonts w:ascii="Times New Roman" w:hAnsi="Times New Roman" w:cs="Times New Roman"/>
          <w:i/>
          <w:sz w:val="22"/>
          <w:szCs w:val="22"/>
        </w:rPr>
        <w:t xml:space="preserve">in vivo </w:t>
      </w:r>
      <w:r>
        <w:rPr>
          <w:rFonts w:ascii="Times New Roman" w:hAnsi="Times New Roman" w:cs="Times New Roman"/>
          <w:sz w:val="22"/>
          <w:szCs w:val="22"/>
        </w:rPr>
        <w:t>studies (Akanmu &amp; Hassen, 2018).</w:t>
      </w:r>
    </w:p>
    <w:p w14:paraId="57165688" w14:textId="77777777" w:rsidR="00EF65F1" w:rsidRDefault="00EF65F1">
      <w:pPr>
        <w:spacing w:after="0" w:line="360" w:lineRule="auto"/>
        <w:ind w:firstLine="567"/>
        <w:contextualSpacing/>
        <w:jc w:val="both"/>
        <w:rPr>
          <w:rFonts w:ascii="Times New Roman" w:hAnsi="Times New Roman" w:cs="Times New Roman"/>
          <w:sz w:val="22"/>
          <w:szCs w:val="22"/>
        </w:rPr>
      </w:pPr>
    </w:p>
    <w:p w14:paraId="0F0277A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objective of this study was to evaluate the effects of plant extracts through </w:t>
      </w:r>
      <w:r>
        <w:rPr>
          <w:rFonts w:ascii="Times New Roman" w:hAnsi="Times New Roman" w:cs="Times New Roman"/>
          <w:i/>
          <w:sz w:val="22"/>
          <w:szCs w:val="22"/>
        </w:rPr>
        <w:t>in vitro</w:t>
      </w:r>
      <w:r>
        <w:rPr>
          <w:rFonts w:ascii="Times New Roman" w:hAnsi="Times New Roman" w:cs="Times New Roman"/>
          <w:sz w:val="22"/>
          <w:szCs w:val="22"/>
        </w:rPr>
        <w:t xml:space="preserve"> procedures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for their ability to manipulate the rumen fermentation parameters favourably: gas volume,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organic matter digestibility, at a dose level of 50 mg/kg DM compared to a negative control (</w:t>
      </w:r>
      <w:r>
        <w:rPr>
          <w:rFonts w:ascii="Times New Roman" w:hAnsi="Times New Roman" w:cs="Times New Roman"/>
          <w:i/>
          <w:sz w:val="22"/>
          <w:szCs w:val="22"/>
        </w:rPr>
        <w:t xml:space="preserve">E. curvula </w:t>
      </w:r>
      <w:r>
        <w:rPr>
          <w:rFonts w:ascii="Times New Roman" w:hAnsi="Times New Roman" w:cs="Times New Roman"/>
          <w:sz w:val="22"/>
          <w:szCs w:val="22"/>
        </w:rPr>
        <w:t>without any extract) and positive controls: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and </w:t>
      </w:r>
      <w:r>
        <w:rPr>
          <w:rFonts w:ascii="Times New Roman" w:hAnsi="Times New Roman" w:cs="Times New Roman"/>
          <w:i/>
          <w:sz w:val="22"/>
          <w:szCs w:val="22"/>
        </w:rPr>
        <w:t xml:space="preserve">M. oleifera </w:t>
      </w:r>
      <w:r>
        <w:rPr>
          <w:rFonts w:ascii="Times New Roman" w:hAnsi="Times New Roman" w:cs="Times New Roman"/>
          <w:sz w:val="22"/>
          <w:szCs w:val="22"/>
        </w:rPr>
        <w:t>extract.</w:t>
      </w:r>
    </w:p>
    <w:p w14:paraId="6CB5DA46" w14:textId="77777777" w:rsidR="00EF65F1" w:rsidRDefault="00EF65F1">
      <w:pPr>
        <w:spacing w:after="0" w:line="360" w:lineRule="auto"/>
        <w:ind w:firstLine="567"/>
        <w:contextualSpacing/>
        <w:jc w:val="both"/>
        <w:rPr>
          <w:rFonts w:ascii="Times New Roman" w:hAnsi="Times New Roman" w:cs="Times New Roman"/>
          <w:sz w:val="22"/>
          <w:szCs w:val="22"/>
        </w:rPr>
      </w:pPr>
    </w:p>
    <w:p w14:paraId="178392A3"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64" w:name="_Toc2691132"/>
      <w:r>
        <w:rPr>
          <w:rFonts w:ascii="Times New Roman" w:hAnsi="Times New Roman" w:cs="Times New Roman"/>
          <w:b/>
          <w:color w:val="auto"/>
          <w:sz w:val="24"/>
          <w:szCs w:val="24"/>
        </w:rPr>
        <w:t>Materials and Methods</w:t>
      </w:r>
      <w:bookmarkEnd w:id="64"/>
    </w:p>
    <w:p w14:paraId="2D9D3D93" w14:textId="77777777" w:rsidR="00EF65F1" w:rsidRDefault="00EF65F1">
      <w:pPr>
        <w:spacing w:after="0" w:line="360" w:lineRule="auto"/>
        <w:ind w:firstLine="567"/>
        <w:contextualSpacing/>
        <w:jc w:val="both"/>
        <w:rPr>
          <w:rFonts w:ascii="Times New Roman" w:hAnsi="Times New Roman" w:cs="Times New Roman"/>
          <w:sz w:val="22"/>
          <w:szCs w:val="22"/>
        </w:rPr>
      </w:pPr>
    </w:p>
    <w:p w14:paraId="044FF963"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65" w:name="_Hlk535591978"/>
      <w:r>
        <w:rPr>
          <w:rFonts w:ascii="Times New Roman" w:hAnsi="Times New Roman" w:cs="Times New Roman"/>
          <w:sz w:val="22"/>
          <w:szCs w:val="22"/>
        </w:rPr>
        <w:t>All laboratory analyses in this study were conducted at the UP Nutrilab (Department of Animal and Wildlife Sciences, University of Pretoria), Hatfield, Pretoria.</w:t>
      </w:r>
    </w:p>
    <w:bookmarkEnd w:id="65"/>
    <w:p w14:paraId="0B1EFB4C" w14:textId="77777777" w:rsidR="00EF65F1" w:rsidRDefault="00EF65F1">
      <w:pPr>
        <w:spacing w:after="0" w:line="360" w:lineRule="auto"/>
        <w:ind w:firstLine="567"/>
        <w:contextualSpacing/>
        <w:jc w:val="both"/>
        <w:rPr>
          <w:rFonts w:ascii="Times New Roman" w:hAnsi="Times New Roman" w:cs="Times New Roman"/>
          <w:sz w:val="22"/>
          <w:szCs w:val="22"/>
        </w:rPr>
      </w:pPr>
    </w:p>
    <w:p w14:paraId="3E9B4C28" w14:textId="77777777" w:rsidR="00EF65F1" w:rsidRDefault="00EF65F1">
      <w:pPr>
        <w:spacing w:after="0" w:line="360" w:lineRule="auto"/>
        <w:ind w:firstLine="567"/>
        <w:contextualSpacing/>
        <w:jc w:val="both"/>
        <w:rPr>
          <w:rFonts w:ascii="Times New Roman" w:hAnsi="Times New Roman" w:cs="Times New Roman"/>
          <w:sz w:val="22"/>
          <w:szCs w:val="22"/>
        </w:rPr>
      </w:pPr>
    </w:p>
    <w:p w14:paraId="66C56130" w14:textId="77777777" w:rsidR="00EF65F1" w:rsidRDefault="00EF65F1">
      <w:pPr>
        <w:spacing w:after="0" w:line="360" w:lineRule="auto"/>
        <w:ind w:firstLine="567"/>
        <w:contextualSpacing/>
        <w:jc w:val="both"/>
        <w:rPr>
          <w:rFonts w:ascii="Times New Roman" w:hAnsi="Times New Roman" w:cs="Times New Roman"/>
          <w:sz w:val="22"/>
          <w:szCs w:val="22"/>
        </w:rPr>
      </w:pPr>
    </w:p>
    <w:p w14:paraId="3D2E534B" w14:textId="77777777" w:rsidR="00EF65F1" w:rsidRDefault="00484A18">
      <w:pPr>
        <w:pStyle w:val="Heading3"/>
        <w:spacing w:before="0" w:line="360" w:lineRule="auto"/>
        <w:contextualSpacing/>
        <w:jc w:val="both"/>
        <w:rPr>
          <w:rFonts w:ascii="Times New Roman" w:hAnsi="Times New Roman" w:cs="Times New Roman"/>
          <w:color w:val="auto"/>
        </w:rPr>
      </w:pPr>
      <w:bookmarkStart w:id="66" w:name="_Hlk2675489"/>
      <w:bookmarkStart w:id="67" w:name="_Toc2691133"/>
      <w:r>
        <w:rPr>
          <w:rFonts w:ascii="Times New Roman" w:hAnsi="Times New Roman" w:cs="Times New Roman"/>
          <w:color w:val="auto"/>
        </w:rPr>
        <w:lastRenderedPageBreak/>
        <w:t xml:space="preserve">Chemical analyses of </w:t>
      </w:r>
      <w:r>
        <w:rPr>
          <w:rFonts w:ascii="Times New Roman" w:hAnsi="Times New Roman" w:cs="Times New Roman"/>
          <w:i/>
          <w:color w:val="auto"/>
        </w:rPr>
        <w:t>Eragrostis curvula</w:t>
      </w:r>
      <w:r>
        <w:rPr>
          <w:rFonts w:ascii="Times New Roman" w:hAnsi="Times New Roman" w:cs="Times New Roman"/>
          <w:color w:val="auto"/>
        </w:rPr>
        <w:t xml:space="preserve"> hay (test feed)</w:t>
      </w:r>
      <w:bookmarkEnd w:id="67"/>
    </w:p>
    <w:bookmarkEnd w:id="66"/>
    <w:p w14:paraId="353E2A74" w14:textId="77777777" w:rsidR="00EF65F1" w:rsidRDefault="00EF65F1">
      <w:pPr>
        <w:spacing w:after="0" w:line="360" w:lineRule="auto"/>
        <w:ind w:firstLine="567"/>
        <w:contextualSpacing/>
        <w:jc w:val="both"/>
        <w:rPr>
          <w:rFonts w:ascii="Times New Roman" w:hAnsi="Times New Roman" w:cs="Times New Roman"/>
          <w:sz w:val="22"/>
          <w:szCs w:val="22"/>
        </w:rPr>
      </w:pPr>
    </w:p>
    <w:p w14:paraId="2CEF858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 xml:space="preserve">Eragrostis curvula </w:t>
      </w:r>
      <w:r>
        <w:rPr>
          <w:rFonts w:ascii="Times New Roman" w:hAnsi="Times New Roman" w:cs="Times New Roman"/>
          <w:sz w:val="22"/>
          <w:szCs w:val="22"/>
        </w:rPr>
        <w:t>hay was collected and dried at 55°C for 48 hours in a forced-air oven.  Once dried, the hay was initially milled to pass through a 2mm sieve and thereafter through a 1mm sieve, using a Retsch SM 100 cutting mill (Retsch Haan, Germany).  The milled sample was stored at room temperature in an airtight container until analysed.</w:t>
      </w:r>
    </w:p>
    <w:p w14:paraId="7BE32ACA" w14:textId="77777777" w:rsidR="00EF65F1" w:rsidRDefault="00EF65F1">
      <w:pPr>
        <w:spacing w:after="0" w:line="360" w:lineRule="auto"/>
        <w:ind w:firstLine="567"/>
        <w:contextualSpacing/>
        <w:jc w:val="both"/>
        <w:rPr>
          <w:rFonts w:ascii="Times New Roman" w:hAnsi="Times New Roman" w:cs="Times New Roman"/>
          <w:sz w:val="22"/>
          <w:szCs w:val="22"/>
        </w:rPr>
      </w:pPr>
    </w:p>
    <w:p w14:paraId="54ED8CE7" w14:textId="77777777" w:rsidR="00EF65F1" w:rsidRDefault="00484A18">
      <w:pPr>
        <w:spacing w:after="0" w:line="360" w:lineRule="auto"/>
        <w:ind w:firstLine="567"/>
        <w:contextualSpacing/>
        <w:jc w:val="both"/>
        <w:rPr>
          <w:rFonts w:ascii="Times New Roman" w:hAnsi="Times New Roman" w:cs="Times New Roman"/>
          <w:b/>
          <w:sz w:val="22"/>
          <w:szCs w:val="22"/>
        </w:rPr>
      </w:pPr>
      <w:r>
        <w:rPr>
          <w:rFonts w:ascii="Times New Roman" w:hAnsi="Times New Roman" w:cs="Times New Roman"/>
          <w:sz w:val="22"/>
          <w:szCs w:val="22"/>
        </w:rPr>
        <w:t xml:space="preserve">The dry mater percentage (% DM)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was determined according to method 934.01 from AOAC (2000), whereby 2 g of hay was oven dried at 105° for 24 hours.  Method 942.05 from AOAC (2000) was used to determine the ash percentage in the sample by placing 2g of sample in a muffle furnace (Furnace L-1200, Labcon, South Africa) at 250°C for two hours, then increasing the temperature to 600°C for a further 4 hours.  The </w:t>
      </w:r>
      <w:bookmarkStart w:id="68" w:name="_Hlk2678497"/>
      <w:r>
        <w:rPr>
          <w:rFonts w:ascii="Times New Roman" w:hAnsi="Times New Roman" w:cs="Times New Roman"/>
          <w:sz w:val="22"/>
          <w:szCs w:val="22"/>
        </w:rPr>
        <w:t xml:space="preserve">Leco/ Dumas combustion method from 968.06 AOAC (2000) was used to determine the nitrogen content (%N) of the </w:t>
      </w:r>
      <w:r>
        <w:rPr>
          <w:rFonts w:ascii="Times New Roman" w:hAnsi="Times New Roman" w:cs="Times New Roman"/>
          <w:i/>
          <w:sz w:val="22"/>
          <w:szCs w:val="22"/>
        </w:rPr>
        <w:t xml:space="preserve">E. curvula </w:t>
      </w:r>
      <w:r>
        <w:rPr>
          <w:rFonts w:ascii="Times New Roman" w:hAnsi="Times New Roman" w:cs="Times New Roman"/>
          <w:sz w:val="22"/>
          <w:szCs w:val="22"/>
        </w:rPr>
        <w:t>hay (Leco TruMac N determinator, Leco Corporation, U.S.A).  Crude protein (CP) was calculated from</w:t>
      </w:r>
      <w:r>
        <w:rPr>
          <w:rFonts w:ascii="Times New Roman" w:hAnsi="Times New Roman" w:cs="Times New Roman"/>
          <w:color w:val="FF0000"/>
          <w:sz w:val="22"/>
          <w:szCs w:val="22"/>
        </w:rPr>
        <w:t xml:space="preserve"> </w:t>
      </w:r>
      <w:r>
        <w:rPr>
          <w:rFonts w:ascii="Times New Roman" w:hAnsi="Times New Roman" w:cs="Times New Roman"/>
          <w:sz w:val="22"/>
          <w:szCs w:val="22"/>
        </w:rPr>
        <w:t xml:space="preserve">the percentage N by multiplying N by 6.25.  The ether extract percentage (%EE) was determined using a Tecator solvent extraction system (Soxtec 2043, FOSS, Denmark) following the method 920.39 (AOAC, 2000).  The acid detergent fraction (ADF) and neutral detergent fraction (NDF) of the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was determined with a filter bag technique using method 5 (ANKOM, 2017a) and method 6 (ANKOM, 2017b) from ANKOM Technology, respectively, by means of the A200I Ankom fiber analyser.  The acid detergent lignin (ADL) content of </w:t>
      </w:r>
      <w:r>
        <w:rPr>
          <w:rFonts w:ascii="Times New Roman" w:hAnsi="Times New Roman" w:cs="Times New Roman"/>
          <w:i/>
          <w:sz w:val="22"/>
          <w:szCs w:val="22"/>
        </w:rPr>
        <w:t xml:space="preserve">E. curvula </w:t>
      </w:r>
      <w:r>
        <w:rPr>
          <w:rFonts w:ascii="Times New Roman" w:hAnsi="Times New Roman" w:cs="Times New Roman"/>
          <w:sz w:val="22"/>
          <w:szCs w:val="22"/>
        </w:rPr>
        <w:t>hay was determined by using method 9 from ANKOM Technology (ANKOM, 2017c) by means of a daisyˡˡ</w:t>
      </w:r>
      <w:r>
        <w:rPr>
          <w:rFonts w:ascii="Times New Roman" w:hAnsi="Times New Roman" w:cs="Times New Roman"/>
          <w:sz w:val="22"/>
          <w:szCs w:val="22"/>
          <w:vertAlign w:val="superscript"/>
        </w:rPr>
        <w:t xml:space="preserve">  </w:t>
      </w:r>
      <w:r>
        <w:rPr>
          <w:rFonts w:ascii="Times New Roman" w:hAnsi="Times New Roman" w:cs="Times New Roman"/>
          <w:sz w:val="22"/>
          <w:szCs w:val="22"/>
        </w:rPr>
        <w:t>incubator (D220 daisyˡˡ</w:t>
      </w:r>
      <w:r>
        <w:rPr>
          <w:rFonts w:ascii="Times New Roman" w:hAnsi="Times New Roman" w:cs="Times New Roman"/>
          <w:sz w:val="22"/>
          <w:szCs w:val="22"/>
          <w:vertAlign w:val="superscript"/>
        </w:rPr>
        <w:t xml:space="preserve">  </w:t>
      </w:r>
      <w:r>
        <w:rPr>
          <w:rFonts w:ascii="Times New Roman" w:hAnsi="Times New Roman" w:cs="Times New Roman"/>
          <w:sz w:val="22"/>
          <w:szCs w:val="22"/>
        </w:rPr>
        <w:t xml:space="preserve">incubator, Ankom technology, USA).  All samples were tested in duplicate for all analyses.  </w:t>
      </w:r>
      <w:bookmarkStart w:id="69" w:name="_Hlk536094386"/>
      <w:r>
        <w:rPr>
          <w:rFonts w:ascii="Times New Roman" w:hAnsi="Times New Roman" w:cs="Times New Roman"/>
          <w:sz w:val="22"/>
          <w:szCs w:val="22"/>
        </w:rPr>
        <w:t xml:space="preserve">The hemicellulose was calculated as the difference between NDF and ADF (Du Toit </w:t>
      </w:r>
      <w:r>
        <w:rPr>
          <w:rFonts w:ascii="Times New Roman" w:hAnsi="Times New Roman" w:cs="Times New Roman"/>
          <w:i/>
          <w:sz w:val="22"/>
          <w:szCs w:val="22"/>
        </w:rPr>
        <w:t>et al.</w:t>
      </w:r>
      <w:r>
        <w:rPr>
          <w:rFonts w:ascii="Times New Roman" w:hAnsi="Times New Roman" w:cs="Times New Roman"/>
          <w:sz w:val="22"/>
          <w:szCs w:val="22"/>
        </w:rPr>
        <w:t xml:space="preserve">, 2018) and cellulose component was calculated as ADF- ADL (Du Toit </w:t>
      </w:r>
      <w:r>
        <w:rPr>
          <w:rFonts w:ascii="Times New Roman" w:hAnsi="Times New Roman" w:cs="Times New Roman"/>
          <w:i/>
          <w:sz w:val="22"/>
          <w:szCs w:val="22"/>
        </w:rPr>
        <w:t>et al.</w:t>
      </w:r>
      <w:r>
        <w:rPr>
          <w:rFonts w:ascii="Times New Roman" w:hAnsi="Times New Roman" w:cs="Times New Roman"/>
          <w:sz w:val="22"/>
          <w:szCs w:val="22"/>
        </w:rPr>
        <w:t>, 2018).</w:t>
      </w:r>
    </w:p>
    <w:bookmarkEnd w:id="68"/>
    <w:bookmarkEnd w:id="69"/>
    <w:p w14:paraId="38436E22" w14:textId="77777777" w:rsidR="00EF65F1" w:rsidRDefault="00EF65F1">
      <w:pPr>
        <w:spacing w:line="360" w:lineRule="auto"/>
        <w:ind w:firstLine="567"/>
        <w:contextualSpacing/>
        <w:jc w:val="both"/>
        <w:rPr>
          <w:rFonts w:ascii="Times New Roman" w:hAnsi="Times New Roman" w:cs="Times New Roman"/>
          <w:b/>
          <w:sz w:val="22"/>
          <w:szCs w:val="22"/>
        </w:rPr>
      </w:pPr>
    </w:p>
    <w:p w14:paraId="0DE4DDA1"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70" w:name="_Hlk2675498"/>
      <w:bookmarkStart w:id="71" w:name="_Toc2691134"/>
      <w:r>
        <w:rPr>
          <w:rFonts w:ascii="Times New Roman" w:hAnsi="Times New Roman" w:cs="Times New Roman"/>
          <w:color w:val="auto"/>
        </w:rPr>
        <w:t>Collection and storage of plant material</w:t>
      </w:r>
      <w:bookmarkEnd w:id="71"/>
    </w:p>
    <w:bookmarkEnd w:id="70"/>
    <w:p w14:paraId="201723B6" w14:textId="77777777" w:rsidR="00EF65F1" w:rsidRDefault="00EF65F1">
      <w:pPr>
        <w:spacing w:after="0" w:line="360" w:lineRule="auto"/>
        <w:ind w:firstLine="567"/>
        <w:contextualSpacing/>
        <w:jc w:val="both"/>
        <w:rPr>
          <w:rFonts w:ascii="Times New Roman" w:hAnsi="Times New Roman" w:cs="Times New Roman"/>
          <w:sz w:val="22"/>
          <w:szCs w:val="22"/>
        </w:rPr>
      </w:pPr>
    </w:p>
    <w:p w14:paraId="32C1B5C4"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72" w:name="_Hlk536094490"/>
      <w:bookmarkStart w:id="73" w:name="_Hlk2675471"/>
      <w:r>
        <w:rPr>
          <w:rFonts w:ascii="Times New Roman" w:hAnsi="Times New Roman" w:cs="Times New Roman"/>
          <w:sz w:val="22"/>
          <w:szCs w:val="22"/>
        </w:rPr>
        <w:t xml:space="preserve">Approximately 5 kg of fresh plant material from seven plant species was collected during January- February 2017, during the rainy summer months.  Plant material from six of these species, </w:t>
      </w:r>
      <w:r>
        <w:rPr>
          <w:rFonts w:ascii="Times New Roman" w:hAnsi="Times New Roman" w:cs="Times New Roman"/>
          <w:i/>
          <w:sz w:val="22"/>
          <w:szCs w:val="22"/>
        </w:rPr>
        <w:t>Combretum erythrophyllum</w:t>
      </w:r>
      <w:r>
        <w:rPr>
          <w:rFonts w:ascii="Times New Roman" w:hAnsi="Times New Roman" w:cs="Times New Roman"/>
          <w:sz w:val="22"/>
          <w:szCs w:val="22"/>
        </w:rPr>
        <w:t xml:space="preserve">, </w:t>
      </w:r>
      <w:r>
        <w:rPr>
          <w:rFonts w:ascii="Times New Roman" w:hAnsi="Times New Roman" w:cs="Times New Roman"/>
          <w:i/>
          <w:sz w:val="22"/>
          <w:szCs w:val="22"/>
        </w:rPr>
        <w:t>Dodonaea viscosa</w:t>
      </w:r>
      <w:r>
        <w:rPr>
          <w:rFonts w:ascii="Times New Roman" w:hAnsi="Times New Roman" w:cs="Times New Roman"/>
          <w:sz w:val="22"/>
          <w:szCs w:val="22"/>
        </w:rPr>
        <w:t xml:space="preserve">, </w:t>
      </w:r>
      <w:r>
        <w:rPr>
          <w:rFonts w:ascii="Times New Roman" w:hAnsi="Times New Roman" w:cs="Times New Roman"/>
          <w:i/>
          <w:sz w:val="22"/>
          <w:szCs w:val="22"/>
        </w:rPr>
        <w:t xml:space="preserve">Heteropyxis natalensis,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 xml:space="preserve">was collected from the Walter Sisulu National Botanical Gardens situated in Roodepoort in the Gauteng Province, South Africa (26.0865°S, 27. 8448°E).  Identification of these plant species was performed with the help of Andrew Hankey, the specialist horticulturist for the gardens, and confirmed with the book Field Guide to Trees of Southern Africa (van Wyk &amp; van Wyk, 2009).  Plant material from the seventh species, </w:t>
      </w:r>
      <w:r>
        <w:rPr>
          <w:rFonts w:ascii="Times New Roman" w:hAnsi="Times New Roman" w:cs="Times New Roman"/>
          <w:i/>
          <w:sz w:val="22"/>
          <w:szCs w:val="22"/>
        </w:rPr>
        <w:t>Sclerocarya birrea</w:t>
      </w:r>
      <w:r>
        <w:rPr>
          <w:rFonts w:ascii="Times New Roman" w:hAnsi="Times New Roman" w:cs="Times New Roman"/>
          <w:sz w:val="22"/>
          <w:szCs w:val="22"/>
        </w:rPr>
        <w:t>,</w:t>
      </w:r>
      <w:r>
        <w:rPr>
          <w:rFonts w:ascii="Times New Roman" w:hAnsi="Times New Roman" w:cs="Times New Roman"/>
          <w:i/>
          <w:sz w:val="22"/>
          <w:szCs w:val="22"/>
        </w:rPr>
        <w:t xml:space="preserve"> </w:t>
      </w:r>
      <w:r>
        <w:rPr>
          <w:rFonts w:ascii="Times New Roman" w:hAnsi="Times New Roman" w:cs="Times New Roman"/>
          <w:sz w:val="22"/>
          <w:szCs w:val="22"/>
        </w:rPr>
        <w:t xml:space="preserve">was collected in the North West Province near the town of Hartebeespoort (25.720055°S, 27.814749°E) and identification was </w:t>
      </w:r>
      <w:r>
        <w:rPr>
          <w:rFonts w:ascii="Times New Roman" w:hAnsi="Times New Roman" w:cs="Times New Roman"/>
          <w:sz w:val="22"/>
          <w:szCs w:val="22"/>
        </w:rPr>
        <w:lastRenderedPageBreak/>
        <w:t xml:space="preserve">confirmed by using the Field Guide to Trees of Southern Africa (van Wyk &amp; van Wyk, 2009).   Plant material from each species was collected from a minimum of 5 representative trees, except for plant material from the species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where only 3 trees were used for collection due to limited availability.  The leaves and stems, with a diameter of less than 5 mm, were collected by hand and immediately stored in cooler boxes and transported to the University of Pretoria on the same day.  The plant material was stored in a -20°C freezer in the Department of Animal and Wildlife Sciences until further processing.  </w:t>
      </w:r>
      <w:bookmarkEnd w:id="73"/>
      <w:r>
        <w:rPr>
          <w:rFonts w:ascii="Times New Roman" w:hAnsi="Times New Roman" w:cs="Times New Roman"/>
          <w:sz w:val="22"/>
          <w:szCs w:val="22"/>
        </w:rPr>
        <w:t xml:space="preserve">Photos of dried plant material from the seven species used in this study are shown in figures 2.1 to 2.7.  </w:t>
      </w:r>
    </w:p>
    <w:bookmarkEnd w:id="72"/>
    <w:p w14:paraId="4C66DFF7" w14:textId="77777777" w:rsidR="00EF65F1" w:rsidRDefault="00EF65F1">
      <w:pPr>
        <w:keepNext/>
        <w:spacing w:after="0" w:line="360" w:lineRule="auto"/>
        <w:ind w:firstLine="567"/>
        <w:contextualSpacing/>
        <w:jc w:val="both"/>
        <w:rPr>
          <w:rFonts w:ascii="Times New Roman" w:hAnsi="Times New Roman" w:cs="Times New Roman"/>
          <w:sz w:val="22"/>
          <w:szCs w:val="22"/>
        </w:rPr>
      </w:pPr>
    </w:p>
    <w:p w14:paraId="21AAF6AD" w14:textId="77777777" w:rsidR="00EF65F1" w:rsidRDefault="00EF65F1">
      <w:pPr>
        <w:keepNext/>
        <w:spacing w:after="0" w:line="360" w:lineRule="auto"/>
        <w:ind w:firstLine="567"/>
        <w:contextualSpacing/>
        <w:jc w:val="both"/>
        <w:rPr>
          <w:rFonts w:ascii="Times New Roman" w:hAnsi="Times New Roman" w:cs="Times New Roman"/>
          <w:sz w:val="22"/>
          <w:szCs w:val="22"/>
        </w:rPr>
        <w:sectPr w:rsidR="00EF65F1">
          <w:pgSz w:w="11906" w:h="16838"/>
          <w:pgMar w:top="1440" w:right="1440" w:bottom="1440" w:left="1440" w:header="708" w:footer="708" w:gutter="0"/>
          <w:cols w:space="708"/>
          <w:docGrid w:linePitch="360"/>
        </w:sectPr>
      </w:pPr>
    </w:p>
    <w:p w14:paraId="36C60C90" w14:textId="77777777" w:rsidR="00EF65F1" w:rsidRDefault="00EF65F1">
      <w:pPr>
        <w:keepNext/>
        <w:spacing w:after="0" w:line="360" w:lineRule="auto"/>
        <w:ind w:firstLine="567"/>
        <w:contextualSpacing/>
        <w:jc w:val="center"/>
        <w:rPr>
          <w:rFonts w:ascii="Times New Roman" w:hAnsi="Times New Roman" w:cs="Times New Roman"/>
          <w:sz w:val="22"/>
          <w:szCs w:val="22"/>
        </w:rPr>
        <w:sectPr w:rsidR="00EF65F1">
          <w:type w:val="continuous"/>
          <w:pgSz w:w="11906" w:h="16838"/>
          <w:pgMar w:top="1440" w:right="1440" w:bottom="1440" w:left="1440" w:header="708" w:footer="708" w:gutter="0"/>
          <w:cols w:space="708"/>
          <w:docGrid w:linePitch="360"/>
        </w:sectPr>
      </w:pPr>
    </w:p>
    <w:p w14:paraId="66DCAF40"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drawing>
          <wp:inline distT="0" distB="0" distL="0" distR="0" wp14:anchorId="3FACAC81" wp14:editId="5E62A5E8">
            <wp:extent cx="2520000" cy="2880000"/>
            <wp:effectExtent l="0" t="0" r="0" b="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River Bushwillow Dry.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3B3C1A45" w14:textId="77777777" w:rsidR="00364C97" w:rsidRDefault="00364C97">
      <w:pPr>
        <w:keepNext/>
        <w:spacing w:after="0" w:line="360" w:lineRule="auto"/>
        <w:contextualSpacing/>
        <w:jc w:val="center"/>
        <w:rPr>
          <w:rFonts w:ascii="Times New Roman" w:hAnsi="Times New Roman" w:cs="Times New Roman"/>
          <w:sz w:val="22"/>
          <w:szCs w:val="22"/>
        </w:rPr>
      </w:pPr>
    </w:p>
    <w:p w14:paraId="0BC891C0" w14:textId="3F143539" w:rsidR="00EF65F1" w:rsidRDefault="00484A18">
      <w:pPr>
        <w:pStyle w:val="Caption"/>
        <w:spacing w:after="0" w:line="360" w:lineRule="auto"/>
        <w:contextualSpacing/>
        <w:jc w:val="center"/>
        <w:rPr>
          <w:rFonts w:ascii="Times New Roman" w:hAnsi="Times New Roman" w:cs="Times New Roman"/>
          <w:i w:val="0"/>
          <w:color w:val="auto"/>
          <w:sz w:val="24"/>
          <w:szCs w:val="24"/>
        </w:rPr>
      </w:pPr>
      <w:bookmarkStart w:id="74" w:name="_Toc2349031"/>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 xml:space="preserve">Combretum erythrophyllum </w:t>
      </w:r>
      <w:r>
        <w:rPr>
          <w:rFonts w:ascii="Times New Roman" w:hAnsi="Times New Roman" w:cs="Times New Roman"/>
          <w:i w:val="0"/>
          <w:color w:val="auto"/>
          <w:sz w:val="24"/>
          <w:szCs w:val="24"/>
        </w:rPr>
        <w:t>(river bushwillow)</w:t>
      </w:r>
      <w:bookmarkEnd w:id="74"/>
    </w:p>
    <w:p w14:paraId="288C2D92"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drawing>
          <wp:inline distT="0" distB="0" distL="0" distR="0" wp14:anchorId="09839558" wp14:editId="1804FF34">
            <wp:extent cx="2520000" cy="2880000"/>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Lavender Tree Dry.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24BD0412" w14:textId="77777777" w:rsidR="00364C97" w:rsidRDefault="00364C97">
      <w:pPr>
        <w:keepNext/>
        <w:spacing w:after="0" w:line="360" w:lineRule="auto"/>
        <w:contextualSpacing/>
        <w:jc w:val="center"/>
        <w:rPr>
          <w:rFonts w:ascii="Times New Roman" w:hAnsi="Times New Roman" w:cs="Times New Roman"/>
          <w:sz w:val="22"/>
          <w:szCs w:val="22"/>
        </w:rPr>
      </w:pPr>
    </w:p>
    <w:p w14:paraId="0251EBB4" w14:textId="64ACAAFF" w:rsidR="00EF65F1" w:rsidRDefault="00484A18">
      <w:pPr>
        <w:pStyle w:val="Caption"/>
        <w:spacing w:after="0" w:line="360" w:lineRule="auto"/>
        <w:contextualSpacing/>
        <w:jc w:val="center"/>
        <w:rPr>
          <w:rFonts w:ascii="Times New Roman" w:hAnsi="Times New Roman" w:cs="Times New Roman"/>
          <w:i w:val="0"/>
          <w:noProof/>
          <w:color w:val="auto"/>
          <w:sz w:val="24"/>
          <w:szCs w:val="24"/>
        </w:rPr>
        <w:sectPr w:rsidR="00EF65F1">
          <w:type w:val="continuous"/>
          <w:pgSz w:w="11906" w:h="16838"/>
          <w:pgMar w:top="1440" w:right="1440" w:bottom="1440" w:left="1440" w:header="708" w:footer="708" w:gutter="0"/>
          <w:cols w:num="2" w:space="708"/>
          <w:docGrid w:linePitch="360"/>
        </w:sectPr>
      </w:pPr>
      <w:bookmarkStart w:id="75" w:name="_Toc530512577"/>
      <w:bookmarkStart w:id="76" w:name="_Toc2349032"/>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Heteropyxis natalensis</w:t>
      </w:r>
      <w:bookmarkEnd w:id="75"/>
      <w:r>
        <w:rPr>
          <w:rFonts w:ascii="Times New Roman" w:hAnsi="Times New Roman" w:cs="Times New Roman"/>
          <w:color w:val="auto"/>
          <w:sz w:val="24"/>
          <w:szCs w:val="24"/>
        </w:rPr>
        <w:t xml:space="preserve"> </w:t>
      </w:r>
      <w:r>
        <w:rPr>
          <w:rFonts w:ascii="Times New Roman" w:hAnsi="Times New Roman" w:cs="Times New Roman"/>
          <w:i w:val="0"/>
          <w:color w:val="auto"/>
          <w:sz w:val="24"/>
          <w:szCs w:val="24"/>
        </w:rPr>
        <w:t>(lavender tree)</w:t>
      </w:r>
      <w:bookmarkEnd w:id="76"/>
    </w:p>
    <w:p w14:paraId="1BCBFE9B" w14:textId="77777777" w:rsidR="00EF65F1" w:rsidRDefault="00EF65F1">
      <w:pPr>
        <w:spacing w:after="0" w:line="360" w:lineRule="auto"/>
        <w:ind w:firstLine="567"/>
        <w:contextualSpacing/>
        <w:rPr>
          <w:rFonts w:ascii="Times New Roman" w:hAnsi="Times New Roman" w:cs="Times New Roman"/>
          <w:sz w:val="22"/>
          <w:szCs w:val="22"/>
          <w:lang w:val="en-GB"/>
        </w:rPr>
      </w:pPr>
    </w:p>
    <w:p w14:paraId="7BF34C36" w14:textId="77777777" w:rsidR="00EF65F1" w:rsidRDefault="00EF65F1">
      <w:pPr>
        <w:spacing w:after="0" w:line="360" w:lineRule="auto"/>
        <w:ind w:firstLine="567"/>
        <w:contextualSpacing/>
        <w:rPr>
          <w:rFonts w:ascii="Times New Roman" w:hAnsi="Times New Roman" w:cs="Times New Roman"/>
          <w:i/>
          <w:noProof/>
          <w:sz w:val="22"/>
          <w:szCs w:val="22"/>
        </w:rPr>
      </w:pPr>
    </w:p>
    <w:p w14:paraId="3FBFA489" w14:textId="77777777" w:rsidR="00EF65F1" w:rsidRDefault="00EF65F1">
      <w:pPr>
        <w:keepNext/>
        <w:spacing w:after="0" w:line="360" w:lineRule="auto"/>
        <w:ind w:firstLine="567"/>
        <w:contextualSpacing/>
        <w:rPr>
          <w:rFonts w:ascii="Times New Roman" w:hAnsi="Times New Roman" w:cs="Times New Roman"/>
          <w:sz w:val="22"/>
          <w:szCs w:val="22"/>
        </w:rPr>
      </w:pPr>
    </w:p>
    <w:p w14:paraId="3617EB6B" w14:textId="77777777" w:rsidR="00EF65F1" w:rsidRDefault="00EF65F1">
      <w:pPr>
        <w:keepNext/>
        <w:spacing w:after="0" w:line="360" w:lineRule="auto"/>
        <w:ind w:firstLine="567"/>
        <w:contextualSpacing/>
        <w:rPr>
          <w:rFonts w:ascii="Times New Roman" w:hAnsi="Times New Roman" w:cs="Times New Roman"/>
          <w:sz w:val="22"/>
          <w:szCs w:val="22"/>
        </w:rPr>
        <w:sectPr w:rsidR="00EF65F1">
          <w:type w:val="continuous"/>
          <w:pgSz w:w="11906" w:h="16838"/>
          <w:pgMar w:top="1440" w:right="1440" w:bottom="1440" w:left="1440" w:header="708" w:footer="708" w:gutter="0"/>
          <w:cols w:space="708"/>
          <w:docGrid w:linePitch="360"/>
        </w:sectPr>
      </w:pPr>
    </w:p>
    <w:p w14:paraId="4EAF44EE"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lastRenderedPageBreak/>
        <w:drawing>
          <wp:inline distT="0" distB="0" distL="0" distR="0" wp14:anchorId="12BF2424" wp14:editId="49DA4009">
            <wp:extent cx="2520000" cy="2880000"/>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Sand Olive Dry.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34F44F3B" w14:textId="77777777" w:rsidR="00EF65F1" w:rsidRDefault="00EF65F1">
      <w:pPr>
        <w:keepNext/>
        <w:spacing w:after="0" w:line="360" w:lineRule="auto"/>
        <w:contextualSpacing/>
        <w:jc w:val="center"/>
        <w:rPr>
          <w:rFonts w:ascii="Times New Roman" w:hAnsi="Times New Roman" w:cs="Times New Roman"/>
          <w:sz w:val="22"/>
          <w:szCs w:val="22"/>
        </w:rPr>
      </w:pPr>
    </w:p>
    <w:p w14:paraId="1B904C13" w14:textId="7297114F" w:rsidR="00EF65F1" w:rsidRDefault="00484A18">
      <w:pPr>
        <w:pStyle w:val="Caption"/>
        <w:spacing w:after="0" w:line="360" w:lineRule="auto"/>
        <w:contextualSpacing/>
        <w:jc w:val="center"/>
        <w:rPr>
          <w:rFonts w:ascii="Times New Roman" w:hAnsi="Times New Roman" w:cs="Times New Roman"/>
          <w:i w:val="0"/>
          <w:color w:val="auto"/>
          <w:sz w:val="24"/>
          <w:szCs w:val="24"/>
        </w:rPr>
      </w:pPr>
      <w:bookmarkStart w:id="77" w:name="_Toc530512578"/>
      <w:bookmarkStart w:id="78" w:name="_Toc2349033"/>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Dodonaea viscosa</w:t>
      </w:r>
      <w:bookmarkEnd w:id="77"/>
      <w:r>
        <w:rPr>
          <w:rFonts w:ascii="Times New Roman" w:hAnsi="Times New Roman" w:cs="Times New Roman"/>
          <w:color w:val="auto"/>
          <w:sz w:val="24"/>
          <w:szCs w:val="24"/>
        </w:rPr>
        <w:t xml:space="preserve"> </w:t>
      </w:r>
      <w:r>
        <w:rPr>
          <w:rFonts w:ascii="Times New Roman" w:hAnsi="Times New Roman" w:cs="Times New Roman"/>
          <w:i w:val="0"/>
          <w:color w:val="auto"/>
          <w:sz w:val="24"/>
          <w:szCs w:val="24"/>
        </w:rPr>
        <w:t>(sand olive)</w:t>
      </w:r>
      <w:bookmarkEnd w:id="78"/>
    </w:p>
    <w:p w14:paraId="09C32CE1"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drawing>
          <wp:inline distT="0" distB="0" distL="0" distR="0" wp14:anchorId="54D773A2" wp14:editId="687BE9F0">
            <wp:extent cx="2520000" cy="2880000"/>
            <wp:effectExtent l="0" t="0" r="0" b="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Red Currant Dry.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1F9D5B27" w14:textId="77777777" w:rsidR="00EF65F1" w:rsidRDefault="00EF65F1">
      <w:pPr>
        <w:keepNext/>
        <w:spacing w:after="0" w:line="360" w:lineRule="auto"/>
        <w:contextualSpacing/>
        <w:jc w:val="center"/>
        <w:rPr>
          <w:rFonts w:ascii="Times New Roman" w:hAnsi="Times New Roman" w:cs="Times New Roman"/>
          <w:sz w:val="22"/>
          <w:szCs w:val="22"/>
        </w:rPr>
      </w:pPr>
    </w:p>
    <w:p w14:paraId="72BEAF79" w14:textId="67CA09D9" w:rsidR="00EF65F1" w:rsidRDefault="00484A18">
      <w:pPr>
        <w:pStyle w:val="Caption"/>
        <w:spacing w:after="0" w:line="360" w:lineRule="auto"/>
        <w:contextualSpacing/>
        <w:jc w:val="center"/>
        <w:rPr>
          <w:rFonts w:ascii="Times New Roman" w:hAnsi="Times New Roman" w:cs="Times New Roman"/>
          <w:i w:val="0"/>
          <w:noProof/>
          <w:color w:val="auto"/>
          <w:sz w:val="24"/>
          <w:szCs w:val="24"/>
        </w:rPr>
      </w:pPr>
      <w:bookmarkStart w:id="79" w:name="_Toc530512580"/>
      <w:bookmarkStart w:id="80" w:name="_Toc2349034"/>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4</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noProof/>
          <w:color w:val="auto"/>
          <w:sz w:val="24"/>
          <w:szCs w:val="24"/>
        </w:rPr>
        <w:t>Searsia chirindensis</w:t>
      </w:r>
      <w:bookmarkEnd w:id="79"/>
      <w:r>
        <w:rPr>
          <w:rFonts w:ascii="Times New Roman" w:hAnsi="Times New Roman" w:cs="Times New Roman"/>
          <w:noProof/>
          <w:color w:val="auto"/>
          <w:sz w:val="24"/>
          <w:szCs w:val="24"/>
        </w:rPr>
        <w:t xml:space="preserve"> </w:t>
      </w:r>
      <w:r>
        <w:rPr>
          <w:rFonts w:ascii="Times New Roman" w:hAnsi="Times New Roman" w:cs="Times New Roman"/>
          <w:i w:val="0"/>
          <w:noProof/>
          <w:color w:val="auto"/>
          <w:sz w:val="24"/>
          <w:szCs w:val="24"/>
        </w:rPr>
        <w:t>(red current)</w:t>
      </w:r>
      <w:bookmarkEnd w:id="80"/>
    </w:p>
    <w:p w14:paraId="185E99AA" w14:textId="77777777" w:rsidR="00EF65F1" w:rsidRDefault="00EF65F1">
      <w:pPr>
        <w:keepNext/>
        <w:spacing w:after="0" w:line="360" w:lineRule="auto"/>
        <w:ind w:firstLine="567"/>
        <w:contextualSpacing/>
        <w:jc w:val="center"/>
        <w:rPr>
          <w:rFonts w:ascii="Times New Roman" w:hAnsi="Times New Roman" w:cs="Times New Roman"/>
          <w:sz w:val="22"/>
          <w:szCs w:val="22"/>
        </w:rPr>
      </w:pPr>
    </w:p>
    <w:p w14:paraId="0039C708" w14:textId="77777777" w:rsidR="00EF65F1" w:rsidRDefault="00EF65F1">
      <w:pPr>
        <w:keepNext/>
        <w:spacing w:after="0" w:line="360" w:lineRule="auto"/>
        <w:ind w:firstLine="567"/>
        <w:contextualSpacing/>
        <w:jc w:val="center"/>
        <w:rPr>
          <w:rFonts w:ascii="Times New Roman" w:hAnsi="Times New Roman" w:cs="Times New Roman"/>
          <w:sz w:val="22"/>
          <w:szCs w:val="22"/>
        </w:rPr>
        <w:sectPr w:rsidR="00EF65F1">
          <w:type w:val="continuous"/>
          <w:pgSz w:w="11906" w:h="16838"/>
          <w:pgMar w:top="1440" w:right="1440" w:bottom="1440" w:left="1440" w:header="708" w:footer="708" w:gutter="0"/>
          <w:cols w:num="2" w:space="708"/>
          <w:docGrid w:linePitch="360"/>
        </w:sectPr>
      </w:pPr>
    </w:p>
    <w:p w14:paraId="43954131"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drawing>
          <wp:inline distT="0" distB="0" distL="0" distR="0" wp14:anchorId="74CA7F17" wp14:editId="177A8C92">
            <wp:extent cx="2520000" cy="2880000"/>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Marula Tree.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4FF2D2FD" w14:textId="77777777" w:rsidR="00EF65F1" w:rsidRDefault="00EF65F1">
      <w:pPr>
        <w:keepNext/>
        <w:spacing w:after="0" w:line="360" w:lineRule="auto"/>
        <w:contextualSpacing/>
        <w:jc w:val="center"/>
        <w:rPr>
          <w:rFonts w:ascii="Times New Roman" w:hAnsi="Times New Roman" w:cs="Times New Roman"/>
          <w:sz w:val="22"/>
          <w:szCs w:val="22"/>
        </w:rPr>
      </w:pPr>
    </w:p>
    <w:p w14:paraId="31950223" w14:textId="5BBF4CFD" w:rsidR="00EF65F1" w:rsidRDefault="00484A18">
      <w:pPr>
        <w:pStyle w:val="Caption"/>
        <w:spacing w:after="0" w:line="360" w:lineRule="auto"/>
        <w:contextualSpacing/>
        <w:jc w:val="center"/>
        <w:rPr>
          <w:rFonts w:ascii="Times New Roman" w:hAnsi="Times New Roman" w:cs="Times New Roman"/>
          <w:i w:val="0"/>
          <w:color w:val="auto"/>
          <w:sz w:val="24"/>
          <w:szCs w:val="24"/>
        </w:rPr>
      </w:pPr>
      <w:bookmarkStart w:id="81" w:name="_Toc530512579"/>
      <w:bookmarkStart w:id="82" w:name="_Toc2349035"/>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5</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Sclerocarya birrea</w:t>
      </w:r>
      <w:bookmarkEnd w:id="81"/>
      <w:r>
        <w:rPr>
          <w:rFonts w:ascii="Times New Roman" w:hAnsi="Times New Roman" w:cs="Times New Roman"/>
          <w:color w:val="auto"/>
          <w:sz w:val="24"/>
          <w:szCs w:val="24"/>
        </w:rPr>
        <w:t xml:space="preserve"> </w:t>
      </w:r>
      <w:r>
        <w:rPr>
          <w:rFonts w:ascii="Times New Roman" w:hAnsi="Times New Roman" w:cs="Times New Roman"/>
          <w:i w:val="0"/>
          <w:color w:val="auto"/>
          <w:sz w:val="24"/>
          <w:szCs w:val="24"/>
        </w:rPr>
        <w:t>(marula tree)</w:t>
      </w:r>
      <w:bookmarkEnd w:id="82"/>
    </w:p>
    <w:p w14:paraId="3C7FC478"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i/>
          <w:noProof/>
          <w:sz w:val="22"/>
          <w:szCs w:val="22"/>
          <w:lang w:eastAsia="en-ZA"/>
        </w:rPr>
        <w:drawing>
          <wp:inline distT="0" distB="0" distL="0" distR="0" wp14:anchorId="536F7037" wp14:editId="7530CA24">
            <wp:extent cx="2520000" cy="2880000"/>
            <wp:effectExtent l="0" t="0" r="0" b="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Corral Tree Dry.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0CA0FB93" w14:textId="77777777" w:rsidR="00EF65F1" w:rsidRDefault="00EF65F1">
      <w:pPr>
        <w:keepNext/>
        <w:spacing w:after="0" w:line="360" w:lineRule="auto"/>
        <w:contextualSpacing/>
        <w:jc w:val="center"/>
        <w:rPr>
          <w:rFonts w:ascii="Times New Roman" w:hAnsi="Times New Roman" w:cs="Times New Roman"/>
          <w:sz w:val="22"/>
          <w:szCs w:val="22"/>
        </w:rPr>
      </w:pPr>
    </w:p>
    <w:p w14:paraId="16DFF0ED" w14:textId="5AA9903A" w:rsidR="00EF65F1" w:rsidRDefault="00484A18">
      <w:pPr>
        <w:pStyle w:val="Caption"/>
        <w:spacing w:after="0" w:line="360" w:lineRule="auto"/>
        <w:contextualSpacing/>
        <w:jc w:val="center"/>
        <w:rPr>
          <w:rFonts w:ascii="Times New Roman" w:hAnsi="Times New Roman" w:cs="Times New Roman"/>
          <w:i w:val="0"/>
          <w:noProof/>
          <w:color w:val="auto"/>
          <w:sz w:val="24"/>
          <w:szCs w:val="24"/>
        </w:rPr>
        <w:sectPr w:rsidR="00EF65F1">
          <w:type w:val="continuous"/>
          <w:pgSz w:w="11906" w:h="16838"/>
          <w:pgMar w:top="1440" w:right="1440" w:bottom="1440" w:left="1440" w:header="708" w:footer="708" w:gutter="0"/>
          <w:cols w:num="2" w:space="708"/>
          <w:docGrid w:linePitch="360"/>
        </w:sectPr>
      </w:pPr>
      <w:bookmarkStart w:id="83" w:name="_Toc530512581"/>
      <w:bookmarkStart w:id="84" w:name="_Toc2349036"/>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6</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Erythrina lysistemon</w:t>
      </w:r>
      <w:bookmarkEnd w:id="83"/>
      <w:r>
        <w:rPr>
          <w:rFonts w:ascii="Times New Roman" w:hAnsi="Times New Roman" w:cs="Times New Roman"/>
          <w:color w:val="auto"/>
          <w:sz w:val="24"/>
          <w:szCs w:val="24"/>
        </w:rPr>
        <w:t xml:space="preserve"> </w:t>
      </w:r>
      <w:r>
        <w:rPr>
          <w:rFonts w:ascii="Times New Roman" w:hAnsi="Times New Roman" w:cs="Times New Roman"/>
          <w:i w:val="0"/>
          <w:color w:val="auto"/>
          <w:sz w:val="24"/>
          <w:szCs w:val="24"/>
        </w:rPr>
        <w:t>(common coral tree)</w:t>
      </w:r>
      <w:bookmarkEnd w:id="84"/>
    </w:p>
    <w:p w14:paraId="282A6241" w14:textId="77777777" w:rsidR="00EF65F1" w:rsidRDefault="00EF65F1">
      <w:pPr>
        <w:spacing w:after="0" w:line="360" w:lineRule="auto"/>
        <w:ind w:firstLine="567"/>
        <w:contextualSpacing/>
        <w:rPr>
          <w:rFonts w:ascii="Times New Roman" w:hAnsi="Times New Roman" w:cs="Times New Roman"/>
          <w:sz w:val="22"/>
          <w:szCs w:val="22"/>
          <w:lang w:val="en-GB"/>
        </w:rPr>
      </w:pPr>
    </w:p>
    <w:p w14:paraId="7D082D41" w14:textId="77777777" w:rsidR="00EF65F1" w:rsidRDefault="00EF65F1">
      <w:pPr>
        <w:spacing w:after="0" w:line="360" w:lineRule="auto"/>
        <w:ind w:left="567" w:firstLine="567"/>
        <w:contextualSpacing/>
        <w:jc w:val="center"/>
        <w:rPr>
          <w:rFonts w:ascii="Times New Roman" w:hAnsi="Times New Roman" w:cs="Times New Roman"/>
          <w:i/>
          <w:noProof/>
          <w:sz w:val="22"/>
          <w:szCs w:val="22"/>
        </w:rPr>
      </w:pPr>
    </w:p>
    <w:p w14:paraId="3DBD080E" w14:textId="77777777" w:rsidR="00EF65F1" w:rsidRDefault="00EF65F1">
      <w:pPr>
        <w:keepNext/>
        <w:spacing w:after="0" w:line="360" w:lineRule="auto"/>
        <w:ind w:firstLine="567"/>
        <w:contextualSpacing/>
        <w:rPr>
          <w:rFonts w:ascii="Times New Roman" w:hAnsi="Times New Roman" w:cs="Times New Roman"/>
          <w:sz w:val="22"/>
          <w:szCs w:val="22"/>
        </w:rPr>
        <w:sectPr w:rsidR="00EF65F1">
          <w:type w:val="continuous"/>
          <w:pgSz w:w="11906" w:h="16838"/>
          <w:pgMar w:top="1440" w:right="1440" w:bottom="1440" w:left="1440" w:header="708" w:footer="708" w:gutter="0"/>
          <w:cols w:space="708"/>
          <w:docGrid w:linePitch="360"/>
        </w:sectPr>
      </w:pPr>
    </w:p>
    <w:p w14:paraId="17EADB3A" w14:textId="77777777" w:rsidR="00EF65F1" w:rsidRDefault="00484A18">
      <w:pPr>
        <w:keepNext/>
        <w:spacing w:after="0" w:line="360" w:lineRule="auto"/>
        <w:contextualSpacing/>
        <w:rPr>
          <w:rFonts w:ascii="Times New Roman" w:hAnsi="Times New Roman" w:cs="Times New Roman"/>
          <w:sz w:val="22"/>
          <w:szCs w:val="22"/>
        </w:rPr>
      </w:pPr>
      <w:r>
        <w:rPr>
          <w:rFonts w:ascii="Times New Roman" w:hAnsi="Times New Roman" w:cs="Times New Roman"/>
          <w:i/>
          <w:noProof/>
          <w:sz w:val="22"/>
          <w:szCs w:val="22"/>
          <w:lang w:eastAsia="en-ZA"/>
        </w:rPr>
        <w:lastRenderedPageBreak/>
        <w:drawing>
          <wp:inline distT="0" distB="0" distL="0" distR="0" wp14:anchorId="6BC7B0F3" wp14:editId="66DC4D71">
            <wp:extent cx="2520000" cy="2520000"/>
            <wp:effectExtent l="0" t="0" r="0" b="0"/>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Tree Fuschia Dry.JPG"/>
                    <pic:cNvPicPr/>
                  </pic:nvPicPr>
                  <pic:blipFill rotWithShape="1">
                    <a:blip r:embed="rId20" cstate="print">
                      <a:extLst>
                        <a:ext uri="{28A0092B-C50C-407E-A947-70E740481C1C}">
                          <a14:useLocalDpi xmlns:a14="http://schemas.microsoft.com/office/drawing/2010/main" val="0"/>
                        </a:ext>
                      </a:extLst>
                    </a:blip>
                    <a:srcRect r="47945"/>
                    <a:stretch/>
                  </pic:blipFill>
                  <pic:spPr bwMode="auto">
                    <a:xfrm>
                      <a:off x="0" y="0"/>
                      <a:ext cx="2520000" cy="2520000"/>
                    </a:xfrm>
                    <a:prstGeom prst="rect">
                      <a:avLst/>
                    </a:prstGeom>
                    <a:ln>
                      <a:noFill/>
                    </a:ln>
                    <a:extLst>
                      <a:ext uri="{53640926-AAD7-44D8-BBD7-CCE9431645EC}">
                        <a14:shadowObscured xmlns:a14="http://schemas.microsoft.com/office/drawing/2010/main"/>
                      </a:ext>
                    </a:extLst>
                  </pic:spPr>
                </pic:pic>
              </a:graphicData>
            </a:graphic>
          </wp:inline>
        </w:drawing>
      </w:r>
    </w:p>
    <w:p w14:paraId="27E90741" w14:textId="77777777" w:rsidR="00EF65F1" w:rsidRDefault="00EF65F1">
      <w:pPr>
        <w:keepNext/>
        <w:spacing w:after="0" w:line="360" w:lineRule="auto"/>
        <w:contextualSpacing/>
        <w:rPr>
          <w:rFonts w:ascii="Times New Roman" w:hAnsi="Times New Roman" w:cs="Times New Roman"/>
          <w:sz w:val="22"/>
          <w:szCs w:val="22"/>
        </w:rPr>
      </w:pPr>
    </w:p>
    <w:p w14:paraId="31C81185" w14:textId="272390E6" w:rsidR="00EF65F1" w:rsidRDefault="00484A18">
      <w:pPr>
        <w:pStyle w:val="Caption"/>
        <w:spacing w:after="0" w:line="360" w:lineRule="auto"/>
        <w:contextualSpacing/>
        <w:jc w:val="center"/>
        <w:rPr>
          <w:rFonts w:ascii="Times New Roman" w:hAnsi="Times New Roman" w:cs="Times New Roman"/>
          <w:i w:val="0"/>
          <w:noProof/>
          <w:color w:val="auto"/>
          <w:sz w:val="24"/>
          <w:szCs w:val="24"/>
        </w:rPr>
        <w:sectPr w:rsidR="00EF65F1">
          <w:type w:val="continuous"/>
          <w:pgSz w:w="11906" w:h="16838"/>
          <w:pgMar w:top="1440" w:right="1440" w:bottom="1440" w:left="1440" w:header="708" w:footer="708" w:gutter="0"/>
          <w:cols w:num="2" w:space="708"/>
          <w:docGrid w:linePitch="360"/>
        </w:sectPr>
      </w:pPr>
      <w:bookmarkStart w:id="85" w:name="_Toc530512582"/>
      <w:bookmarkStart w:id="86" w:name="_Toc2349037"/>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7</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w:t>
      </w:r>
      <w:r>
        <w:rPr>
          <w:rFonts w:ascii="Times New Roman" w:hAnsi="Times New Roman" w:cs="Times New Roman"/>
          <w:color w:val="auto"/>
          <w:sz w:val="24"/>
          <w:szCs w:val="24"/>
        </w:rPr>
        <w:t>Halleria lucida</w:t>
      </w:r>
      <w:bookmarkEnd w:id="85"/>
      <w:r>
        <w:rPr>
          <w:rFonts w:ascii="Times New Roman" w:hAnsi="Times New Roman" w:cs="Times New Roman"/>
          <w:color w:val="auto"/>
          <w:sz w:val="24"/>
          <w:szCs w:val="24"/>
        </w:rPr>
        <w:t xml:space="preserve"> </w:t>
      </w:r>
      <w:r>
        <w:rPr>
          <w:rFonts w:ascii="Times New Roman" w:hAnsi="Times New Roman" w:cs="Times New Roman"/>
          <w:i w:val="0"/>
          <w:color w:val="auto"/>
          <w:sz w:val="24"/>
          <w:szCs w:val="24"/>
        </w:rPr>
        <w:t>(tree fuchsia)</w:t>
      </w:r>
      <w:bookmarkEnd w:id="86"/>
    </w:p>
    <w:p w14:paraId="6354EB0A" w14:textId="77777777" w:rsidR="00EF65F1" w:rsidRDefault="00EF65F1">
      <w:pPr>
        <w:keepNext/>
        <w:spacing w:after="0" w:line="360" w:lineRule="auto"/>
        <w:ind w:firstLine="567"/>
        <w:contextualSpacing/>
        <w:rPr>
          <w:rFonts w:ascii="Times New Roman" w:hAnsi="Times New Roman" w:cs="Times New Roman"/>
          <w:sz w:val="22"/>
          <w:szCs w:val="22"/>
        </w:rPr>
        <w:sectPr w:rsidR="00EF65F1">
          <w:type w:val="continuous"/>
          <w:pgSz w:w="11906" w:h="16838"/>
          <w:pgMar w:top="1440" w:right="1440" w:bottom="1440" w:left="1440" w:header="708" w:footer="708" w:gutter="0"/>
          <w:cols w:space="708"/>
          <w:docGrid w:linePitch="360"/>
        </w:sectPr>
      </w:pPr>
    </w:p>
    <w:p w14:paraId="4BC9C2A9"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87" w:name="_Hlk2675546"/>
      <w:bookmarkStart w:id="88" w:name="_Toc2691135"/>
      <w:r>
        <w:rPr>
          <w:rFonts w:ascii="Times New Roman" w:hAnsi="Times New Roman" w:cs="Times New Roman"/>
          <w:color w:val="auto"/>
        </w:rPr>
        <w:t>Preparation of plant extraction</w:t>
      </w:r>
      <w:bookmarkEnd w:id="88"/>
    </w:p>
    <w:bookmarkEnd w:id="87"/>
    <w:p w14:paraId="163DBA0B" w14:textId="77777777" w:rsidR="00EF65F1" w:rsidRDefault="00EF65F1">
      <w:pPr>
        <w:spacing w:after="0" w:line="360" w:lineRule="auto"/>
        <w:ind w:firstLine="567"/>
        <w:contextualSpacing/>
        <w:jc w:val="both"/>
        <w:rPr>
          <w:rFonts w:ascii="Times New Roman" w:hAnsi="Times New Roman" w:cs="Times New Roman"/>
          <w:sz w:val="22"/>
          <w:szCs w:val="22"/>
        </w:rPr>
      </w:pPr>
    </w:p>
    <w:p w14:paraId="5916FA02"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89" w:name="_Hlk2675567"/>
      <w:r>
        <w:rPr>
          <w:rFonts w:ascii="Times New Roman" w:hAnsi="Times New Roman" w:cs="Times New Roman"/>
          <w:sz w:val="22"/>
          <w:szCs w:val="22"/>
        </w:rPr>
        <w:t>Plant material from each species stored frozen at -20°C, were freeze dried in batches.  Frozen plant material was placed into metal trays in the freeze drier (J508C, Specht Scientific, South Africa) and the temperature was set to -20°C for 24 hours.  The temperature was then adjusted to -10°C, 0°C and +10°C after 24, 48 and 72 hours, respectively.  Dried samples were removed from the freeze drier after 96 hours.  Dried plant material from each of the plant species was first milled through a 2 mm sieve and then re-milled through a 1 mm sieve in a Retsch SM 100 cutting mill (Retsch Haan, Germany).  Dried, milled plant material was stored in a sealed plastic container at 4°C.</w:t>
      </w:r>
    </w:p>
    <w:bookmarkEnd w:id="89"/>
    <w:p w14:paraId="6181F98A" w14:textId="77777777" w:rsidR="00EF65F1" w:rsidRDefault="00EF65F1">
      <w:pPr>
        <w:spacing w:after="0" w:line="360" w:lineRule="auto"/>
        <w:ind w:firstLine="567"/>
        <w:contextualSpacing/>
        <w:jc w:val="both"/>
        <w:rPr>
          <w:rFonts w:ascii="Times New Roman" w:hAnsi="Times New Roman" w:cs="Times New Roman"/>
          <w:sz w:val="22"/>
          <w:szCs w:val="22"/>
        </w:rPr>
      </w:pPr>
    </w:p>
    <w:p w14:paraId="524F02AA"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90" w:name="_Hlk536095129"/>
      <w:r>
        <w:rPr>
          <w:rFonts w:ascii="Times New Roman" w:hAnsi="Times New Roman" w:cs="Times New Roman"/>
          <w:sz w:val="22"/>
          <w:szCs w:val="22"/>
        </w:rPr>
        <w:t xml:space="preserve">Plant extraction was performed by adding 50 g of the dried milled plant material to 500 mL of pure methanol in a 1 litre Schott bottle that was sealed with a plastic lid.  The ratio of plant material to methanol was 1: 10 as recommended by Martini and Eloff (1998).  The plant and methanol mixtures were then placed on a shaker for 96 hours at room temperature, after which the solutions were passed through a 150 μm-aperture sieve (Vickers sieve, Durban, South Africa) into metal tray.  The filtrate was then dried by placing it under a fume hood for 48 hours.  The semi-dried filtrate was then freeze dried for a further 2 days to ensure that they were completely dried (figure 2.8).  The dried extract was then powdered by gently braking the flakes by hand and the powered extracts were stored in an airtight container at 4°C (Akanmu &amp; Hassen, 2018).  Plant material from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was collected during a preceding study (Akanmu &amp; Hassen, 2018) and had been previously extracted following a similar procedure. </w:t>
      </w:r>
    </w:p>
    <w:bookmarkEnd w:id="90"/>
    <w:p w14:paraId="3C26244D"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noProof/>
          <w:sz w:val="22"/>
          <w:szCs w:val="22"/>
          <w:lang w:eastAsia="en-ZA"/>
        </w:rPr>
        <w:lastRenderedPageBreak/>
        <w:drawing>
          <wp:inline distT="0" distB="0" distL="0" distR="0" wp14:anchorId="2C93C8EF" wp14:editId="3C904D58">
            <wp:extent cx="4943475" cy="24860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1837.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948884" cy="2488745"/>
                    </a:xfrm>
                    <a:prstGeom prst="rect">
                      <a:avLst/>
                    </a:prstGeom>
                  </pic:spPr>
                </pic:pic>
              </a:graphicData>
            </a:graphic>
          </wp:inline>
        </w:drawing>
      </w:r>
    </w:p>
    <w:p w14:paraId="1E4B7112" w14:textId="77777777" w:rsidR="00EF65F1" w:rsidRDefault="00EF65F1">
      <w:pPr>
        <w:pStyle w:val="Caption"/>
        <w:spacing w:after="0" w:line="360" w:lineRule="auto"/>
        <w:contextualSpacing/>
        <w:jc w:val="both"/>
        <w:rPr>
          <w:rFonts w:ascii="Times New Roman" w:hAnsi="Times New Roman" w:cs="Times New Roman"/>
          <w:i w:val="0"/>
          <w:color w:val="auto"/>
          <w:sz w:val="24"/>
          <w:szCs w:val="24"/>
        </w:rPr>
      </w:pPr>
      <w:bookmarkStart w:id="91" w:name="_Toc530512569"/>
      <w:bookmarkStart w:id="92" w:name="_Toc2349038"/>
    </w:p>
    <w:p w14:paraId="4F3D83E0" w14:textId="0449A513" w:rsidR="00EF65F1" w:rsidRDefault="00484A18">
      <w:pPr>
        <w:pStyle w:val="Caption"/>
        <w:spacing w:after="0" w:line="360" w:lineRule="auto"/>
        <w:contextualSpacing/>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8</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Freeze-dried plant extracts</w:t>
      </w:r>
      <w:bookmarkEnd w:id="91"/>
      <w:bookmarkEnd w:id="92"/>
    </w:p>
    <w:p w14:paraId="05F8F508" w14:textId="77777777" w:rsidR="00EF65F1" w:rsidRDefault="00EF65F1">
      <w:pPr>
        <w:spacing w:line="360" w:lineRule="auto"/>
        <w:ind w:firstLine="567"/>
        <w:contextualSpacing/>
        <w:jc w:val="both"/>
        <w:rPr>
          <w:lang w:val="en-GB"/>
        </w:rPr>
      </w:pPr>
    </w:p>
    <w:p w14:paraId="3ADCE06A"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93" w:name="_Hlk2675680"/>
      <w:bookmarkStart w:id="94" w:name="_Toc2691136"/>
      <w:r>
        <w:rPr>
          <w:rFonts w:ascii="Times New Roman" w:hAnsi="Times New Roman" w:cs="Times New Roman"/>
          <w:color w:val="auto"/>
        </w:rPr>
        <w:t>Reconstitution of plant extract powder and experimental treatments</w:t>
      </w:r>
      <w:bookmarkEnd w:id="94"/>
    </w:p>
    <w:bookmarkEnd w:id="93"/>
    <w:p w14:paraId="469A184D" w14:textId="77777777" w:rsidR="00EF65F1" w:rsidRDefault="00EF65F1">
      <w:pPr>
        <w:spacing w:after="0" w:line="360" w:lineRule="auto"/>
        <w:ind w:firstLine="567"/>
        <w:contextualSpacing/>
        <w:jc w:val="both"/>
        <w:rPr>
          <w:rFonts w:ascii="Times New Roman" w:hAnsi="Times New Roman" w:cs="Times New Roman"/>
          <w:sz w:val="22"/>
          <w:szCs w:val="22"/>
        </w:rPr>
      </w:pPr>
    </w:p>
    <w:p w14:paraId="20A31AFD"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95" w:name="_Hlk2675698"/>
      <w:r>
        <w:rPr>
          <w:rFonts w:ascii="Times New Roman" w:hAnsi="Times New Roman" w:cs="Times New Roman"/>
          <w:sz w:val="22"/>
          <w:szCs w:val="22"/>
        </w:rPr>
        <w:t xml:space="preserve">There were 3 independent </w:t>
      </w:r>
      <w:r>
        <w:rPr>
          <w:rFonts w:ascii="Times New Roman" w:hAnsi="Times New Roman" w:cs="Times New Roman"/>
          <w:i/>
          <w:sz w:val="22"/>
          <w:szCs w:val="22"/>
        </w:rPr>
        <w:t xml:space="preserve">in vitro </w:t>
      </w:r>
      <w:r>
        <w:rPr>
          <w:rFonts w:ascii="Times New Roman" w:hAnsi="Times New Roman" w:cs="Times New Roman"/>
          <w:sz w:val="22"/>
          <w:szCs w:val="22"/>
        </w:rPr>
        <w:t xml:space="preserve">runs performed in this study, with 4 replications per treatment and 4 blanks included in each run.  A total of 40 bottles where incubated per run.  Blank bottles consisted of rumen fluid and buffer with no added substrate or additive.  The treatments consisted of the 7 plant extracts selected for this study and plant extracts from </w:t>
      </w:r>
      <w:r>
        <w:rPr>
          <w:rFonts w:ascii="Times New Roman" w:hAnsi="Times New Roman" w:cs="Times New Roman"/>
          <w:i/>
          <w:sz w:val="22"/>
          <w:szCs w:val="22"/>
        </w:rPr>
        <w:t>M. oleifera</w:t>
      </w:r>
      <w:r>
        <w:rPr>
          <w:rFonts w:ascii="Times New Roman" w:hAnsi="Times New Roman" w:cs="Times New Roman"/>
          <w:sz w:val="22"/>
          <w:szCs w:val="22"/>
        </w:rPr>
        <w:t xml:space="preserve"> dosed at a level of 50 mg/kg DM, the negative control in which </w:t>
      </w:r>
      <w:r>
        <w:rPr>
          <w:rFonts w:ascii="Times New Roman" w:hAnsi="Times New Roman" w:cs="Times New Roman"/>
          <w:i/>
          <w:sz w:val="22"/>
          <w:szCs w:val="22"/>
        </w:rPr>
        <w:t xml:space="preserve">E. curvula </w:t>
      </w:r>
      <w:r>
        <w:rPr>
          <w:rFonts w:ascii="Times New Roman" w:hAnsi="Times New Roman" w:cs="Times New Roman"/>
          <w:sz w:val="22"/>
          <w:szCs w:val="22"/>
        </w:rPr>
        <w:t>was incubated with no additive and a positive control of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dosed at 75 mg/kg DM.  </w:t>
      </w:r>
    </w:p>
    <w:bookmarkEnd w:id="95"/>
    <w:p w14:paraId="2C4F2DA9" w14:textId="77777777" w:rsidR="00EF65F1" w:rsidRDefault="00EF65F1">
      <w:pPr>
        <w:spacing w:after="0" w:line="360" w:lineRule="auto"/>
        <w:ind w:firstLine="567"/>
        <w:contextualSpacing/>
        <w:jc w:val="both"/>
        <w:rPr>
          <w:rFonts w:ascii="Times New Roman" w:hAnsi="Times New Roman" w:cs="Times New Roman"/>
          <w:sz w:val="22"/>
          <w:szCs w:val="22"/>
        </w:rPr>
      </w:pPr>
    </w:p>
    <w:p w14:paraId="7497666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 this study, all plant extracts were tested at a 50 mg/kg DM dose level, as recommended by Akanmu and Hassen (2018).  Due to the small quantity of plant extract required to ensure this dose, i.e. 0.02 mg/400 mg </w:t>
      </w:r>
      <w:r>
        <w:rPr>
          <w:rFonts w:ascii="Times New Roman" w:hAnsi="Times New Roman" w:cs="Times New Roman"/>
          <w:i/>
          <w:sz w:val="22"/>
          <w:szCs w:val="22"/>
        </w:rPr>
        <w:t xml:space="preserve">E. curvula </w:t>
      </w:r>
      <w:r>
        <w:rPr>
          <w:rFonts w:ascii="Times New Roman" w:hAnsi="Times New Roman" w:cs="Times New Roman"/>
          <w:sz w:val="22"/>
          <w:szCs w:val="22"/>
        </w:rPr>
        <w:t>hay, a predetermined amount of powered extracts was first dissolved in distilled water and the solution was used to ensure ease of dosing and improve distribution of the extracts.</w:t>
      </w:r>
    </w:p>
    <w:p w14:paraId="6F3FD46E" w14:textId="77777777" w:rsidR="00EF65F1" w:rsidRDefault="00EF65F1">
      <w:pPr>
        <w:spacing w:after="0" w:line="360" w:lineRule="auto"/>
        <w:ind w:firstLine="567"/>
        <w:contextualSpacing/>
        <w:jc w:val="both"/>
        <w:rPr>
          <w:rFonts w:ascii="Times New Roman" w:hAnsi="Times New Roman" w:cs="Times New Roman"/>
          <w:sz w:val="22"/>
          <w:szCs w:val="22"/>
        </w:rPr>
      </w:pPr>
    </w:p>
    <w:p w14:paraId="7EC57286"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96" w:name="_Hlk2675751"/>
      <w:r>
        <w:rPr>
          <w:rFonts w:ascii="Times New Roman" w:hAnsi="Times New Roman" w:cs="Times New Roman"/>
          <w:sz w:val="22"/>
          <w:szCs w:val="22"/>
        </w:rPr>
        <w:t xml:space="preserve">Thus, a standard plant extract solution was first prepared for each plant extract species and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extracts by dissolving 1g of each plant extract in 1000 mL of distilled water in a 1000 mL volumetric flask.  These plant extract standard solutions were prepared in an attempt to create uniformity between studies and varying dose levels, by reducing the variability associated with solubility of plant extracts in water.  The plant extract standard solutions were mixed for 24 hours using a magnetic stirrer, the solution was then homogenized (TP 18-10 Ultra-Turrax homogenizer, IKA) for </w:t>
      </w:r>
      <w:r>
        <w:rPr>
          <w:rFonts w:ascii="Times New Roman" w:hAnsi="Times New Roman" w:cs="Times New Roman"/>
          <w:sz w:val="22"/>
          <w:szCs w:val="22"/>
        </w:rPr>
        <w:lastRenderedPageBreak/>
        <w:t>2 min, before storage at 4°C.  Prior to taking solution from each plant extract standard solution, they were mixed and homogenised again to resuspend extracts that may have settled during storage.</w:t>
      </w:r>
    </w:p>
    <w:p w14:paraId="77C7748A" w14:textId="77777777" w:rsidR="00EF65F1" w:rsidRDefault="00EF65F1">
      <w:pPr>
        <w:spacing w:after="0" w:line="360" w:lineRule="auto"/>
        <w:ind w:firstLine="567"/>
        <w:contextualSpacing/>
        <w:jc w:val="both"/>
        <w:rPr>
          <w:rFonts w:ascii="Times New Roman" w:hAnsi="Times New Roman" w:cs="Times New Roman"/>
          <w:sz w:val="22"/>
          <w:szCs w:val="22"/>
        </w:rPr>
      </w:pPr>
    </w:p>
    <w:p w14:paraId="39CEC7B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To prepare diluted plant extract solutions for dosing at 50 mg/kg DM: 5 mL of each plant extract standard solution, including </w:t>
      </w:r>
      <w:r>
        <w:rPr>
          <w:rFonts w:ascii="Times New Roman" w:hAnsi="Times New Roman" w:cs="Times New Roman"/>
          <w:i/>
          <w:sz w:val="22"/>
          <w:szCs w:val="22"/>
        </w:rPr>
        <w:t>M. oleifera</w:t>
      </w:r>
      <w:r>
        <w:rPr>
          <w:rFonts w:ascii="Times New Roman" w:hAnsi="Times New Roman" w:cs="Times New Roman"/>
          <w:sz w:val="22"/>
          <w:szCs w:val="22"/>
        </w:rPr>
        <w:t xml:space="preserve">, containing approximately 5 mg of plant extract, were added to 1000 mL of distilled water and allowed to mix.  Exactly 4 mL of diluted plant extract solutions (5 mg/1000 mL), were added to their allocated bottles containing 400 mg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This ensured a dose rate of 0.05 mg per 1g or 50 mg/kg DM.  </w:t>
      </w:r>
    </w:p>
    <w:bookmarkEnd w:id="96"/>
    <w:p w14:paraId="4CCFD15A" w14:textId="77777777" w:rsidR="00EF65F1" w:rsidRDefault="00EF65F1">
      <w:pPr>
        <w:spacing w:after="0" w:line="360" w:lineRule="auto"/>
        <w:ind w:firstLine="567"/>
        <w:contextualSpacing/>
        <w:jc w:val="both"/>
        <w:rPr>
          <w:rFonts w:ascii="Times New Roman" w:hAnsi="Times New Roman" w:cs="Times New Roman"/>
          <w:sz w:val="22"/>
          <w:szCs w:val="22"/>
        </w:rPr>
      </w:pPr>
    </w:p>
    <w:p w14:paraId="5B9F53CB"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97" w:name="_Hlk2675821"/>
      <w:r>
        <w:rPr>
          <w:rFonts w:ascii="Times New Roman" w:hAnsi="Times New Roman" w:cs="Times New Roman"/>
          <w:sz w:val="22"/>
          <w:szCs w:val="22"/>
        </w:rPr>
        <w:t>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(Elanco Animal Health, Greenfield, USA) premix</w:t>
      </w:r>
      <w:bookmarkEnd w:id="97"/>
      <w:r>
        <w:rPr>
          <w:rFonts w:ascii="Times New Roman" w:hAnsi="Times New Roman" w:cs="Times New Roman"/>
          <w:sz w:val="22"/>
          <w:szCs w:val="22"/>
        </w:rPr>
        <w:t xml:space="preserve">, with ionophore sodium monensin as the main active ingredient, was used as a positive control in this experiment due to its frequent use as an additive across the various livestock sectors (Soltan </w:t>
      </w:r>
      <w:r>
        <w:rPr>
          <w:rFonts w:ascii="Times New Roman" w:hAnsi="Times New Roman" w:cs="Times New Roman"/>
          <w:i/>
          <w:sz w:val="22"/>
          <w:szCs w:val="22"/>
        </w:rPr>
        <w:t xml:space="preserve">et </w:t>
      </w:r>
      <w:r>
        <w:rPr>
          <w:rFonts w:ascii="Times New Roman" w:hAnsi="Times New Roman" w:cs="Times New Roman"/>
          <w:sz w:val="22"/>
          <w:szCs w:val="22"/>
        </w:rPr>
        <w:t xml:space="preserve">al., 2018), and </w:t>
      </w:r>
      <w:bookmarkStart w:id="98" w:name="_Hlk2675830"/>
      <w:r>
        <w:rPr>
          <w:rFonts w:ascii="Times New Roman" w:hAnsi="Times New Roman" w:cs="Times New Roman"/>
          <w:sz w:val="22"/>
          <w:szCs w:val="22"/>
        </w:rPr>
        <w:t xml:space="preserve">was prepared by mixing 7.5 mg of granules with 1000 mL distilled water </w:t>
      </w:r>
      <w:bookmarkEnd w:id="98"/>
      <w:r>
        <w:rPr>
          <w:rFonts w:ascii="Times New Roman" w:hAnsi="Times New Roman" w:cs="Times New Roman"/>
          <w:sz w:val="22"/>
          <w:szCs w:val="22"/>
        </w:rPr>
        <w:t>in a 1L volumetric flask using a magnetic stirrer and homogenizer to ensure the product was completely dissolved.  The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was dosed at rate of 75 mg/kg DM, as per manufacture’s recommendation, to provide the active ingredient (monensin) at a concentration of 15 mg/kg DM.  This dose level was achieved by adding 4 mL of 7.5 mg/1000 mL solution to 400 mg </w:t>
      </w:r>
      <w:r>
        <w:rPr>
          <w:rFonts w:ascii="Times New Roman" w:hAnsi="Times New Roman" w:cs="Times New Roman"/>
          <w:i/>
          <w:sz w:val="22"/>
          <w:szCs w:val="22"/>
        </w:rPr>
        <w:t xml:space="preserve">E. curvula </w:t>
      </w:r>
      <w:r>
        <w:rPr>
          <w:rFonts w:ascii="Times New Roman" w:hAnsi="Times New Roman" w:cs="Times New Roman"/>
          <w:sz w:val="22"/>
          <w:szCs w:val="22"/>
        </w:rPr>
        <w:t>hay</w:t>
      </w:r>
      <w:bookmarkStart w:id="99" w:name="_Hlk2675845"/>
      <w:r>
        <w:rPr>
          <w:rFonts w:ascii="Times New Roman" w:hAnsi="Times New Roman" w:cs="Times New Roman"/>
          <w:sz w:val="22"/>
          <w:szCs w:val="22"/>
        </w:rPr>
        <w:t xml:space="preserve">.  All the treatment solutions were stored at 4°C between runs. </w:t>
      </w:r>
    </w:p>
    <w:bookmarkEnd w:id="99"/>
    <w:p w14:paraId="0A5E7462" w14:textId="77777777" w:rsidR="00EF65F1" w:rsidRDefault="00EF65F1">
      <w:pPr>
        <w:spacing w:line="360" w:lineRule="auto"/>
        <w:ind w:firstLine="567"/>
        <w:contextualSpacing/>
        <w:jc w:val="both"/>
        <w:rPr>
          <w:rFonts w:ascii="Times New Roman" w:hAnsi="Times New Roman" w:cs="Times New Roman"/>
          <w:sz w:val="22"/>
          <w:szCs w:val="22"/>
        </w:rPr>
      </w:pPr>
    </w:p>
    <w:p w14:paraId="64A37AB6" w14:textId="77777777" w:rsidR="00EF65F1" w:rsidRDefault="00484A18">
      <w:pPr>
        <w:pStyle w:val="Heading3"/>
        <w:spacing w:before="0" w:line="360" w:lineRule="auto"/>
        <w:contextualSpacing/>
        <w:jc w:val="both"/>
        <w:rPr>
          <w:rFonts w:ascii="Times New Roman" w:hAnsi="Times New Roman" w:cs="Times New Roman"/>
          <w:color w:val="auto"/>
        </w:rPr>
      </w:pPr>
      <w:bookmarkStart w:id="100" w:name="_Hlk2675858"/>
      <w:bookmarkStart w:id="101" w:name="_Toc2691137"/>
      <w:r>
        <w:rPr>
          <w:rFonts w:ascii="Times New Roman" w:hAnsi="Times New Roman" w:cs="Times New Roman"/>
          <w:color w:val="auto"/>
        </w:rPr>
        <w:t>Gas Production</w:t>
      </w:r>
      <w:bookmarkEnd w:id="101"/>
    </w:p>
    <w:bookmarkEnd w:id="100"/>
    <w:p w14:paraId="6EA79146" w14:textId="77777777" w:rsidR="00EF65F1" w:rsidRDefault="00EF65F1">
      <w:pPr>
        <w:spacing w:after="0" w:line="360" w:lineRule="auto"/>
        <w:jc w:val="both"/>
      </w:pPr>
    </w:p>
    <w:p w14:paraId="2D7D1F9E" w14:textId="77777777" w:rsidR="00EF65F1" w:rsidRDefault="00484A18">
      <w:pPr>
        <w:pStyle w:val="Heading4"/>
        <w:spacing w:before="0" w:line="360" w:lineRule="auto"/>
        <w:contextualSpacing/>
        <w:jc w:val="both"/>
        <w:rPr>
          <w:rFonts w:ascii="Times New Roman" w:hAnsi="Times New Roman" w:cs="Times New Roman"/>
          <w:color w:val="auto"/>
          <w:sz w:val="24"/>
          <w:szCs w:val="24"/>
        </w:rPr>
      </w:pPr>
      <w:bookmarkStart w:id="102" w:name="_Hlk2675874"/>
      <w:r>
        <w:rPr>
          <w:rFonts w:ascii="Times New Roman" w:hAnsi="Times New Roman" w:cs="Times New Roman"/>
          <w:color w:val="auto"/>
          <w:sz w:val="24"/>
          <w:szCs w:val="24"/>
        </w:rPr>
        <w:t>Sample Preparation</w:t>
      </w:r>
    </w:p>
    <w:bookmarkEnd w:id="102"/>
    <w:p w14:paraId="3432CD89" w14:textId="77777777" w:rsidR="00EF65F1" w:rsidRDefault="00EF65F1">
      <w:pPr>
        <w:spacing w:after="0" w:line="360" w:lineRule="auto"/>
        <w:ind w:firstLine="567"/>
        <w:contextualSpacing/>
        <w:jc w:val="both"/>
        <w:rPr>
          <w:rFonts w:ascii="Times New Roman" w:hAnsi="Times New Roman" w:cs="Times New Roman"/>
          <w:sz w:val="22"/>
          <w:szCs w:val="22"/>
        </w:rPr>
      </w:pPr>
    </w:p>
    <w:p w14:paraId="1C03D225"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03" w:name="_Hlk536096684"/>
      <w:bookmarkStart w:id="104" w:name="_Hlk2675900"/>
      <w:r>
        <w:rPr>
          <w:rFonts w:ascii="Times New Roman" w:hAnsi="Times New Roman" w:cs="Times New Roman"/>
          <w:sz w:val="22"/>
          <w:szCs w:val="22"/>
        </w:rPr>
        <w:t xml:space="preserve">An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gas production test was performed by weighing 400 ± 0.5 mg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into ± 120 mL glass serum bottles.  Prior to incubation, 4 mL of the prepared plant extract solutions </w:t>
      </w:r>
      <w:bookmarkEnd w:id="104"/>
      <w:r>
        <w:rPr>
          <w:rFonts w:ascii="Times New Roman" w:hAnsi="Times New Roman" w:cs="Times New Roman"/>
          <w:sz w:val="22"/>
          <w:szCs w:val="22"/>
        </w:rPr>
        <w:t xml:space="preserve">(5 mg/1000 mL) from the species </w:t>
      </w:r>
      <w:r>
        <w:rPr>
          <w:rFonts w:ascii="Times New Roman" w:hAnsi="Times New Roman" w:cs="Times New Roman"/>
          <w:i/>
          <w:sz w:val="22"/>
          <w:szCs w:val="22"/>
        </w:rPr>
        <w:t>C. erythrophyllum</w:t>
      </w:r>
      <w:r>
        <w:rPr>
          <w:rFonts w:ascii="Times New Roman" w:hAnsi="Times New Roman" w:cs="Times New Roman"/>
          <w:sz w:val="22"/>
          <w:szCs w:val="22"/>
        </w:rPr>
        <w:t xml:space="preserve">, </w:t>
      </w:r>
      <w:r>
        <w:rPr>
          <w:rFonts w:ascii="Times New Roman" w:hAnsi="Times New Roman" w:cs="Times New Roman"/>
          <w:i/>
          <w:sz w:val="22"/>
          <w:szCs w:val="22"/>
        </w:rPr>
        <w:t>D. viscosa</w:t>
      </w:r>
      <w:r>
        <w:rPr>
          <w:rFonts w:ascii="Times New Roman" w:hAnsi="Times New Roman" w:cs="Times New Roman"/>
          <w:sz w:val="22"/>
          <w:szCs w:val="22"/>
        </w:rPr>
        <w:t xml:space="preserve">, </w:t>
      </w:r>
      <w:r>
        <w:rPr>
          <w:rFonts w:ascii="Times New Roman" w:hAnsi="Times New Roman" w:cs="Times New Roman"/>
          <w:i/>
          <w:sz w:val="22"/>
          <w:szCs w:val="22"/>
        </w:rPr>
        <w:t>H. natalensis, S. birrea, E. lysistemon, S. chirindensis, H. lucida</w:t>
      </w:r>
      <w:r>
        <w:rPr>
          <w:rFonts w:ascii="Times New Roman" w:hAnsi="Times New Roman" w:cs="Times New Roman"/>
          <w:sz w:val="22"/>
          <w:szCs w:val="22"/>
        </w:rPr>
        <w:t xml:space="preserve"> and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were added to their respective bottles containing the hay.  </w:t>
      </w:r>
      <w:bookmarkEnd w:id="103"/>
      <w:r>
        <w:rPr>
          <w:rFonts w:ascii="Times New Roman" w:hAnsi="Times New Roman" w:cs="Times New Roman"/>
          <w:sz w:val="22"/>
          <w:szCs w:val="22"/>
        </w:rPr>
        <w:t>The positive control,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solution, was tested by adding 4 mL of the premixed solution (7.5 mg/1000 mL) to 400 mg </w:t>
      </w:r>
      <w:r>
        <w:rPr>
          <w:rFonts w:ascii="Times New Roman" w:hAnsi="Times New Roman" w:cs="Times New Roman"/>
          <w:i/>
          <w:sz w:val="22"/>
          <w:szCs w:val="22"/>
        </w:rPr>
        <w:t>E. curvula</w:t>
      </w:r>
      <w:r>
        <w:rPr>
          <w:rFonts w:ascii="Times New Roman" w:hAnsi="Times New Roman" w:cs="Times New Roman"/>
          <w:sz w:val="22"/>
          <w:szCs w:val="22"/>
        </w:rPr>
        <w:t xml:space="preserve"> hay.  To ensure the headspace remained comparable to the other treatments and to standardize fermentation conditions, 4 mL of distilled water was added to the negative control.  No treatment, hay or distilled water was added to the blank bottles (the bottle headspace was adjusted).  All treatments were added to the substrate approximately 16 hours before incubation.</w:t>
      </w:r>
    </w:p>
    <w:p w14:paraId="59A192F5" w14:textId="77777777" w:rsidR="00EF65F1" w:rsidRDefault="00EF65F1">
      <w:pPr>
        <w:spacing w:after="0" w:line="360" w:lineRule="auto"/>
        <w:ind w:firstLine="567"/>
        <w:contextualSpacing/>
        <w:jc w:val="both"/>
        <w:rPr>
          <w:rFonts w:ascii="Times New Roman" w:hAnsi="Times New Roman" w:cs="Times New Roman"/>
          <w:sz w:val="22"/>
          <w:szCs w:val="22"/>
        </w:rPr>
      </w:pPr>
    </w:p>
    <w:p w14:paraId="268F9FB7" w14:textId="77777777" w:rsidR="00EF65F1" w:rsidRDefault="00EF65F1">
      <w:pPr>
        <w:spacing w:after="0" w:line="360" w:lineRule="auto"/>
        <w:ind w:firstLine="567"/>
        <w:contextualSpacing/>
        <w:jc w:val="both"/>
        <w:rPr>
          <w:rFonts w:ascii="Times New Roman" w:hAnsi="Times New Roman" w:cs="Times New Roman"/>
          <w:sz w:val="22"/>
          <w:szCs w:val="22"/>
        </w:rPr>
      </w:pPr>
    </w:p>
    <w:p w14:paraId="6EEEF9BB" w14:textId="77777777" w:rsidR="00EF65F1" w:rsidRDefault="00EF65F1">
      <w:pPr>
        <w:spacing w:after="0" w:line="360" w:lineRule="auto"/>
        <w:contextualSpacing/>
        <w:jc w:val="both"/>
        <w:rPr>
          <w:rFonts w:ascii="Times New Roman" w:hAnsi="Times New Roman" w:cs="Times New Roman"/>
          <w:sz w:val="22"/>
          <w:szCs w:val="22"/>
        </w:rPr>
      </w:pPr>
    </w:p>
    <w:p w14:paraId="60EF7B5C" w14:textId="77777777" w:rsidR="00EF65F1" w:rsidRDefault="00484A18">
      <w:pPr>
        <w:pStyle w:val="Heading4"/>
        <w:spacing w:before="0" w:line="360" w:lineRule="auto"/>
        <w:contextualSpacing/>
        <w:jc w:val="both"/>
        <w:rPr>
          <w:rFonts w:ascii="Times New Roman" w:hAnsi="Times New Roman" w:cs="Times New Roman"/>
          <w:color w:val="auto"/>
          <w:sz w:val="24"/>
          <w:szCs w:val="24"/>
        </w:rPr>
      </w:pPr>
      <w:r>
        <w:rPr>
          <w:rFonts w:ascii="Times New Roman" w:hAnsi="Times New Roman" w:cs="Times New Roman"/>
          <w:color w:val="auto"/>
          <w:sz w:val="24"/>
          <w:szCs w:val="24"/>
        </w:rPr>
        <w:lastRenderedPageBreak/>
        <w:t>Collection of rumen fluid</w:t>
      </w:r>
    </w:p>
    <w:p w14:paraId="5E5C5F26" w14:textId="77777777" w:rsidR="00EF65F1" w:rsidRDefault="00EF65F1">
      <w:pPr>
        <w:spacing w:after="0" w:line="360" w:lineRule="auto"/>
        <w:ind w:firstLine="567"/>
        <w:contextualSpacing/>
        <w:jc w:val="both"/>
        <w:rPr>
          <w:rFonts w:ascii="Times New Roman" w:hAnsi="Times New Roman" w:cs="Times New Roman"/>
          <w:sz w:val="22"/>
          <w:szCs w:val="22"/>
        </w:rPr>
      </w:pPr>
    </w:p>
    <w:p w14:paraId="18BB0FC5"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05" w:name="_Hlk2675948"/>
      <w:r>
        <w:rPr>
          <w:rFonts w:ascii="Times New Roman" w:hAnsi="Times New Roman" w:cs="Times New Roman"/>
          <w:sz w:val="22"/>
          <w:szCs w:val="22"/>
        </w:rPr>
        <w:t xml:space="preserve">Rumen fluid for both 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digestibility and gas production studies was collected from three cannulated Pinzgauer steers (figure 2.9), with an average weight of 576 ±54 kg.  </w:t>
      </w:r>
      <w:bookmarkStart w:id="106" w:name="_Hlk536096272"/>
      <w:r>
        <w:rPr>
          <w:rFonts w:ascii="Times New Roman" w:hAnsi="Times New Roman" w:cs="Times New Roman"/>
          <w:sz w:val="22"/>
          <w:szCs w:val="22"/>
        </w:rPr>
        <w:t xml:space="preserve">The steers were fed </w:t>
      </w:r>
      <w:r>
        <w:rPr>
          <w:rFonts w:ascii="Times New Roman" w:hAnsi="Times New Roman" w:cs="Times New Roman"/>
          <w:i/>
          <w:sz w:val="22"/>
          <w:szCs w:val="22"/>
        </w:rPr>
        <w:t xml:space="preserve">ad libitum </w:t>
      </w:r>
      <w:r>
        <w:rPr>
          <w:rFonts w:ascii="Times New Roman" w:hAnsi="Times New Roman" w:cs="Times New Roman"/>
          <w:sz w:val="22"/>
          <w:szCs w:val="22"/>
        </w:rPr>
        <w:t xml:space="preserve">a mixed diet composed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and </w:t>
      </w:r>
      <w:r>
        <w:rPr>
          <w:rFonts w:ascii="Times New Roman" w:hAnsi="Times New Roman" w:cs="Times New Roman"/>
          <w:i/>
          <w:sz w:val="22"/>
          <w:szCs w:val="22"/>
        </w:rPr>
        <w:t>Medicago sativa</w:t>
      </w:r>
      <w:r>
        <w:rPr>
          <w:rFonts w:ascii="Times New Roman" w:hAnsi="Times New Roman" w:cs="Times New Roman"/>
          <w:sz w:val="22"/>
          <w:szCs w:val="22"/>
        </w:rPr>
        <w:t xml:space="preserve"> hay.  </w:t>
      </w:r>
      <w:bookmarkEnd w:id="105"/>
      <w:bookmarkEnd w:id="106"/>
      <w:r>
        <w:rPr>
          <w:rFonts w:ascii="Times New Roman" w:hAnsi="Times New Roman" w:cs="Times New Roman"/>
          <w:sz w:val="22"/>
          <w:szCs w:val="22"/>
        </w:rPr>
        <w:t xml:space="preserve">The steers were housed in paddocks with a sand floor, located on the University of Pretoria’s experimental farm (Hatfield, Pretoria, RSA).  An adaption period of two weeks was allowed for the steers to adapt to the change in diet.  </w:t>
      </w:r>
      <w:bookmarkStart w:id="107" w:name="_Hlk536096472"/>
      <w:r>
        <w:rPr>
          <w:rFonts w:ascii="Times New Roman" w:hAnsi="Times New Roman" w:cs="Times New Roman"/>
          <w:sz w:val="22"/>
          <w:szCs w:val="22"/>
        </w:rPr>
        <w:t xml:space="preserve">Collection of rumen fluid occurred at a consistent time each run (7.00am) which was prior to their daily feeding in order minimise the effect of diet composition on rumen microbe population (Yáñez-Ruiz </w:t>
      </w:r>
      <w:r>
        <w:rPr>
          <w:rFonts w:ascii="Times New Roman" w:hAnsi="Times New Roman" w:cs="Times New Roman"/>
          <w:i/>
          <w:sz w:val="22"/>
          <w:szCs w:val="22"/>
        </w:rPr>
        <w:t>et al.</w:t>
      </w:r>
      <w:r>
        <w:rPr>
          <w:rFonts w:ascii="Times New Roman" w:hAnsi="Times New Roman" w:cs="Times New Roman"/>
          <w:sz w:val="22"/>
          <w:szCs w:val="22"/>
        </w:rPr>
        <w:t xml:space="preserve">, 2016).  Ruminal contents were collected from a minimum of 3 to 4 locations within the rumen and </w:t>
      </w:r>
      <w:bookmarkStart w:id="108" w:name="_Hlk2675991"/>
      <w:r>
        <w:rPr>
          <w:rFonts w:ascii="Times New Roman" w:hAnsi="Times New Roman" w:cs="Times New Roman"/>
          <w:sz w:val="22"/>
          <w:szCs w:val="22"/>
        </w:rPr>
        <w:t xml:space="preserve">approximately 500 mL of rumen fluid was collected from each steer.  The rumen fluid was strained through four layers of cheesecloth into a prewarmed thermos flask.  The flask was filled to the brim to limit oxygen exposure to the primarily anaerobic microbes.  The rumen fluid was immediately transported back to the laboratory (±15 min) where the flask, containing rumen fluid, was immediately placed into a water bath (39°C) and the </w:t>
      </w:r>
      <w:r>
        <w:rPr>
          <w:rFonts w:ascii="Times New Roman" w:hAnsi="Times New Roman" w:cs="Times New Roman"/>
          <w:i/>
          <w:sz w:val="22"/>
          <w:szCs w:val="22"/>
        </w:rPr>
        <w:t xml:space="preserve">in vitro </w:t>
      </w:r>
      <w:r>
        <w:rPr>
          <w:rFonts w:ascii="Times New Roman" w:hAnsi="Times New Roman" w:cs="Times New Roman"/>
          <w:sz w:val="22"/>
          <w:szCs w:val="22"/>
        </w:rPr>
        <w:t>incubation procedure was completed within an hour after collection.</w:t>
      </w:r>
    </w:p>
    <w:bookmarkEnd w:id="107"/>
    <w:bookmarkEnd w:id="108"/>
    <w:p w14:paraId="5B58BFAC" w14:textId="77777777" w:rsidR="00EF65F1" w:rsidRDefault="00EF65F1">
      <w:pPr>
        <w:spacing w:after="0" w:line="360" w:lineRule="auto"/>
        <w:ind w:firstLine="567"/>
        <w:contextualSpacing/>
        <w:jc w:val="both"/>
        <w:rPr>
          <w:rFonts w:ascii="Times New Roman" w:hAnsi="Times New Roman" w:cs="Times New Roman"/>
          <w:sz w:val="22"/>
          <w:szCs w:val="22"/>
        </w:rPr>
      </w:pPr>
    </w:p>
    <w:p w14:paraId="76BE11C8"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b/>
          <w:noProof/>
          <w:sz w:val="22"/>
          <w:szCs w:val="22"/>
          <w:lang w:eastAsia="en-ZA"/>
        </w:rPr>
        <w:drawing>
          <wp:inline distT="0" distB="0" distL="0" distR="0" wp14:anchorId="06F3FE9E" wp14:editId="597B981D">
            <wp:extent cx="5826125" cy="2623954"/>
            <wp:effectExtent l="0" t="0" r="317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3043.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871978" cy="2644605"/>
                    </a:xfrm>
                    <a:prstGeom prst="rect">
                      <a:avLst/>
                    </a:prstGeom>
                  </pic:spPr>
                </pic:pic>
              </a:graphicData>
            </a:graphic>
          </wp:inline>
        </w:drawing>
      </w:r>
    </w:p>
    <w:p w14:paraId="74BD1FDD" w14:textId="77777777" w:rsidR="00EF65F1" w:rsidRDefault="00EF65F1">
      <w:pPr>
        <w:pStyle w:val="Caption"/>
        <w:spacing w:after="0" w:line="360" w:lineRule="auto"/>
        <w:contextualSpacing/>
        <w:jc w:val="both"/>
        <w:rPr>
          <w:rFonts w:ascii="Times New Roman" w:hAnsi="Times New Roman" w:cs="Times New Roman"/>
          <w:i w:val="0"/>
          <w:color w:val="auto"/>
          <w:sz w:val="24"/>
          <w:szCs w:val="24"/>
        </w:rPr>
      </w:pPr>
      <w:bookmarkStart w:id="109" w:name="_Toc530512570"/>
      <w:bookmarkStart w:id="110" w:name="_Toc2349039"/>
    </w:p>
    <w:p w14:paraId="167C4505" w14:textId="54BD69AB" w:rsidR="00EF65F1" w:rsidRDefault="00484A18">
      <w:pPr>
        <w:pStyle w:val="Caption"/>
        <w:spacing w:after="0" w:line="360" w:lineRule="auto"/>
        <w:contextualSpacing/>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9</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Cannulated steers</w:t>
      </w:r>
      <w:bookmarkEnd w:id="109"/>
      <w:bookmarkEnd w:id="110"/>
    </w:p>
    <w:p w14:paraId="38707B4D" w14:textId="77777777" w:rsidR="00EF65F1" w:rsidRDefault="00EF65F1">
      <w:pPr>
        <w:spacing w:after="0" w:line="360" w:lineRule="auto"/>
        <w:ind w:firstLine="567"/>
        <w:contextualSpacing/>
        <w:jc w:val="both"/>
        <w:rPr>
          <w:lang w:val="en-GB"/>
        </w:rPr>
      </w:pPr>
    </w:p>
    <w:p w14:paraId="4E371270" w14:textId="77777777" w:rsidR="00EF65F1" w:rsidRDefault="00484A18">
      <w:pPr>
        <w:pStyle w:val="Heading4"/>
        <w:spacing w:before="0" w:line="360" w:lineRule="auto"/>
        <w:contextualSpacing/>
        <w:jc w:val="both"/>
        <w:rPr>
          <w:rFonts w:ascii="Times New Roman" w:hAnsi="Times New Roman" w:cs="Times New Roman"/>
          <w:color w:val="auto"/>
          <w:sz w:val="24"/>
          <w:szCs w:val="22"/>
        </w:rPr>
      </w:pPr>
      <w:bookmarkStart w:id="111" w:name="_Hlk2676009"/>
      <w:r>
        <w:rPr>
          <w:rFonts w:ascii="Times New Roman" w:hAnsi="Times New Roman" w:cs="Times New Roman"/>
          <w:color w:val="auto"/>
          <w:sz w:val="24"/>
          <w:szCs w:val="22"/>
        </w:rPr>
        <w:t>Buffer media preparation, sample incubation and gas measurements</w:t>
      </w:r>
    </w:p>
    <w:bookmarkEnd w:id="111"/>
    <w:p w14:paraId="31CB27E2" w14:textId="77777777" w:rsidR="00EF65F1" w:rsidRDefault="00EF65F1">
      <w:pPr>
        <w:spacing w:after="0" w:line="360" w:lineRule="auto"/>
        <w:ind w:firstLine="567"/>
        <w:contextualSpacing/>
        <w:jc w:val="both"/>
        <w:rPr>
          <w:rFonts w:ascii="Times New Roman" w:hAnsi="Times New Roman" w:cs="Times New Roman"/>
          <w:sz w:val="22"/>
          <w:szCs w:val="22"/>
        </w:rPr>
      </w:pPr>
    </w:p>
    <w:p w14:paraId="59C5D0BB"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12" w:name="_Hlk2676031"/>
      <w:r>
        <w:rPr>
          <w:rFonts w:ascii="Times New Roman" w:hAnsi="Times New Roman" w:cs="Times New Roman"/>
          <w:sz w:val="22"/>
          <w:szCs w:val="22"/>
        </w:rPr>
        <w:t xml:space="preserve">The Goering and Van Soest (1970) buffer medium was used in this study for 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gas production tests.  The preparation of the buffer and associated solutions: buffer, macro-mineral, micromineral and resazurin, were prepared according to the methodology reported the by Lethbridge </w:t>
      </w:r>
      <w:r>
        <w:rPr>
          <w:rFonts w:ascii="Times New Roman" w:hAnsi="Times New Roman" w:cs="Times New Roman"/>
          <w:sz w:val="22"/>
          <w:szCs w:val="22"/>
        </w:rPr>
        <w:lastRenderedPageBreak/>
        <w:t>research centre on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screening of Enzyme Products for use in ruminant diets-Laboratory methods” (First research coordination meeting on the use of enzymes and nuclear technologies to improve the utilization of fibrous feeds and reduce greenhouse gas emission from livestock, 2011).  </w:t>
      </w:r>
      <w:bookmarkStart w:id="113" w:name="_Hlk536096195"/>
      <w:r>
        <w:rPr>
          <w:rFonts w:ascii="Times New Roman" w:hAnsi="Times New Roman" w:cs="Times New Roman"/>
          <w:sz w:val="22"/>
          <w:szCs w:val="22"/>
        </w:rPr>
        <w:t>However, MgCl</w:t>
      </w:r>
      <w:r>
        <w:rPr>
          <w:rFonts w:ascii="Times New Roman" w:hAnsi="Times New Roman" w:cs="Times New Roman"/>
          <w:sz w:val="22"/>
          <w:szCs w:val="22"/>
          <w:vertAlign w:val="subscript"/>
        </w:rPr>
        <w:t>2</w:t>
      </w:r>
      <w:r>
        <w:rPr>
          <w:rFonts w:ascii="Times New Roman" w:hAnsi="Times New Roman" w:cs="Times New Roman"/>
          <w:sz w:val="22"/>
          <w:szCs w:val="22"/>
        </w:rPr>
        <w:t>.6H</w:t>
      </w:r>
      <w:r>
        <w:rPr>
          <w:rFonts w:ascii="Times New Roman" w:hAnsi="Times New Roman" w:cs="Times New Roman"/>
          <w:sz w:val="22"/>
          <w:szCs w:val="22"/>
          <w:vertAlign w:val="subscript"/>
        </w:rPr>
        <w:t>2</w:t>
      </w:r>
      <w:r>
        <w:rPr>
          <w:rFonts w:ascii="Times New Roman" w:hAnsi="Times New Roman" w:cs="Times New Roman"/>
          <w:sz w:val="22"/>
          <w:szCs w:val="22"/>
        </w:rPr>
        <w:t>O replaced MgSO</w:t>
      </w:r>
      <w:r>
        <w:rPr>
          <w:rFonts w:ascii="Times New Roman" w:hAnsi="Times New Roman" w:cs="Times New Roman"/>
          <w:sz w:val="22"/>
          <w:szCs w:val="22"/>
          <w:vertAlign w:val="subscript"/>
        </w:rPr>
        <w:t>4</w:t>
      </w:r>
      <w:r>
        <w:rPr>
          <w:rFonts w:ascii="Times New Roman" w:hAnsi="Times New Roman" w:cs="Times New Roman"/>
          <w:sz w:val="22"/>
          <w:szCs w:val="22"/>
        </w:rPr>
        <w:t>.7H</w:t>
      </w:r>
      <w:r>
        <w:rPr>
          <w:rFonts w:ascii="Times New Roman" w:hAnsi="Times New Roman" w:cs="Times New Roman"/>
          <w:sz w:val="22"/>
          <w:szCs w:val="22"/>
          <w:vertAlign w:val="subscript"/>
        </w:rPr>
        <w:t>2</w:t>
      </w:r>
      <w:r>
        <w:rPr>
          <w:rFonts w:ascii="Times New Roman" w:hAnsi="Times New Roman" w:cs="Times New Roman"/>
          <w:sz w:val="22"/>
          <w:szCs w:val="22"/>
        </w:rPr>
        <w:t xml:space="preserve">O in the macro-mineral solution as recommended by Mould </w:t>
      </w:r>
      <w:r>
        <w:rPr>
          <w:rFonts w:ascii="Times New Roman" w:hAnsi="Times New Roman" w:cs="Times New Roman"/>
          <w:i/>
          <w:sz w:val="22"/>
          <w:szCs w:val="22"/>
        </w:rPr>
        <w:t xml:space="preserve">et al </w:t>
      </w:r>
      <w:r>
        <w:rPr>
          <w:rFonts w:ascii="Times New Roman" w:hAnsi="Times New Roman" w:cs="Times New Roman"/>
          <w:sz w:val="22"/>
          <w:szCs w:val="22"/>
        </w:rPr>
        <w:t>(2005) to reduce the amount of SO</w:t>
      </w:r>
      <w:r>
        <w:rPr>
          <w:rFonts w:ascii="Times New Roman" w:hAnsi="Times New Roman" w:cs="Times New Roman"/>
          <w:sz w:val="22"/>
          <w:szCs w:val="22"/>
          <w:vertAlign w:val="subscript"/>
        </w:rPr>
        <w:t>4</w:t>
      </w:r>
      <w:r>
        <w:rPr>
          <w:rFonts w:ascii="Times New Roman" w:hAnsi="Times New Roman" w:cs="Times New Roman"/>
          <w:sz w:val="22"/>
          <w:szCs w:val="22"/>
        </w:rPr>
        <w:t xml:space="preserve"> in the medium.  </w:t>
      </w:r>
      <w:bookmarkEnd w:id="113"/>
      <w:r>
        <w:rPr>
          <w:rFonts w:ascii="Times New Roman" w:hAnsi="Times New Roman" w:cs="Times New Roman"/>
          <w:sz w:val="22"/>
          <w:szCs w:val="22"/>
        </w:rPr>
        <w:t>The resazurin (0.1%) solution was stored in a dark bottle to the maintain stability of the solution.</w:t>
      </w:r>
    </w:p>
    <w:bookmarkEnd w:id="112"/>
    <w:p w14:paraId="14E588A7" w14:textId="77777777" w:rsidR="00EF65F1" w:rsidRDefault="00EF65F1">
      <w:pPr>
        <w:spacing w:after="0" w:line="360" w:lineRule="auto"/>
        <w:ind w:firstLine="567"/>
        <w:contextualSpacing/>
        <w:jc w:val="both"/>
        <w:rPr>
          <w:rFonts w:ascii="Times New Roman" w:hAnsi="Times New Roman" w:cs="Times New Roman"/>
          <w:sz w:val="22"/>
          <w:szCs w:val="22"/>
        </w:rPr>
      </w:pPr>
    </w:p>
    <w:p w14:paraId="44B825A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buffer was prepared on the morning of each run, prior to collecting the rumen fluid, by combining the tryptone, distilled water, macromineral, buffer, micromineral and resazurin solutions in prescribed volumes into an Erlenmeyer flask.  The solution was prewarmed to 39°C in a water bath and CO</w:t>
      </w:r>
      <w:r>
        <w:rPr>
          <w:rFonts w:ascii="Times New Roman" w:hAnsi="Times New Roman" w:cs="Times New Roman"/>
          <w:sz w:val="22"/>
          <w:szCs w:val="22"/>
          <w:vertAlign w:val="subscript"/>
        </w:rPr>
        <w:t>2</w:t>
      </w:r>
      <w:r>
        <w:rPr>
          <w:rFonts w:ascii="Times New Roman" w:hAnsi="Times New Roman" w:cs="Times New Roman"/>
          <w:sz w:val="22"/>
          <w:szCs w:val="22"/>
        </w:rPr>
        <w:t xml:space="preserve"> was bubbled through the solution for approximately 45 minutes.  After which sodium sulphide and L-cysteine were added to the solution, and CO</w:t>
      </w:r>
      <w:r>
        <w:rPr>
          <w:rFonts w:ascii="Times New Roman" w:hAnsi="Times New Roman" w:cs="Times New Roman"/>
          <w:sz w:val="22"/>
          <w:szCs w:val="22"/>
          <w:vertAlign w:val="subscript"/>
        </w:rPr>
        <w:t xml:space="preserve">2 </w:t>
      </w:r>
      <w:r>
        <w:rPr>
          <w:rFonts w:ascii="Times New Roman" w:hAnsi="Times New Roman" w:cs="Times New Roman"/>
          <w:sz w:val="22"/>
          <w:szCs w:val="22"/>
        </w:rPr>
        <w:t>was bubbled through the solution for a further 10 minutes or until the solution turned clear/grey indicating an anaerobic state.  The rumen fluid was then added to the buffer through one layer of cheesecloth, to eliminate any residual feed particle acquired during collection.  The addition of rumen fluid to the buffered solution was performed with continuous stream of CO</w:t>
      </w:r>
      <w:r>
        <w:rPr>
          <w:rFonts w:ascii="Times New Roman" w:hAnsi="Times New Roman" w:cs="Times New Roman"/>
          <w:sz w:val="22"/>
          <w:szCs w:val="22"/>
          <w:vertAlign w:val="subscript"/>
        </w:rPr>
        <w:t>2</w:t>
      </w:r>
      <w:r>
        <w:rPr>
          <w:rFonts w:ascii="Times New Roman" w:hAnsi="Times New Roman" w:cs="Times New Roman"/>
          <w:sz w:val="22"/>
          <w:szCs w:val="22"/>
        </w:rPr>
        <w:t xml:space="preserve"> in order to reduce O</w:t>
      </w:r>
      <w:r>
        <w:rPr>
          <w:rFonts w:ascii="Times New Roman" w:hAnsi="Times New Roman" w:cs="Times New Roman"/>
          <w:sz w:val="22"/>
          <w:szCs w:val="22"/>
          <w:vertAlign w:val="subscript"/>
        </w:rPr>
        <w:t>2</w:t>
      </w:r>
      <w:r>
        <w:rPr>
          <w:rFonts w:ascii="Times New Roman" w:hAnsi="Times New Roman" w:cs="Times New Roman"/>
          <w:sz w:val="22"/>
          <w:szCs w:val="22"/>
        </w:rPr>
        <w:t xml:space="preserve"> exposure, therefore, limiting the change in the microbe population (Akanmu &amp; Hassen, 2018).  </w:t>
      </w:r>
      <w:bookmarkStart w:id="114" w:name="_Hlk536097184"/>
      <w:r>
        <w:rPr>
          <w:rFonts w:ascii="Times New Roman" w:hAnsi="Times New Roman" w:cs="Times New Roman"/>
          <w:sz w:val="22"/>
          <w:szCs w:val="22"/>
        </w:rPr>
        <w:t xml:space="preserve">A 40 mL mixture of rumen fluid/buffer solution, containing approximately 25 mL buffer and 10 mL rumen fluid, was added to each serum bottle, prewarmed at 39°C, containing </w:t>
      </w:r>
      <w:r>
        <w:rPr>
          <w:rFonts w:ascii="Times New Roman" w:hAnsi="Times New Roman" w:cs="Times New Roman"/>
          <w:i/>
          <w:sz w:val="22"/>
          <w:szCs w:val="22"/>
        </w:rPr>
        <w:t xml:space="preserve">E. curvula </w:t>
      </w:r>
      <w:r>
        <w:rPr>
          <w:rFonts w:ascii="Times New Roman" w:hAnsi="Times New Roman" w:cs="Times New Roman"/>
          <w:sz w:val="22"/>
          <w:szCs w:val="22"/>
        </w:rPr>
        <w:t>hay and the respective treatment.  Each bottle was immediately flushed with CO</w:t>
      </w:r>
      <w:r>
        <w:rPr>
          <w:rFonts w:ascii="Times New Roman" w:hAnsi="Times New Roman" w:cs="Times New Roman"/>
          <w:sz w:val="22"/>
          <w:szCs w:val="22"/>
          <w:vertAlign w:val="subscript"/>
        </w:rPr>
        <w:t xml:space="preserve">2 </w:t>
      </w:r>
      <w:r>
        <w:rPr>
          <w:rFonts w:ascii="Times New Roman" w:hAnsi="Times New Roman" w:cs="Times New Roman"/>
          <w:sz w:val="22"/>
          <w:szCs w:val="22"/>
        </w:rPr>
        <w:t>and sealed with a 20 mm chlorobutyl septum stopper (Bellco Glass Inc. New Jersey, USA), with a 18-gauge needle attached to a 3-way stopcock was inserted through each stopper (figure 2.10).  One side of the three-way stopcock was permanently sealed.  Once all bottles were filled and sealed, the stopcocks were opened, for approximately 10 seconds, to release any built-up gas and to create a uniform starting time for all of the bottles.  The bottles were placed into an IncoShake at 39°C with the oscillatory motion shaker set at 120 rpm (3081U Shaking incubator, Labcon, South Africa).</w:t>
      </w:r>
    </w:p>
    <w:bookmarkEnd w:id="114"/>
    <w:p w14:paraId="6789D108" w14:textId="77777777" w:rsidR="00EF65F1" w:rsidRDefault="00EF65F1">
      <w:pPr>
        <w:spacing w:after="0" w:line="360" w:lineRule="auto"/>
        <w:ind w:firstLine="567"/>
        <w:contextualSpacing/>
        <w:jc w:val="both"/>
        <w:rPr>
          <w:rFonts w:ascii="Times New Roman" w:hAnsi="Times New Roman" w:cs="Times New Roman"/>
          <w:sz w:val="22"/>
          <w:szCs w:val="22"/>
        </w:rPr>
      </w:pPr>
    </w:p>
    <w:p w14:paraId="2D251DCA"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15" w:name="_Hlk536096556"/>
      <w:bookmarkStart w:id="116" w:name="_Hlk2676086"/>
      <w:r>
        <w:rPr>
          <w:rFonts w:ascii="Times New Roman" w:hAnsi="Times New Roman" w:cs="Times New Roman"/>
          <w:sz w:val="22"/>
          <w:szCs w:val="22"/>
        </w:rPr>
        <w:t xml:space="preserve">Gas pressure readings were taken from all of the bottles at 2, 4, 8, 12, 24, and 48 hours post incubation.  Bottles remained in the IncoShake for the duration of the sampling period with the shaker off.  The gas pressures, accumulated in the bottle headspace, were recorded using a semi-automated system (Theodorou </w:t>
      </w:r>
      <w:r>
        <w:rPr>
          <w:rFonts w:ascii="Times New Roman" w:hAnsi="Times New Roman" w:cs="Times New Roman"/>
          <w:i/>
          <w:sz w:val="22"/>
          <w:szCs w:val="22"/>
        </w:rPr>
        <w:t>et al.</w:t>
      </w:r>
      <w:r>
        <w:rPr>
          <w:rFonts w:ascii="Times New Roman" w:hAnsi="Times New Roman" w:cs="Times New Roman"/>
          <w:sz w:val="22"/>
          <w:szCs w:val="22"/>
        </w:rPr>
        <w:t xml:space="preserve">, 1994) by means of a digital data tracker (Tracker 220 series indicators, Omega Engineering Inc, Laval, QC, Canada) connected to pressure transducer (PX4200—015GI, Omega Engineering Inc, Laval, QC, Canada) with a modified tip.  </w:t>
      </w:r>
      <w:bookmarkEnd w:id="115"/>
      <w:r>
        <w:rPr>
          <w:rFonts w:ascii="Times New Roman" w:hAnsi="Times New Roman" w:cs="Times New Roman"/>
          <w:sz w:val="22"/>
          <w:szCs w:val="22"/>
        </w:rPr>
        <w:t xml:space="preserve">This modified tip, which fit tightly into the three-way stopcock, prevented leakage of gas during readings.  The pressures were recorded for each bottle individually by placing the tip tightly into the stopcocks, which were then opened to release the built-up pressure.  The pressure displayed on the digital data tracker, in psi units, was recorded manually and the stopcocks were closed before the tip removed.  </w:t>
      </w:r>
      <w:bookmarkStart w:id="117" w:name="_Hlk536098802"/>
      <w:r>
        <w:rPr>
          <w:rFonts w:ascii="Times New Roman" w:hAnsi="Times New Roman" w:cs="Times New Roman"/>
          <w:sz w:val="22"/>
          <w:szCs w:val="22"/>
        </w:rPr>
        <w:t>Once a gas samples were collected, described below, the bottles were vented to release gas pressure and the shaker reset to 120 rpm</w:t>
      </w:r>
      <w:bookmarkEnd w:id="117"/>
      <w:r>
        <w:rPr>
          <w:rFonts w:ascii="Times New Roman" w:hAnsi="Times New Roman" w:cs="Times New Roman"/>
          <w:sz w:val="22"/>
          <w:szCs w:val="22"/>
        </w:rPr>
        <w:t xml:space="preserve">.  At each time </w:t>
      </w:r>
    </w:p>
    <w:bookmarkEnd w:id="116"/>
    <w:p w14:paraId="03F487DB" w14:textId="77777777" w:rsidR="00EF65F1" w:rsidRDefault="00EF65F1">
      <w:pPr>
        <w:spacing w:after="0" w:line="360" w:lineRule="auto"/>
        <w:ind w:firstLine="567"/>
        <w:contextualSpacing/>
        <w:jc w:val="both"/>
        <w:rPr>
          <w:rFonts w:ascii="Times New Roman" w:hAnsi="Times New Roman" w:cs="Times New Roman"/>
          <w:sz w:val="22"/>
          <w:szCs w:val="22"/>
        </w:rPr>
      </w:pPr>
    </w:p>
    <w:p w14:paraId="570C9C3F" w14:textId="77777777" w:rsidR="00EF65F1" w:rsidRDefault="00484A18">
      <w:pPr>
        <w:keepNext/>
        <w:spacing w:after="0" w:line="360" w:lineRule="auto"/>
        <w:ind w:firstLine="567"/>
        <w:contextualSpacing/>
        <w:jc w:val="center"/>
        <w:rPr>
          <w:rFonts w:ascii="Times New Roman" w:hAnsi="Times New Roman" w:cs="Times New Roman"/>
          <w:sz w:val="22"/>
          <w:szCs w:val="22"/>
        </w:rPr>
      </w:pPr>
      <w:r>
        <w:rPr>
          <w:rFonts w:ascii="Times New Roman" w:hAnsi="Times New Roman" w:cs="Times New Roman"/>
          <w:noProof/>
          <w:sz w:val="22"/>
          <w:szCs w:val="22"/>
          <w:lang w:eastAsia="en-ZA"/>
        </w:rPr>
        <w:drawing>
          <wp:inline distT="0" distB="0" distL="0" distR="0" wp14:anchorId="75876A85" wp14:editId="670E7649">
            <wp:extent cx="2006444" cy="20097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176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006444" cy="2009775"/>
                    </a:xfrm>
                    <a:prstGeom prst="rect">
                      <a:avLst/>
                    </a:prstGeom>
                  </pic:spPr>
                </pic:pic>
              </a:graphicData>
            </a:graphic>
          </wp:inline>
        </w:drawing>
      </w:r>
    </w:p>
    <w:p w14:paraId="19D305DD" w14:textId="77777777" w:rsidR="00EF65F1" w:rsidRDefault="00EF65F1">
      <w:pPr>
        <w:pStyle w:val="Caption"/>
        <w:spacing w:after="0" w:line="360" w:lineRule="auto"/>
        <w:contextualSpacing/>
        <w:jc w:val="both"/>
        <w:rPr>
          <w:rFonts w:ascii="Times New Roman" w:hAnsi="Times New Roman" w:cs="Times New Roman"/>
          <w:i w:val="0"/>
          <w:color w:val="auto"/>
          <w:sz w:val="24"/>
          <w:szCs w:val="22"/>
        </w:rPr>
      </w:pPr>
      <w:bookmarkStart w:id="118" w:name="_Toc530512571"/>
      <w:bookmarkStart w:id="119" w:name="_Toc2349040"/>
    </w:p>
    <w:p w14:paraId="4F94B51E" w14:textId="45977E29" w:rsidR="00EF65F1" w:rsidRDefault="00484A18">
      <w:pPr>
        <w:pStyle w:val="Caption"/>
        <w:spacing w:after="0" w:line="360" w:lineRule="auto"/>
        <w:contextualSpacing/>
        <w:jc w:val="both"/>
        <w:rPr>
          <w:rFonts w:ascii="Times New Roman" w:hAnsi="Times New Roman" w:cs="Times New Roman"/>
          <w:i w:val="0"/>
          <w:color w:val="auto"/>
          <w:sz w:val="24"/>
          <w:szCs w:val="22"/>
        </w:rPr>
      </w:pPr>
      <w:r>
        <w:rPr>
          <w:rFonts w:ascii="Times New Roman" w:hAnsi="Times New Roman" w:cs="Times New Roman"/>
          <w:i w:val="0"/>
          <w:color w:val="auto"/>
          <w:sz w:val="24"/>
          <w:szCs w:val="22"/>
        </w:rPr>
        <w:t xml:space="preserve">Figure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Figure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10</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Three-way stopcock attached to a needle inserted into a septum stopper</w:t>
      </w:r>
      <w:bookmarkEnd w:id="118"/>
      <w:bookmarkEnd w:id="119"/>
    </w:p>
    <w:p w14:paraId="16F524D4" w14:textId="77777777" w:rsidR="00EF65F1" w:rsidRDefault="00EF65F1">
      <w:pPr>
        <w:rPr>
          <w:lang w:val="en-GB"/>
        </w:rPr>
      </w:pPr>
    </w:p>
    <w:p w14:paraId="5592A631" w14:textId="77777777" w:rsidR="00EF65F1" w:rsidRDefault="00484A18">
      <w:pPr>
        <w:rPr>
          <w:lang w:val="en-GB"/>
        </w:rPr>
      </w:pPr>
      <w:bookmarkStart w:id="120" w:name="_Hlk2676092"/>
      <w:r>
        <w:rPr>
          <w:rFonts w:ascii="Times New Roman" w:hAnsi="Times New Roman" w:cs="Times New Roman"/>
          <w:sz w:val="22"/>
          <w:szCs w:val="22"/>
        </w:rPr>
        <w:t xml:space="preserve">interval, pressure readings were summed with the previous reading to produce cumulative gas volume readings in millilitres.  </w:t>
      </w:r>
    </w:p>
    <w:bookmarkEnd w:id="120"/>
    <w:p w14:paraId="75FE8315" w14:textId="77777777" w:rsidR="00EF65F1" w:rsidRDefault="00EF65F1">
      <w:pPr>
        <w:spacing w:after="0" w:line="360" w:lineRule="auto"/>
        <w:ind w:firstLine="567"/>
        <w:contextualSpacing/>
        <w:jc w:val="both"/>
        <w:rPr>
          <w:lang w:val="en-GB"/>
        </w:rPr>
      </w:pPr>
    </w:p>
    <w:p w14:paraId="3FF7C24D" w14:textId="77777777" w:rsidR="00EF65F1" w:rsidRDefault="00484A18">
      <w:pPr>
        <w:pStyle w:val="Heading4"/>
        <w:spacing w:before="0" w:line="360" w:lineRule="auto"/>
        <w:contextualSpacing/>
        <w:jc w:val="both"/>
        <w:rPr>
          <w:rFonts w:ascii="Times New Roman" w:hAnsi="Times New Roman" w:cs="Times New Roman"/>
          <w:i w:val="0"/>
          <w:color w:val="auto"/>
          <w:sz w:val="22"/>
          <w:szCs w:val="22"/>
        </w:rPr>
      </w:pPr>
      <w:r>
        <w:rPr>
          <w:rFonts w:ascii="Times New Roman" w:hAnsi="Times New Roman" w:cs="Times New Roman"/>
          <w:i w:val="0"/>
          <w:color w:val="auto"/>
          <w:sz w:val="24"/>
          <w:szCs w:val="22"/>
        </w:rPr>
        <w:t>Gas production calculations</w:t>
      </w:r>
      <w:r>
        <w:rPr>
          <w:rFonts w:ascii="Times New Roman" w:hAnsi="Times New Roman" w:cs="Times New Roman"/>
          <w:i w:val="0"/>
          <w:color w:val="auto"/>
          <w:sz w:val="24"/>
          <w:szCs w:val="22"/>
        </w:rPr>
        <w:tab/>
      </w:r>
    </w:p>
    <w:p w14:paraId="1EE5DF9D" w14:textId="77777777" w:rsidR="00EF65F1" w:rsidRDefault="00EF65F1">
      <w:pPr>
        <w:spacing w:after="0" w:line="360" w:lineRule="auto"/>
        <w:ind w:firstLine="567"/>
        <w:contextualSpacing/>
        <w:jc w:val="both"/>
        <w:rPr>
          <w:rFonts w:ascii="Times New Roman" w:hAnsi="Times New Roman" w:cs="Times New Roman"/>
          <w:sz w:val="22"/>
          <w:szCs w:val="22"/>
        </w:rPr>
      </w:pPr>
    </w:p>
    <w:p w14:paraId="73C04321"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21" w:name="_Hlk536098433"/>
      <w:r>
        <w:rPr>
          <w:rFonts w:ascii="Times New Roman" w:hAnsi="Times New Roman" w:cs="Times New Roman"/>
          <w:sz w:val="22"/>
          <w:szCs w:val="22"/>
        </w:rPr>
        <w:t xml:space="preserve">The gas pressure recordings taken from each bottle at each time interval in psi, were converted to gas volume (mL) using the formula developed by ANKOM Technology, service procedure 005 (Ankom, 2014): </w:t>
      </w:r>
    </w:p>
    <w:p w14:paraId="31DC3290" w14:textId="77777777" w:rsidR="00EF65F1" w:rsidRDefault="00EF65F1">
      <w:pPr>
        <w:spacing w:after="0" w:line="360" w:lineRule="auto"/>
        <w:ind w:firstLine="567"/>
        <w:contextualSpacing/>
        <w:rPr>
          <w:rFonts w:ascii="Times New Roman" w:hAnsi="Times New Roman" w:cs="Times New Roman"/>
          <w:sz w:val="22"/>
          <w:szCs w:val="22"/>
        </w:rPr>
      </w:pPr>
    </w:p>
    <w:p w14:paraId="678C959A" w14:textId="77777777" w:rsidR="00EF65F1" w:rsidRDefault="00484A18">
      <w:pPr>
        <w:spacing w:after="0" w:line="360" w:lineRule="auto"/>
        <w:contextualSpacing/>
        <w:jc w:val="center"/>
        <w:rPr>
          <w:rFonts w:ascii="Times New Roman" w:hAnsi="Times New Roman" w:cs="Times New Roman"/>
          <w:sz w:val="22"/>
          <w:szCs w:val="22"/>
        </w:rPr>
      </w:pPr>
      <w:r>
        <w:rPr>
          <w:rFonts w:ascii="Times New Roman" w:hAnsi="Times New Roman" w:cs="Times New Roman"/>
          <w:sz w:val="22"/>
          <w:szCs w:val="22"/>
        </w:rPr>
        <w:t>V</w:t>
      </w:r>
      <w:r>
        <w:rPr>
          <w:rFonts w:ascii="Times New Roman" w:hAnsi="Times New Roman" w:cs="Times New Roman"/>
          <w:sz w:val="22"/>
          <w:szCs w:val="22"/>
          <w:vertAlign w:val="subscript"/>
        </w:rPr>
        <w:t>X</w:t>
      </w:r>
      <w:r>
        <w:rPr>
          <w:rFonts w:ascii="Times New Roman" w:hAnsi="Times New Roman" w:cs="Times New Roman"/>
          <w:sz w:val="22"/>
          <w:szCs w:val="22"/>
        </w:rPr>
        <w:t xml:space="preserve"> = V</w:t>
      </w:r>
      <w:r>
        <w:rPr>
          <w:rFonts w:ascii="Times New Roman" w:hAnsi="Times New Roman" w:cs="Times New Roman"/>
          <w:sz w:val="22"/>
          <w:szCs w:val="22"/>
          <w:vertAlign w:val="subscript"/>
        </w:rPr>
        <w:t>h</w:t>
      </w:r>
      <w:r>
        <w:rPr>
          <w:rFonts w:ascii="Times New Roman" w:hAnsi="Times New Roman" w:cs="Times New Roman"/>
          <w:sz w:val="22"/>
          <w:szCs w:val="22"/>
        </w:rPr>
        <w:t>P</w:t>
      </w:r>
      <w:r>
        <w:rPr>
          <w:rFonts w:ascii="Times New Roman" w:hAnsi="Times New Roman" w:cs="Times New Roman"/>
          <w:sz w:val="22"/>
          <w:szCs w:val="22"/>
          <w:vertAlign w:val="subscript"/>
        </w:rPr>
        <w:t>psi</w:t>
      </w:r>
      <w:r>
        <w:rPr>
          <w:rFonts w:ascii="Times New Roman" w:hAnsi="Times New Roman" w:cs="Times New Roman"/>
          <w:sz w:val="22"/>
          <w:szCs w:val="22"/>
        </w:rPr>
        <w:t xml:space="preserve"> x 0.068004084</w:t>
      </w:r>
    </w:p>
    <w:p w14:paraId="1754263D" w14:textId="77777777" w:rsidR="00EF65F1" w:rsidRDefault="00484A18">
      <w:pPr>
        <w:spacing w:after="0" w:line="360" w:lineRule="auto"/>
        <w:contextualSpacing/>
        <w:rPr>
          <w:rFonts w:ascii="Times New Roman" w:hAnsi="Times New Roman" w:cs="Times New Roman"/>
          <w:sz w:val="22"/>
          <w:szCs w:val="22"/>
        </w:rPr>
      </w:pPr>
      <w:r>
        <w:rPr>
          <w:rFonts w:ascii="Times New Roman" w:hAnsi="Times New Roman" w:cs="Times New Roman"/>
          <w:sz w:val="22"/>
          <w:szCs w:val="22"/>
        </w:rPr>
        <w:t>Where:</w:t>
      </w:r>
      <w:r>
        <w:rPr>
          <w:rFonts w:ascii="Times New Roman" w:hAnsi="Times New Roman" w:cs="Times New Roman"/>
          <w:sz w:val="22"/>
          <w:szCs w:val="22"/>
        </w:rPr>
        <w:tab/>
      </w:r>
      <w:r>
        <w:rPr>
          <w:rFonts w:ascii="Times New Roman" w:hAnsi="Times New Roman" w:cs="Times New Roman"/>
          <w:sz w:val="22"/>
          <w:szCs w:val="22"/>
        </w:rPr>
        <w:tab/>
        <w:t>Vx = gas volume at 39°C in mL</w:t>
      </w:r>
    </w:p>
    <w:p w14:paraId="124BBE37" w14:textId="77777777" w:rsidR="00EF65F1" w:rsidRDefault="00484A18">
      <w:pPr>
        <w:spacing w:after="0" w:line="360" w:lineRule="auto"/>
        <w:contextualSpacing/>
        <w:rPr>
          <w:rFonts w:ascii="Times New Roman" w:hAnsi="Times New Roman" w:cs="Times New Roman"/>
          <w:sz w:val="22"/>
          <w:szCs w:val="22"/>
        </w:rPr>
      </w:pPr>
      <w:r>
        <w:rPr>
          <w:rFonts w:ascii="Times New Roman" w:hAnsi="Times New Roman" w:cs="Times New Roman"/>
          <w:sz w:val="22"/>
          <w:szCs w:val="22"/>
        </w:rPr>
        <w:tab/>
      </w:r>
      <w:r>
        <w:rPr>
          <w:rFonts w:ascii="Times New Roman" w:hAnsi="Times New Roman" w:cs="Times New Roman"/>
          <w:sz w:val="22"/>
          <w:szCs w:val="22"/>
        </w:rPr>
        <w:tab/>
        <w:t>V</w:t>
      </w:r>
      <w:r>
        <w:rPr>
          <w:rFonts w:ascii="Times New Roman" w:hAnsi="Times New Roman" w:cs="Times New Roman"/>
          <w:sz w:val="22"/>
          <w:szCs w:val="22"/>
          <w:vertAlign w:val="subscript"/>
        </w:rPr>
        <w:t>h</w:t>
      </w:r>
      <w:r>
        <w:rPr>
          <w:rFonts w:ascii="Times New Roman" w:hAnsi="Times New Roman" w:cs="Times New Roman"/>
          <w:sz w:val="22"/>
          <w:szCs w:val="22"/>
        </w:rPr>
        <w:t xml:space="preserve"> = headspace of digestion jar (glass bottle) in mL</w:t>
      </w:r>
    </w:p>
    <w:p w14:paraId="7ECD0577" w14:textId="77777777" w:rsidR="00EF65F1" w:rsidRDefault="00484A18">
      <w:pPr>
        <w:spacing w:after="0" w:line="360" w:lineRule="auto"/>
        <w:contextualSpacing/>
        <w:rPr>
          <w:rFonts w:ascii="Times New Roman" w:hAnsi="Times New Roman" w:cs="Times New Roman"/>
          <w:sz w:val="22"/>
          <w:szCs w:val="22"/>
        </w:rPr>
      </w:pPr>
      <w:r>
        <w:rPr>
          <w:rFonts w:ascii="Times New Roman" w:hAnsi="Times New Roman" w:cs="Times New Roman"/>
          <w:sz w:val="22"/>
          <w:szCs w:val="22"/>
        </w:rPr>
        <w:tab/>
      </w:r>
      <w:r>
        <w:rPr>
          <w:rFonts w:ascii="Times New Roman" w:hAnsi="Times New Roman" w:cs="Times New Roman"/>
          <w:sz w:val="22"/>
          <w:szCs w:val="22"/>
        </w:rPr>
        <w:tab/>
        <w:t>P</w:t>
      </w:r>
      <w:r>
        <w:rPr>
          <w:rFonts w:ascii="Times New Roman" w:hAnsi="Times New Roman" w:cs="Times New Roman"/>
          <w:sz w:val="22"/>
          <w:szCs w:val="22"/>
          <w:vertAlign w:val="subscript"/>
        </w:rPr>
        <w:t>psi</w:t>
      </w:r>
      <w:r>
        <w:rPr>
          <w:rFonts w:ascii="Times New Roman" w:hAnsi="Times New Roman" w:cs="Times New Roman"/>
          <w:sz w:val="22"/>
          <w:szCs w:val="22"/>
        </w:rPr>
        <w:t xml:space="preserve"> = pressure recorded in psi</w:t>
      </w:r>
    </w:p>
    <w:bookmarkEnd w:id="121"/>
    <w:p w14:paraId="1A579CFF" w14:textId="77777777" w:rsidR="00EF65F1" w:rsidRDefault="00EF65F1">
      <w:pPr>
        <w:spacing w:after="0" w:line="360" w:lineRule="auto"/>
        <w:ind w:firstLine="567"/>
        <w:contextualSpacing/>
        <w:rPr>
          <w:rFonts w:ascii="Times New Roman" w:hAnsi="Times New Roman" w:cs="Times New Roman"/>
          <w:sz w:val="22"/>
          <w:szCs w:val="22"/>
        </w:rPr>
      </w:pPr>
    </w:p>
    <w:p w14:paraId="2E2E925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ambient pressure of the room was recorded (psi) prior to the pressure readings being taken and were deducted from each pressure value before its conversion to mL.  The headspace volume for each bottle was calculated by firstly determining the volume of each bottle individually to increase accuracy.  The bottle volume was calculated using water, by measuring the weight of water and subtracting for space occupied by the rubber stopper.  The weight of the water was converted to volume by taking into account the density of distilled water.  The headspace volume for each bottle was determined by subtracting the volume occupied by the substrate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treatment (4 mL) and rumen fluid/ buffer solution (40 mL) from the calculated bottle volume.  The volume of the substrate was estimated by measuring 400 mg of hay into a measuring cylinder (figure 2.11).  The headspace </w:t>
      </w:r>
      <w:r>
        <w:rPr>
          <w:rFonts w:ascii="Times New Roman" w:hAnsi="Times New Roman" w:cs="Times New Roman"/>
          <w:sz w:val="22"/>
          <w:szCs w:val="22"/>
        </w:rPr>
        <w:lastRenderedPageBreak/>
        <w:t xml:space="preserve">volumes were approximately 72 ±1 mL per bottle.  Headspaces for the blank bottles (±77 mL) were determined by subtracting the rumen fluid/ buffer solution (40 mL) from the calculated bottle volume.  </w:t>
      </w:r>
    </w:p>
    <w:p w14:paraId="4BB1EEAC" w14:textId="77777777" w:rsidR="00EF65F1" w:rsidRDefault="00EF65F1">
      <w:pPr>
        <w:spacing w:after="0" w:line="360" w:lineRule="auto"/>
        <w:ind w:firstLine="567"/>
        <w:contextualSpacing/>
        <w:rPr>
          <w:rFonts w:ascii="Times New Roman" w:hAnsi="Times New Roman" w:cs="Times New Roman"/>
          <w:sz w:val="22"/>
          <w:szCs w:val="22"/>
        </w:rPr>
      </w:pPr>
    </w:p>
    <w:p w14:paraId="041E241D"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noProof/>
          <w:sz w:val="22"/>
          <w:szCs w:val="22"/>
          <w:lang w:eastAsia="en-ZA"/>
        </w:rPr>
        <w:drawing>
          <wp:inline distT="0" distB="0" distL="0" distR="0" wp14:anchorId="30DCC608" wp14:editId="20A5EFE2">
            <wp:extent cx="1937385" cy="2122098"/>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_2447 (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54543" cy="2140892"/>
                    </a:xfrm>
                    <a:prstGeom prst="rect">
                      <a:avLst/>
                    </a:prstGeom>
                  </pic:spPr>
                </pic:pic>
              </a:graphicData>
            </a:graphic>
          </wp:inline>
        </w:drawing>
      </w:r>
    </w:p>
    <w:p w14:paraId="135C2808" w14:textId="77777777" w:rsidR="00EF65F1" w:rsidRDefault="00EF65F1">
      <w:pPr>
        <w:pStyle w:val="Caption"/>
        <w:spacing w:after="0" w:line="360" w:lineRule="auto"/>
        <w:contextualSpacing/>
        <w:jc w:val="both"/>
        <w:rPr>
          <w:rFonts w:ascii="Times New Roman" w:hAnsi="Times New Roman" w:cs="Times New Roman"/>
          <w:i w:val="0"/>
          <w:color w:val="auto"/>
          <w:sz w:val="24"/>
          <w:szCs w:val="22"/>
        </w:rPr>
      </w:pPr>
      <w:bookmarkStart w:id="122" w:name="_Toc530512572"/>
      <w:bookmarkStart w:id="123" w:name="_Toc2349041"/>
    </w:p>
    <w:p w14:paraId="517876EC" w14:textId="7C9416F3" w:rsidR="00EF65F1" w:rsidRDefault="00484A18">
      <w:pPr>
        <w:pStyle w:val="Caption"/>
        <w:spacing w:after="0" w:line="360" w:lineRule="auto"/>
        <w:contextualSpacing/>
        <w:jc w:val="both"/>
        <w:rPr>
          <w:rFonts w:ascii="Times New Roman" w:hAnsi="Times New Roman" w:cs="Times New Roman"/>
          <w:i w:val="0"/>
          <w:color w:val="auto"/>
          <w:sz w:val="24"/>
          <w:szCs w:val="22"/>
        </w:rPr>
      </w:pPr>
      <w:r>
        <w:rPr>
          <w:rFonts w:ascii="Times New Roman" w:hAnsi="Times New Roman" w:cs="Times New Roman"/>
          <w:i w:val="0"/>
          <w:color w:val="auto"/>
          <w:sz w:val="24"/>
          <w:szCs w:val="22"/>
        </w:rPr>
        <w:t xml:space="preserve">Figure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Figure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11</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Volume occupied by 400 mg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w:t>
      </w:r>
      <w:bookmarkEnd w:id="122"/>
      <w:bookmarkEnd w:id="123"/>
    </w:p>
    <w:p w14:paraId="15772888" w14:textId="77777777" w:rsidR="00EF65F1" w:rsidRDefault="00EF65F1">
      <w:pPr>
        <w:spacing w:after="0" w:line="360" w:lineRule="auto"/>
        <w:ind w:firstLine="567"/>
        <w:contextualSpacing/>
        <w:rPr>
          <w:rFonts w:ascii="Times New Roman" w:hAnsi="Times New Roman" w:cs="Times New Roman"/>
          <w:sz w:val="22"/>
          <w:szCs w:val="22"/>
        </w:rPr>
      </w:pPr>
    </w:p>
    <w:p w14:paraId="175AB95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Once the gas pressures (psi) were recorded for each bottle, then corrected for ambient pressure and converted to volume (mL), the gas volume (mL) produced by blank bottles was averaged and the average value was subtracted from each treatment to account for any residual feed particles in the rumen fluid. </w:t>
      </w:r>
    </w:p>
    <w:p w14:paraId="0E85AAA2" w14:textId="77777777" w:rsidR="00EF65F1" w:rsidRDefault="00EF65F1">
      <w:pPr>
        <w:spacing w:line="360" w:lineRule="auto"/>
        <w:ind w:firstLine="567"/>
        <w:contextualSpacing/>
        <w:jc w:val="both"/>
        <w:rPr>
          <w:rFonts w:ascii="Times New Roman" w:hAnsi="Times New Roman" w:cs="Times New Roman"/>
          <w:sz w:val="22"/>
          <w:szCs w:val="22"/>
        </w:rPr>
      </w:pPr>
    </w:p>
    <w:p w14:paraId="38EFC2C6" w14:textId="77777777" w:rsidR="00EF65F1" w:rsidRDefault="00484A18">
      <w:pPr>
        <w:pStyle w:val="Heading3"/>
        <w:spacing w:before="0" w:line="360" w:lineRule="auto"/>
        <w:contextualSpacing/>
        <w:jc w:val="both"/>
        <w:rPr>
          <w:rFonts w:ascii="Times New Roman" w:hAnsi="Times New Roman" w:cs="Times New Roman"/>
          <w:color w:val="auto"/>
        </w:rPr>
      </w:pPr>
      <w:bookmarkStart w:id="124" w:name="_Hlk2676161"/>
      <w:bookmarkStart w:id="125" w:name="_Toc2691138"/>
      <w:r>
        <w:rPr>
          <w:rFonts w:ascii="Times New Roman" w:hAnsi="Times New Roman" w:cs="Times New Roman"/>
          <w:color w:val="auto"/>
        </w:rPr>
        <w:t>Methane gas production</w:t>
      </w:r>
      <w:bookmarkEnd w:id="125"/>
    </w:p>
    <w:bookmarkEnd w:id="124"/>
    <w:p w14:paraId="610FE910" w14:textId="77777777" w:rsidR="00EF65F1" w:rsidRDefault="00EF65F1">
      <w:pPr>
        <w:jc w:val="both"/>
      </w:pPr>
    </w:p>
    <w:p w14:paraId="3A6D016D" w14:textId="77777777" w:rsidR="00EF65F1" w:rsidRDefault="00484A18">
      <w:pPr>
        <w:pStyle w:val="Heading4"/>
        <w:spacing w:before="0" w:line="360" w:lineRule="auto"/>
        <w:contextualSpacing/>
        <w:jc w:val="both"/>
        <w:rPr>
          <w:rFonts w:ascii="Times New Roman" w:hAnsi="Times New Roman" w:cs="Times New Roman"/>
          <w:color w:val="auto"/>
          <w:sz w:val="24"/>
          <w:szCs w:val="22"/>
        </w:rPr>
      </w:pPr>
      <w:r>
        <w:rPr>
          <w:rFonts w:ascii="Times New Roman" w:hAnsi="Times New Roman" w:cs="Times New Roman"/>
          <w:color w:val="auto"/>
          <w:sz w:val="24"/>
          <w:szCs w:val="22"/>
        </w:rPr>
        <w:t>Collection of gas samples</w:t>
      </w:r>
    </w:p>
    <w:p w14:paraId="02DC7AAF" w14:textId="77777777" w:rsidR="00EF65F1" w:rsidRDefault="00EF65F1">
      <w:pPr>
        <w:spacing w:after="0" w:line="360" w:lineRule="auto"/>
        <w:ind w:firstLine="567"/>
        <w:contextualSpacing/>
        <w:jc w:val="both"/>
        <w:rPr>
          <w:rFonts w:ascii="Times New Roman" w:hAnsi="Times New Roman" w:cs="Times New Roman"/>
          <w:sz w:val="22"/>
          <w:szCs w:val="22"/>
        </w:rPr>
      </w:pPr>
    </w:p>
    <w:p w14:paraId="5F5B3502"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26" w:name="_Hlk536098711"/>
      <w:bookmarkStart w:id="127" w:name="_Hlk2676176"/>
      <w:r>
        <w:rPr>
          <w:rFonts w:ascii="Times New Roman" w:hAnsi="Times New Roman" w:cs="Times New Roman"/>
          <w:sz w:val="22"/>
          <w:szCs w:val="22"/>
        </w:rPr>
        <w:t>Gas samples were collected from all bottles after each pressure reading: 2, 4, 8, 12, 24 and 48 hours of incubation.  The samples were collected in a 10 mL luer-lock syringe, gas-tight, fitted with a three-way stopcock, of which one side was permanently sealed.  Approximately 4 mL of gas were collected manually from each bottle by connecting the syringes via their stopcocks and pulling upwards on the plunger.  Both stopcocks were closed before the syringe was removed.  The use of stopcocks assured that no leakage and/or contamination of gas samples occurred during collection.  The syringes, containing gas samples, were stored at room temperature and analysed for CH</w:t>
      </w:r>
      <w:r>
        <w:rPr>
          <w:rFonts w:ascii="Times New Roman" w:hAnsi="Times New Roman" w:cs="Times New Roman"/>
          <w:sz w:val="22"/>
          <w:szCs w:val="22"/>
          <w:vertAlign w:val="subscript"/>
        </w:rPr>
        <w:t xml:space="preserve">4 </w:t>
      </w:r>
      <w:r>
        <w:rPr>
          <w:rFonts w:ascii="Times New Roman" w:hAnsi="Times New Roman" w:cs="Times New Roman"/>
          <w:sz w:val="22"/>
          <w:szCs w:val="22"/>
        </w:rPr>
        <w:t>concentration within 24 hours of collection.</w:t>
      </w:r>
    </w:p>
    <w:bookmarkEnd w:id="127"/>
    <w:p w14:paraId="490D78BA" w14:textId="77777777" w:rsidR="00EF65F1" w:rsidRDefault="00EF65F1">
      <w:pPr>
        <w:spacing w:after="0" w:line="360" w:lineRule="auto"/>
        <w:ind w:firstLine="567"/>
        <w:contextualSpacing/>
        <w:jc w:val="both"/>
        <w:rPr>
          <w:rFonts w:ascii="Times New Roman" w:hAnsi="Times New Roman" w:cs="Times New Roman"/>
          <w:sz w:val="22"/>
          <w:szCs w:val="22"/>
        </w:rPr>
      </w:pPr>
    </w:p>
    <w:p w14:paraId="24DD50BD" w14:textId="77777777" w:rsidR="00EF65F1" w:rsidRDefault="00EF65F1">
      <w:pPr>
        <w:spacing w:after="0" w:line="360" w:lineRule="auto"/>
        <w:ind w:firstLine="567"/>
        <w:contextualSpacing/>
        <w:jc w:val="both"/>
        <w:rPr>
          <w:rFonts w:ascii="Times New Roman" w:hAnsi="Times New Roman" w:cs="Times New Roman"/>
          <w:sz w:val="22"/>
          <w:szCs w:val="22"/>
        </w:rPr>
      </w:pPr>
    </w:p>
    <w:bookmarkEnd w:id="126"/>
    <w:p w14:paraId="596F1BFB" w14:textId="77777777" w:rsidR="00EF65F1" w:rsidRDefault="00EF65F1">
      <w:pPr>
        <w:spacing w:after="0" w:line="360" w:lineRule="auto"/>
        <w:ind w:firstLine="567"/>
        <w:contextualSpacing/>
        <w:jc w:val="both"/>
        <w:rPr>
          <w:rFonts w:ascii="Times New Roman" w:hAnsi="Times New Roman" w:cs="Times New Roman"/>
          <w:sz w:val="22"/>
          <w:szCs w:val="22"/>
        </w:rPr>
      </w:pPr>
    </w:p>
    <w:p w14:paraId="1691444D" w14:textId="77777777" w:rsidR="00EF65F1" w:rsidRDefault="00484A18">
      <w:pPr>
        <w:pStyle w:val="Heading4"/>
        <w:spacing w:before="0" w:line="360" w:lineRule="auto"/>
        <w:contextualSpacing/>
        <w:jc w:val="both"/>
        <w:rPr>
          <w:rFonts w:ascii="Times New Roman" w:hAnsi="Times New Roman" w:cs="Times New Roman"/>
          <w:color w:val="auto"/>
          <w:sz w:val="24"/>
          <w:szCs w:val="22"/>
        </w:rPr>
      </w:pPr>
      <w:r>
        <w:rPr>
          <w:rFonts w:ascii="Times New Roman" w:hAnsi="Times New Roman" w:cs="Times New Roman"/>
          <w:color w:val="auto"/>
          <w:sz w:val="24"/>
          <w:szCs w:val="22"/>
        </w:rPr>
        <w:lastRenderedPageBreak/>
        <w:t>Analysis of gas samples</w:t>
      </w:r>
    </w:p>
    <w:p w14:paraId="5DF608D3" w14:textId="77777777" w:rsidR="00EF65F1" w:rsidRDefault="00EF65F1">
      <w:pPr>
        <w:spacing w:after="0" w:line="360" w:lineRule="auto"/>
        <w:ind w:firstLine="567"/>
        <w:contextualSpacing/>
        <w:jc w:val="both"/>
        <w:rPr>
          <w:rFonts w:ascii="Times New Roman" w:hAnsi="Times New Roman" w:cs="Times New Roman"/>
          <w:sz w:val="22"/>
          <w:szCs w:val="22"/>
        </w:rPr>
      </w:pPr>
    </w:p>
    <w:p w14:paraId="42BD721A" w14:textId="77777777" w:rsidR="00EF65F1" w:rsidRDefault="00484A18">
      <w:pPr>
        <w:spacing w:after="0" w:line="360" w:lineRule="auto"/>
        <w:ind w:firstLine="567"/>
        <w:contextualSpacing/>
        <w:rPr>
          <w:rFonts w:ascii="Times New Roman" w:hAnsi="Times New Roman" w:cs="Times New Roman"/>
          <w:sz w:val="22"/>
          <w:szCs w:val="22"/>
        </w:rPr>
      </w:pPr>
      <w:bookmarkStart w:id="128" w:name="_Hlk536098956"/>
      <w:bookmarkStart w:id="129" w:name="_Hlk2676198"/>
      <w:r>
        <w:rPr>
          <w:rFonts w:ascii="Times New Roman" w:hAnsi="Times New Roman" w:cs="Times New Roman"/>
          <w:sz w:val="22"/>
          <w:szCs w:val="22"/>
        </w:rPr>
        <w:t>Gas chromatography (GC) was used to analyse all gas samples collected for CH</w:t>
      </w:r>
      <w:r>
        <w:rPr>
          <w:rFonts w:ascii="Times New Roman" w:hAnsi="Times New Roman" w:cs="Times New Roman"/>
          <w:sz w:val="22"/>
          <w:szCs w:val="22"/>
          <w:vertAlign w:val="subscript"/>
        </w:rPr>
        <w:t xml:space="preserve">4 </w:t>
      </w:r>
      <w:r>
        <w:rPr>
          <w:rFonts w:ascii="Times New Roman" w:hAnsi="Times New Roman" w:cs="Times New Roman"/>
          <w:sz w:val="22"/>
          <w:szCs w:val="22"/>
        </w:rPr>
        <w:t>concentration.  The samples were injected manually, into a gas chromatography fitted with a flame ionisation detector (FID) (SRI 8610C Gas Chromatograph BTU Gas Analyser GC system; SRI Instruments GmbH, Bad Honnef, Germany), with a solenoid column packed with silica gel.  Data output from the gas chromatograph was captured with Peak simple software version 3.93 (SRI Inc) in terms of area and converted to parts per million (ppm) using the standard curve equation developed.  Samples were injected manually (Figure 2.12), through a push and pull system, into the GC which was calibrated with standard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and CO</w:t>
      </w:r>
      <w:r>
        <w:rPr>
          <w:rFonts w:ascii="Times New Roman" w:hAnsi="Times New Roman" w:cs="Times New Roman"/>
          <w:sz w:val="22"/>
          <w:szCs w:val="22"/>
          <w:vertAlign w:val="subscript"/>
        </w:rPr>
        <w:t xml:space="preserve">2 </w:t>
      </w:r>
      <w:r>
        <w:rPr>
          <w:rFonts w:ascii="Times New Roman" w:hAnsi="Times New Roman" w:cs="Times New Roman"/>
          <w:sz w:val="22"/>
          <w:szCs w:val="22"/>
        </w:rPr>
        <w:t>gases. Blanks were also analysed to account for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from the inoculum.  </w:t>
      </w:r>
      <w:bookmarkEnd w:id="128"/>
    </w:p>
    <w:bookmarkEnd w:id="129"/>
    <w:p w14:paraId="78CF150D" w14:textId="77777777" w:rsidR="00EF65F1" w:rsidRDefault="00EF65F1">
      <w:pPr>
        <w:spacing w:after="0" w:line="360" w:lineRule="auto"/>
        <w:ind w:firstLine="567"/>
        <w:contextualSpacing/>
        <w:rPr>
          <w:rFonts w:ascii="Times New Roman" w:hAnsi="Times New Roman" w:cs="Times New Roman"/>
          <w:sz w:val="22"/>
          <w:szCs w:val="22"/>
        </w:rPr>
      </w:pPr>
    </w:p>
    <w:p w14:paraId="3B678A1C"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noProof/>
          <w:sz w:val="22"/>
          <w:szCs w:val="22"/>
          <w:lang w:eastAsia="en-ZA"/>
        </w:rPr>
        <w:drawing>
          <wp:inline distT="0" distB="0" distL="0" distR="0" wp14:anchorId="18F075D0" wp14:editId="5BE475B1">
            <wp:extent cx="3770462" cy="2534218"/>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_182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779741" cy="2540454"/>
                    </a:xfrm>
                    <a:prstGeom prst="rect">
                      <a:avLst/>
                    </a:prstGeom>
                  </pic:spPr>
                </pic:pic>
              </a:graphicData>
            </a:graphic>
          </wp:inline>
        </w:drawing>
      </w:r>
    </w:p>
    <w:p w14:paraId="0E2A2DB7" w14:textId="77777777" w:rsidR="00EF65F1" w:rsidRDefault="00EF65F1">
      <w:pPr>
        <w:pStyle w:val="Caption"/>
        <w:spacing w:after="0" w:line="360" w:lineRule="auto"/>
        <w:contextualSpacing/>
        <w:jc w:val="both"/>
        <w:rPr>
          <w:rFonts w:ascii="Times New Roman" w:hAnsi="Times New Roman" w:cs="Times New Roman"/>
          <w:i w:val="0"/>
          <w:color w:val="auto"/>
          <w:sz w:val="24"/>
          <w:szCs w:val="22"/>
        </w:rPr>
      </w:pPr>
      <w:bookmarkStart w:id="130" w:name="_Toc530512573"/>
      <w:bookmarkStart w:id="131" w:name="_Toc2349042"/>
    </w:p>
    <w:p w14:paraId="03287B48" w14:textId="7EA9CF9F" w:rsidR="00EF65F1" w:rsidRDefault="00484A18">
      <w:pPr>
        <w:pStyle w:val="Caption"/>
        <w:spacing w:after="0" w:line="360" w:lineRule="auto"/>
        <w:contextualSpacing/>
        <w:jc w:val="both"/>
        <w:rPr>
          <w:rFonts w:ascii="Times New Roman" w:hAnsi="Times New Roman" w:cs="Times New Roman"/>
          <w:i w:val="0"/>
          <w:color w:val="auto"/>
          <w:sz w:val="24"/>
          <w:szCs w:val="22"/>
        </w:rPr>
      </w:pPr>
      <w:r>
        <w:rPr>
          <w:rFonts w:ascii="Times New Roman" w:hAnsi="Times New Roman" w:cs="Times New Roman"/>
          <w:i w:val="0"/>
          <w:color w:val="auto"/>
          <w:sz w:val="24"/>
          <w:szCs w:val="22"/>
        </w:rPr>
        <w:t xml:space="preserve">Figure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Figure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Manually injecting gas samples into GC</w:t>
      </w:r>
      <w:bookmarkEnd w:id="130"/>
      <w:bookmarkEnd w:id="131"/>
    </w:p>
    <w:p w14:paraId="430E3CAB" w14:textId="77777777" w:rsidR="00EF65F1" w:rsidRDefault="00EF65F1">
      <w:pPr>
        <w:spacing w:after="0" w:line="360" w:lineRule="auto"/>
        <w:ind w:firstLine="567"/>
        <w:contextualSpacing/>
        <w:rPr>
          <w:rFonts w:ascii="Times New Roman" w:hAnsi="Times New Roman" w:cs="Times New Roman"/>
          <w:sz w:val="22"/>
          <w:szCs w:val="22"/>
        </w:rPr>
      </w:pPr>
    </w:p>
    <w:p w14:paraId="0EF65BF7" w14:textId="77777777" w:rsidR="006D2425"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 15-point standard curve was developed using standard gases with known CH</w:t>
      </w:r>
      <w:r>
        <w:rPr>
          <w:rFonts w:ascii="Times New Roman" w:hAnsi="Times New Roman" w:cs="Times New Roman"/>
          <w:sz w:val="22"/>
          <w:szCs w:val="22"/>
          <w:vertAlign w:val="subscript"/>
        </w:rPr>
        <w:t xml:space="preserve">4 </w:t>
      </w:r>
      <w:r>
        <w:rPr>
          <w:rFonts w:ascii="Times New Roman" w:hAnsi="Times New Roman" w:cs="Times New Roman"/>
          <w:sz w:val="22"/>
          <w:szCs w:val="22"/>
        </w:rPr>
        <w:t>concentrations, ranging from 0.001% to 5.9% CH</w:t>
      </w:r>
      <w:r>
        <w:rPr>
          <w:rFonts w:ascii="Times New Roman" w:hAnsi="Times New Roman" w:cs="Times New Roman"/>
          <w:sz w:val="22"/>
          <w:szCs w:val="22"/>
          <w:vertAlign w:val="subscript"/>
        </w:rPr>
        <w:t>4</w:t>
      </w:r>
      <w:r>
        <w:rPr>
          <w:rFonts w:ascii="Times New Roman" w:hAnsi="Times New Roman" w:cs="Times New Roman"/>
          <w:sz w:val="22"/>
          <w:szCs w:val="22"/>
        </w:rPr>
        <w:t>.  The curve showed two distinct gradients for higher and lower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concentrations, thus the graph was divided into an ‘upper’ an ‘lower’ area curves to increase regression strength (Appendix A).  A GC area of less than 22 000 was associated with the lower curve </w:t>
      </w:r>
    </w:p>
    <w:p w14:paraId="70CD02AB" w14:textId="36BABF7A" w:rsidR="006D2425" w:rsidRDefault="00484A18" w:rsidP="006D2425">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y= 1.9159x + 1564, R</w:t>
      </w:r>
      <w:r>
        <w:rPr>
          <w:rFonts w:ascii="Times New Roman" w:hAnsi="Times New Roman" w:cs="Times New Roman"/>
          <w:sz w:val="22"/>
          <w:szCs w:val="22"/>
          <w:vertAlign w:val="superscript"/>
        </w:rPr>
        <w:t xml:space="preserve">2 </w:t>
      </w:r>
      <w:r>
        <w:rPr>
          <w:rFonts w:ascii="Times New Roman" w:hAnsi="Times New Roman" w:cs="Times New Roman"/>
          <w:sz w:val="22"/>
          <w:szCs w:val="22"/>
        </w:rPr>
        <w:t>= 0.9901.</w:t>
      </w:r>
    </w:p>
    <w:p w14:paraId="1E156B1B" w14:textId="77777777" w:rsidR="006D2425" w:rsidRDefault="00484A18" w:rsidP="006D2425">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 xml:space="preserve">The upper curve was used to convert GC area’s greater or equal 22 000 with the equation </w:t>
      </w:r>
    </w:p>
    <w:p w14:paraId="143A38DA" w14:textId="03EC5F6C" w:rsidR="00EF65F1" w:rsidRDefault="00484A18" w:rsidP="006D2425">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y = 0.3329x + 19446, R</w:t>
      </w:r>
      <w:r>
        <w:rPr>
          <w:rFonts w:ascii="Times New Roman" w:hAnsi="Times New Roman" w:cs="Times New Roman"/>
          <w:sz w:val="22"/>
          <w:szCs w:val="22"/>
          <w:vertAlign w:val="superscript"/>
        </w:rPr>
        <w:t xml:space="preserve">2 </w:t>
      </w:r>
      <w:r>
        <w:rPr>
          <w:rFonts w:ascii="Times New Roman" w:hAnsi="Times New Roman" w:cs="Times New Roman"/>
          <w:sz w:val="22"/>
          <w:szCs w:val="22"/>
        </w:rPr>
        <w:t>= 0.9549.</w:t>
      </w:r>
    </w:p>
    <w:p w14:paraId="18A3CDAD" w14:textId="77777777" w:rsidR="00EF65F1" w:rsidRDefault="00EF65F1">
      <w:pPr>
        <w:spacing w:after="0" w:line="360" w:lineRule="auto"/>
        <w:ind w:firstLine="567"/>
        <w:contextualSpacing/>
        <w:jc w:val="both"/>
        <w:rPr>
          <w:rFonts w:ascii="Times New Roman" w:hAnsi="Times New Roman" w:cs="Times New Roman"/>
          <w:sz w:val="22"/>
          <w:szCs w:val="22"/>
        </w:rPr>
      </w:pPr>
    </w:p>
    <w:p w14:paraId="5F162E74"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32" w:name="_Hlk2676232"/>
      <w:r>
        <w:rPr>
          <w:rFonts w:ascii="Times New Roman" w:hAnsi="Times New Roman" w:cs="Times New Roman"/>
          <w:sz w:val="22"/>
          <w:szCs w:val="22"/>
        </w:rPr>
        <w:t>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per bottle (mL) was calculated by multiplying the net volume of gas produced (mL) during each sampling interval multiplied with the percentage of methane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w:t>
      </w:r>
      <w:r>
        <w:rPr>
          <w:rFonts w:ascii="Times New Roman" w:hAnsi="Times New Roman" w:cs="Times New Roman"/>
          <w:sz w:val="22"/>
          <w:szCs w:val="22"/>
        </w:rPr>
        <w:lastRenderedPageBreak/>
        <w:t>determined for that incubation bottle per incubation period i.e. since last venting.  Subtracted from this value was the average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from the blank bottles incubated.  The production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was obtained with the following formula:</w:t>
      </w:r>
    </w:p>
    <w:p w14:paraId="7100F25A" w14:textId="77777777" w:rsidR="00EF65F1" w:rsidRDefault="00EF65F1">
      <w:pPr>
        <w:spacing w:after="0" w:line="360" w:lineRule="auto"/>
        <w:ind w:firstLine="567"/>
        <w:contextualSpacing/>
        <w:rPr>
          <w:rFonts w:ascii="Times New Roman" w:hAnsi="Times New Roman" w:cs="Times New Roman"/>
          <w:sz w:val="22"/>
          <w:szCs w:val="22"/>
        </w:rPr>
      </w:pPr>
    </w:p>
    <w:p w14:paraId="4C5E5B35" w14:textId="77777777" w:rsidR="00EF65F1" w:rsidRDefault="00484A18">
      <w:pPr>
        <w:spacing w:after="0" w:line="360" w:lineRule="auto"/>
        <w:ind w:left="2381" w:hanging="2381"/>
        <w:contextualSpacing/>
        <w:jc w:val="both"/>
        <w:rPr>
          <w:rFonts w:ascii="Times New Roman" w:hAnsi="Times New Roman" w:cs="Times New Roman"/>
          <w:sz w:val="22"/>
          <w:szCs w:val="22"/>
          <w:vertAlign w:val="subscript"/>
        </w:rPr>
      </w:pPr>
      <w:bookmarkStart w:id="133" w:name="_Hlk536099098"/>
      <w:r>
        <w:rPr>
          <w:rFonts w:ascii="Times New Roman" w:hAnsi="Times New Roman" w:cs="Times New Roman"/>
          <w:sz w:val="22"/>
          <w:szCs w:val="22"/>
        </w:rPr>
        <w:t>CH</w:t>
      </w:r>
      <w:r>
        <w:rPr>
          <w:rFonts w:ascii="Times New Roman" w:hAnsi="Times New Roman" w:cs="Times New Roman"/>
          <w:sz w:val="22"/>
          <w:szCs w:val="22"/>
          <w:vertAlign w:val="subscript"/>
        </w:rPr>
        <w:t xml:space="preserve">4 </w:t>
      </w:r>
      <w:r>
        <w:rPr>
          <w:rFonts w:ascii="Times New Roman" w:hAnsi="Times New Roman" w:cs="Times New Roman"/>
          <w:sz w:val="22"/>
          <w:szCs w:val="22"/>
        </w:rPr>
        <w:t>production (mL)    = (volume gas produced (mL) x %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in the bottle)</w:t>
      </w:r>
      <w:r>
        <w:rPr>
          <w:rFonts w:ascii="Times New Roman" w:hAnsi="Times New Roman" w:cs="Times New Roman"/>
          <w:sz w:val="22"/>
          <w:szCs w:val="22"/>
          <w:vertAlign w:val="subscript"/>
        </w:rPr>
        <w:t xml:space="preserve"> xi</w:t>
      </w:r>
      <w:r>
        <w:rPr>
          <w:rFonts w:ascii="Times New Roman" w:hAnsi="Times New Roman" w:cs="Times New Roman"/>
          <w:sz w:val="22"/>
          <w:szCs w:val="22"/>
        </w:rPr>
        <w:t xml:space="preserve"> – (volume gas       produced (mL) x % CH</w:t>
      </w:r>
      <w:r>
        <w:rPr>
          <w:rFonts w:ascii="Times New Roman" w:hAnsi="Times New Roman" w:cs="Times New Roman"/>
          <w:sz w:val="22"/>
          <w:szCs w:val="22"/>
          <w:vertAlign w:val="subscript"/>
        </w:rPr>
        <w:t>4</w:t>
      </w:r>
      <w:r>
        <w:rPr>
          <w:rFonts w:ascii="Times New Roman" w:hAnsi="Times New Roman" w:cs="Times New Roman"/>
          <w:sz w:val="22"/>
          <w:szCs w:val="22"/>
        </w:rPr>
        <w:t xml:space="preserve"> in the bottle) </w:t>
      </w:r>
      <w:r>
        <w:rPr>
          <w:rFonts w:ascii="Times New Roman" w:hAnsi="Times New Roman" w:cs="Times New Roman"/>
          <w:sz w:val="22"/>
          <w:szCs w:val="22"/>
          <w:vertAlign w:val="subscript"/>
        </w:rPr>
        <w:t>avgB.i</w:t>
      </w:r>
    </w:p>
    <w:p w14:paraId="5ADDEB7A" w14:textId="77777777" w:rsidR="00EF65F1" w:rsidRDefault="00EF65F1">
      <w:pPr>
        <w:spacing w:after="0" w:line="360" w:lineRule="auto"/>
        <w:ind w:left="2160" w:hanging="2160"/>
        <w:contextualSpacing/>
        <w:jc w:val="both"/>
        <w:rPr>
          <w:rFonts w:ascii="Times New Roman" w:hAnsi="Times New Roman" w:cs="Times New Roman"/>
          <w:sz w:val="22"/>
          <w:szCs w:val="22"/>
          <w:vertAlign w:val="subscript"/>
        </w:rPr>
      </w:pPr>
    </w:p>
    <w:p w14:paraId="0E9F7E64" w14:textId="77777777" w:rsidR="00EF65F1" w:rsidRDefault="00484A18">
      <w:pPr>
        <w:spacing w:after="0" w:line="360" w:lineRule="auto"/>
        <w:ind w:firstLine="720"/>
        <w:contextualSpacing/>
        <w:jc w:val="both"/>
        <w:rPr>
          <w:rFonts w:ascii="Times New Roman" w:hAnsi="Times New Roman" w:cs="Times New Roman"/>
          <w:sz w:val="22"/>
          <w:szCs w:val="22"/>
        </w:rPr>
      </w:pPr>
      <w:r>
        <w:rPr>
          <w:rFonts w:ascii="Times New Roman" w:hAnsi="Times New Roman" w:cs="Times New Roman"/>
          <w:sz w:val="22"/>
          <w:szCs w:val="22"/>
        </w:rPr>
        <w:t xml:space="preserve">Where </w:t>
      </w:r>
      <w:r>
        <w:rPr>
          <w:rFonts w:ascii="Times New Roman" w:hAnsi="Times New Roman" w:cs="Times New Roman"/>
          <w:sz w:val="22"/>
          <w:szCs w:val="22"/>
        </w:rPr>
        <w:tab/>
        <w:t>x</w:t>
      </w:r>
      <w:r>
        <w:rPr>
          <w:rFonts w:ascii="Times New Roman" w:hAnsi="Times New Roman" w:cs="Times New Roman"/>
          <w:sz w:val="22"/>
          <w:szCs w:val="22"/>
        </w:rPr>
        <w:tab/>
        <w:t xml:space="preserve">= </w:t>
      </w:r>
      <w:r>
        <w:rPr>
          <w:rFonts w:ascii="Times New Roman" w:hAnsi="Times New Roman" w:cs="Times New Roman"/>
          <w:sz w:val="22"/>
          <w:szCs w:val="22"/>
        </w:rPr>
        <w:tab/>
        <w:t>incubation bottle</w:t>
      </w:r>
    </w:p>
    <w:p w14:paraId="17C0785B" w14:textId="77777777" w:rsidR="00EF65F1" w:rsidRDefault="00484A18">
      <w:pPr>
        <w:spacing w:after="0" w:line="360" w:lineRule="auto"/>
        <w:ind w:left="720" w:firstLine="720"/>
        <w:contextualSpacing/>
        <w:jc w:val="both"/>
        <w:rPr>
          <w:rFonts w:ascii="Times New Roman" w:hAnsi="Times New Roman" w:cs="Times New Roman"/>
          <w:sz w:val="22"/>
          <w:szCs w:val="22"/>
        </w:rPr>
      </w:pPr>
      <w:r>
        <w:rPr>
          <w:rFonts w:ascii="Times New Roman" w:hAnsi="Times New Roman" w:cs="Times New Roman"/>
          <w:sz w:val="22"/>
          <w:szCs w:val="22"/>
        </w:rPr>
        <w:t>i</w:t>
      </w:r>
      <w:r>
        <w:rPr>
          <w:rFonts w:ascii="Times New Roman" w:hAnsi="Times New Roman" w:cs="Times New Roman"/>
          <w:sz w:val="22"/>
          <w:szCs w:val="22"/>
        </w:rPr>
        <w:tab/>
        <w:t xml:space="preserve">= </w:t>
      </w:r>
      <w:r>
        <w:rPr>
          <w:rFonts w:ascii="Times New Roman" w:hAnsi="Times New Roman" w:cs="Times New Roman"/>
          <w:sz w:val="22"/>
          <w:szCs w:val="22"/>
        </w:rPr>
        <w:tab/>
        <w:t>incubation period</w:t>
      </w:r>
    </w:p>
    <w:p w14:paraId="4DD5ED1C" w14:textId="77777777" w:rsidR="00EF65F1" w:rsidRDefault="00484A18">
      <w:pPr>
        <w:spacing w:after="0" w:line="360" w:lineRule="auto"/>
        <w:ind w:left="720" w:firstLine="720"/>
        <w:contextualSpacing/>
        <w:jc w:val="both"/>
        <w:rPr>
          <w:rFonts w:ascii="Times New Roman" w:hAnsi="Times New Roman" w:cs="Times New Roman"/>
          <w:sz w:val="22"/>
          <w:szCs w:val="22"/>
        </w:rPr>
      </w:pPr>
      <w:r>
        <w:rPr>
          <w:rFonts w:ascii="Times New Roman" w:hAnsi="Times New Roman" w:cs="Times New Roman"/>
          <w:sz w:val="22"/>
          <w:szCs w:val="22"/>
        </w:rPr>
        <w:t>avgB</w:t>
      </w:r>
      <w:r>
        <w:rPr>
          <w:rFonts w:ascii="Times New Roman" w:hAnsi="Times New Roman" w:cs="Times New Roman"/>
          <w:sz w:val="22"/>
          <w:szCs w:val="22"/>
        </w:rPr>
        <w:tab/>
        <w:t xml:space="preserve">= </w:t>
      </w:r>
      <w:r>
        <w:rPr>
          <w:rFonts w:ascii="Times New Roman" w:hAnsi="Times New Roman" w:cs="Times New Roman"/>
          <w:sz w:val="22"/>
          <w:szCs w:val="22"/>
        </w:rPr>
        <w:tab/>
        <w:t>average value for blanks</w:t>
      </w:r>
    </w:p>
    <w:bookmarkEnd w:id="132"/>
    <w:bookmarkEnd w:id="133"/>
    <w:p w14:paraId="22F631E7" w14:textId="77777777" w:rsidR="00EF65F1" w:rsidRDefault="00EF65F1">
      <w:pPr>
        <w:spacing w:after="0" w:line="360" w:lineRule="auto"/>
        <w:ind w:left="720"/>
        <w:contextualSpacing/>
        <w:jc w:val="both"/>
        <w:rPr>
          <w:rFonts w:ascii="Times New Roman" w:hAnsi="Times New Roman" w:cs="Times New Roman"/>
          <w:sz w:val="22"/>
          <w:szCs w:val="22"/>
        </w:rPr>
      </w:pPr>
    </w:p>
    <w:p w14:paraId="59E51F84" w14:textId="77777777" w:rsidR="00EF65F1" w:rsidRDefault="00484A18">
      <w:pPr>
        <w:pStyle w:val="Heading3"/>
        <w:spacing w:before="0" w:line="360" w:lineRule="auto"/>
        <w:ind w:left="284"/>
        <w:contextualSpacing/>
        <w:jc w:val="both"/>
        <w:rPr>
          <w:rFonts w:ascii="Times New Roman" w:hAnsi="Times New Roman" w:cs="Times New Roman"/>
          <w:color w:val="auto"/>
        </w:rPr>
      </w:pPr>
      <w:bookmarkStart w:id="134" w:name="_Hlk2676242"/>
      <w:bookmarkStart w:id="135" w:name="_Toc2691139"/>
      <w:r>
        <w:rPr>
          <w:rFonts w:ascii="Times New Roman" w:hAnsi="Times New Roman" w:cs="Times New Roman"/>
          <w:i/>
          <w:color w:val="auto"/>
        </w:rPr>
        <w:t>In vitro</w:t>
      </w:r>
      <w:r>
        <w:rPr>
          <w:rFonts w:ascii="Times New Roman" w:hAnsi="Times New Roman" w:cs="Times New Roman"/>
          <w:color w:val="auto"/>
        </w:rPr>
        <w:t xml:space="preserve"> organic matter digestibility</w:t>
      </w:r>
      <w:bookmarkEnd w:id="135"/>
    </w:p>
    <w:bookmarkEnd w:id="134"/>
    <w:p w14:paraId="45F6F86C" w14:textId="77777777" w:rsidR="00EF65F1" w:rsidRDefault="00EF65F1">
      <w:pPr>
        <w:spacing w:after="0" w:line="360" w:lineRule="auto"/>
        <w:ind w:firstLine="567"/>
        <w:contextualSpacing/>
        <w:jc w:val="both"/>
        <w:rPr>
          <w:rFonts w:ascii="Times New Roman" w:hAnsi="Times New Roman" w:cs="Times New Roman"/>
          <w:sz w:val="22"/>
          <w:szCs w:val="22"/>
        </w:rPr>
      </w:pPr>
    </w:p>
    <w:p w14:paraId="2EA52F89"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36" w:name="_Hlk536099237"/>
      <w:bookmarkStart w:id="137" w:name="_Hlk2676267"/>
      <w:r>
        <w:rPr>
          <w:rFonts w:ascii="Times New Roman" w:hAnsi="Times New Roman" w:cs="Times New Roman"/>
          <w:sz w:val="22"/>
          <w:szCs w:val="22"/>
        </w:rPr>
        <w:t xml:space="preserve">The </w:t>
      </w:r>
      <w:r>
        <w:rPr>
          <w:rFonts w:ascii="Times New Roman" w:hAnsi="Times New Roman" w:cs="Times New Roman"/>
          <w:i/>
          <w:sz w:val="22"/>
          <w:szCs w:val="22"/>
        </w:rPr>
        <w:t xml:space="preserve">in vitro </w:t>
      </w:r>
      <w:r>
        <w:rPr>
          <w:rFonts w:ascii="Times New Roman" w:hAnsi="Times New Roman" w:cs="Times New Roman"/>
          <w:sz w:val="22"/>
          <w:szCs w:val="22"/>
        </w:rPr>
        <w:t>organic matter digestibility (IVOMD) values for each treatment was determined by a two-stage digestion technique developed by Tilley and Terry (1963) and incorporating modifications suggested by Engels and van der Merwe (1967).</w:t>
      </w:r>
      <w:bookmarkEnd w:id="136"/>
      <w:r>
        <w:rPr>
          <w:rFonts w:ascii="Times New Roman" w:hAnsi="Times New Roman" w:cs="Times New Roman"/>
          <w:sz w:val="22"/>
          <w:szCs w:val="22"/>
        </w:rPr>
        <w:t xml:space="preserve">  In this study, 2 independent </w:t>
      </w:r>
      <w:r>
        <w:rPr>
          <w:rFonts w:ascii="Times New Roman" w:hAnsi="Times New Roman" w:cs="Times New Roman"/>
          <w:i/>
          <w:sz w:val="22"/>
          <w:szCs w:val="22"/>
        </w:rPr>
        <w:t xml:space="preserve">in vitro </w:t>
      </w:r>
      <w:r>
        <w:rPr>
          <w:rFonts w:ascii="Times New Roman" w:hAnsi="Times New Roman" w:cs="Times New Roman"/>
          <w:sz w:val="22"/>
          <w:szCs w:val="22"/>
        </w:rPr>
        <w:t>digestibility runs were performed with 4 replications per treatment, except for the negative control treatment and blank bottles which were replicated 6 times.</w:t>
      </w:r>
    </w:p>
    <w:p w14:paraId="121D6E9E" w14:textId="77777777" w:rsidR="00EF65F1" w:rsidRDefault="00EF65F1">
      <w:pPr>
        <w:spacing w:after="0" w:line="360" w:lineRule="auto"/>
        <w:ind w:firstLine="567"/>
        <w:contextualSpacing/>
        <w:jc w:val="both"/>
        <w:rPr>
          <w:rFonts w:ascii="Times New Roman" w:hAnsi="Times New Roman" w:cs="Times New Roman"/>
          <w:sz w:val="22"/>
          <w:szCs w:val="22"/>
        </w:rPr>
      </w:pPr>
    </w:p>
    <w:p w14:paraId="0E2960B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About 200 ± 0.05 mg of </w:t>
      </w:r>
      <w:r>
        <w:rPr>
          <w:rFonts w:ascii="Times New Roman" w:hAnsi="Times New Roman" w:cs="Times New Roman"/>
          <w:i/>
          <w:sz w:val="22"/>
          <w:szCs w:val="22"/>
        </w:rPr>
        <w:t>E. curvula</w:t>
      </w:r>
      <w:r>
        <w:rPr>
          <w:rFonts w:ascii="Times New Roman" w:hAnsi="Times New Roman" w:cs="Times New Roman"/>
          <w:sz w:val="22"/>
          <w:szCs w:val="22"/>
        </w:rPr>
        <w:t xml:space="preserve"> hay were weighed into glass test tubes, with 2 mL of each premixed plant extract solution added to the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about 16 hours prior to incubation.  On the morning, prior to rumen fluid collection, 2 mL of urea solution was added to each tube containing the hay and treatment.  </w:t>
      </w:r>
      <w:bookmarkStart w:id="138" w:name="_Hlk536099340"/>
      <w:r>
        <w:rPr>
          <w:rFonts w:ascii="Times New Roman" w:hAnsi="Times New Roman" w:cs="Times New Roman"/>
          <w:sz w:val="22"/>
          <w:szCs w:val="22"/>
        </w:rPr>
        <w:t>The artificial saliva, used as a buffer, was prepared by dissolving NaHCO</w:t>
      </w:r>
      <w:r>
        <w:rPr>
          <w:rFonts w:ascii="Times New Roman" w:hAnsi="Times New Roman" w:cs="Times New Roman"/>
          <w:sz w:val="22"/>
          <w:szCs w:val="22"/>
          <w:vertAlign w:val="subscript"/>
        </w:rPr>
        <w:t>3</w:t>
      </w:r>
      <w:r>
        <w:rPr>
          <w:rFonts w:ascii="Times New Roman" w:hAnsi="Times New Roman" w:cs="Times New Roman"/>
          <w:sz w:val="22"/>
          <w:szCs w:val="22"/>
        </w:rPr>
        <w:t>, Na</w:t>
      </w:r>
      <w:r>
        <w:rPr>
          <w:rFonts w:ascii="Times New Roman" w:hAnsi="Times New Roman" w:cs="Times New Roman"/>
          <w:sz w:val="22"/>
          <w:szCs w:val="22"/>
          <w:vertAlign w:val="subscript"/>
        </w:rPr>
        <w:t>2</w:t>
      </w:r>
      <w:r>
        <w:rPr>
          <w:rFonts w:ascii="Times New Roman" w:hAnsi="Times New Roman" w:cs="Times New Roman"/>
          <w:sz w:val="22"/>
          <w:szCs w:val="22"/>
        </w:rPr>
        <w:t>HPO</w:t>
      </w:r>
      <w:r>
        <w:rPr>
          <w:rFonts w:ascii="Times New Roman" w:hAnsi="Times New Roman" w:cs="Times New Roman"/>
          <w:sz w:val="22"/>
          <w:szCs w:val="22"/>
          <w:vertAlign w:val="subscript"/>
        </w:rPr>
        <w:t>4</w:t>
      </w:r>
      <w:r>
        <w:rPr>
          <w:rFonts w:ascii="Times New Roman" w:hAnsi="Times New Roman" w:cs="Times New Roman"/>
          <w:sz w:val="22"/>
          <w:szCs w:val="22"/>
        </w:rPr>
        <w:t>, KCl, NaCl, MgSO</w:t>
      </w:r>
      <w:r>
        <w:rPr>
          <w:rFonts w:ascii="Times New Roman" w:hAnsi="Times New Roman" w:cs="Times New Roman"/>
          <w:sz w:val="22"/>
          <w:szCs w:val="22"/>
          <w:vertAlign w:val="subscript"/>
        </w:rPr>
        <w:t>4</w:t>
      </w:r>
      <w:r>
        <w:rPr>
          <w:rFonts w:ascii="Times New Roman" w:hAnsi="Times New Roman" w:cs="Times New Roman"/>
          <w:sz w:val="22"/>
          <w:szCs w:val="22"/>
        </w:rPr>
        <w:t>.7H</w:t>
      </w:r>
      <w:r>
        <w:rPr>
          <w:rFonts w:ascii="Times New Roman" w:hAnsi="Times New Roman" w:cs="Times New Roman"/>
          <w:sz w:val="22"/>
          <w:szCs w:val="22"/>
          <w:vertAlign w:val="subscript"/>
        </w:rPr>
        <w:t>2</w:t>
      </w:r>
      <w:r>
        <w:rPr>
          <w:rFonts w:ascii="Times New Roman" w:hAnsi="Times New Roman" w:cs="Times New Roman"/>
          <w:sz w:val="22"/>
          <w:szCs w:val="22"/>
        </w:rPr>
        <w:t>O and CaCl</w:t>
      </w:r>
      <w:r>
        <w:rPr>
          <w:rFonts w:ascii="Times New Roman" w:hAnsi="Times New Roman" w:cs="Times New Roman"/>
          <w:sz w:val="22"/>
          <w:szCs w:val="22"/>
          <w:vertAlign w:val="subscript"/>
        </w:rPr>
        <w:t>2</w:t>
      </w:r>
      <w:r>
        <w:rPr>
          <w:rFonts w:ascii="Times New Roman" w:hAnsi="Times New Roman" w:cs="Times New Roman"/>
          <w:sz w:val="22"/>
          <w:szCs w:val="22"/>
        </w:rPr>
        <w:t xml:space="preserve"> into distilled water in predetermined amounts.  Once prepared, the solution was prewarmed in a water bath at 39°C with CO</w:t>
      </w:r>
      <w:r>
        <w:rPr>
          <w:rFonts w:ascii="Times New Roman" w:hAnsi="Times New Roman" w:cs="Times New Roman"/>
          <w:sz w:val="22"/>
          <w:szCs w:val="22"/>
          <w:vertAlign w:val="subscript"/>
        </w:rPr>
        <w:t>2</w:t>
      </w:r>
      <w:r>
        <w:rPr>
          <w:rFonts w:ascii="Times New Roman" w:hAnsi="Times New Roman" w:cs="Times New Roman"/>
          <w:sz w:val="22"/>
          <w:szCs w:val="22"/>
        </w:rPr>
        <w:t xml:space="preserve"> being flushed through the solution for approximately 30 minutes, after which the rumen fluid was added to the saliva in a ratio of 1:3 under a constant stream of CO</w:t>
      </w:r>
      <w:r>
        <w:rPr>
          <w:rFonts w:ascii="Times New Roman" w:hAnsi="Times New Roman" w:cs="Times New Roman"/>
          <w:sz w:val="22"/>
          <w:szCs w:val="22"/>
          <w:vertAlign w:val="subscript"/>
        </w:rPr>
        <w:t>2</w:t>
      </w:r>
      <w:r>
        <w:rPr>
          <w:rFonts w:ascii="Times New Roman" w:hAnsi="Times New Roman" w:cs="Times New Roman"/>
          <w:sz w:val="22"/>
          <w:szCs w:val="22"/>
        </w:rPr>
        <w:t>.  Using a syringe, 20 mL of the saliva/rumen fluid mixture were added to each prewarmed tube and immediately flushed with CO</w:t>
      </w:r>
      <w:r>
        <w:rPr>
          <w:rFonts w:ascii="Times New Roman" w:hAnsi="Times New Roman" w:cs="Times New Roman"/>
          <w:sz w:val="22"/>
          <w:szCs w:val="22"/>
          <w:vertAlign w:val="subscript"/>
        </w:rPr>
        <w:t xml:space="preserve">2 </w:t>
      </w:r>
      <w:r>
        <w:rPr>
          <w:rFonts w:ascii="Times New Roman" w:hAnsi="Times New Roman" w:cs="Times New Roman"/>
          <w:sz w:val="22"/>
          <w:szCs w:val="22"/>
        </w:rPr>
        <w:t xml:space="preserve">and sealed with a rubber stopper.  The tubes were then placed in an IncoShake (3081U Shaking incubator, Labcon, South Africa) for 48 hours at 39°C, with the shaker set to 100 rpm.  After 48 hours, the stoppers were removed and each test tube was centrifuged for 15 minutes at 2500 rpm (Allegra X-12, Beckman Coulter Inc., CA, U.S.A) and the fluid decanted.  The second digestion phase was then started by adding 20 mL of a pepsin/HCl mixture to each tube and replacing the rubber stoppers.  The tubes were then placed back into the IncoShake for another 48 hours, under the same temperature and speed as the first phase.  After completing the second digestion phase, the HCl/pepsin solution was decanted.  Warm water was then used to flush feed particles stuck to the edges of the tube.  The feed and water solution were centrifuged for 15 min at 2500 rpm, after which the water was decanted.  The tubes containing the remaining feed particles were </w:t>
      </w:r>
      <w:r>
        <w:rPr>
          <w:rFonts w:ascii="Times New Roman" w:hAnsi="Times New Roman" w:cs="Times New Roman"/>
          <w:sz w:val="22"/>
          <w:szCs w:val="22"/>
        </w:rPr>
        <w:lastRenderedPageBreak/>
        <w:t>oven dried at 100°C for 18 to 24 hours.  Samples were then ashed at 550°C for two hours in a muffle furnace (Furnace L-1200, Labcon, South Africa) (Engels and van der Merwe, 1967).  The IVOMD percentage was calculated by the following formula:</w:t>
      </w:r>
    </w:p>
    <w:p w14:paraId="646F301A" w14:textId="77777777" w:rsidR="00EF65F1" w:rsidRDefault="00EF65F1">
      <w:pPr>
        <w:spacing w:after="0" w:line="360" w:lineRule="auto"/>
        <w:ind w:firstLine="567"/>
        <w:contextualSpacing/>
        <w:jc w:val="both"/>
        <w:rPr>
          <w:rFonts w:ascii="Times New Roman" w:hAnsi="Times New Roman" w:cs="Times New Roman"/>
          <w:sz w:val="22"/>
          <w:szCs w:val="22"/>
        </w:rPr>
      </w:pPr>
    </w:p>
    <w:p w14:paraId="1895526E" w14:textId="77777777" w:rsidR="00EF65F1" w:rsidRDefault="00484A18">
      <w:pPr>
        <w:spacing w:after="0" w:line="360" w:lineRule="auto"/>
        <w:contextualSpacing/>
        <w:jc w:val="both"/>
        <w:rPr>
          <w:rFonts w:ascii="Times New Roman" w:eastAsiaTheme="minorEastAsia" w:hAnsi="Times New Roman" w:cs="Times New Roman"/>
          <w:sz w:val="22"/>
          <w:szCs w:val="22"/>
        </w:rPr>
      </w:pPr>
      <m:oMathPara>
        <m:oMath>
          <m:r>
            <w:rPr>
              <w:rFonts w:ascii="Cambria Math" w:hAnsi="Cambria Math" w:cs="Times New Roman"/>
              <w:sz w:val="22"/>
              <w:szCs w:val="22"/>
            </w:rPr>
            <m:t xml:space="preserve">%IVOMD= </m:t>
          </m:r>
          <m:f>
            <m:fPr>
              <m:ctrlPr>
                <w:rPr>
                  <w:rFonts w:ascii="Cambria Math" w:hAnsi="Cambria Math" w:cs="Times New Roman"/>
                  <w:i/>
                  <w:sz w:val="22"/>
                  <w:szCs w:val="22"/>
                </w:rPr>
              </m:ctrlPr>
            </m:fPr>
            <m:num>
              <m:d>
                <m:dPr>
                  <m:ctrlPr>
                    <w:rPr>
                      <w:rFonts w:ascii="Cambria Math" w:hAnsi="Cambria Math" w:cs="Times New Roman"/>
                      <w:i/>
                      <w:sz w:val="22"/>
                      <w:szCs w:val="22"/>
                    </w:rPr>
                  </m:ctrlPr>
                </m:dPr>
                <m:e>
                  <m:r>
                    <w:rPr>
                      <w:rFonts w:ascii="Cambria Math" w:hAnsi="Cambria Math" w:cs="Times New Roman"/>
                      <w:sz w:val="22"/>
                      <w:szCs w:val="22"/>
                    </w:rPr>
                    <m:t>OM mass of sample</m:t>
                  </m:r>
                </m:e>
              </m:d>
              <m:r>
                <w:rPr>
                  <w:rFonts w:ascii="Cambria Math" w:hAnsi="Cambria Math" w:cs="Times New Roman"/>
                  <w:sz w:val="22"/>
                  <w:szCs w:val="22"/>
                </w:rPr>
                <m:t>-</m:t>
              </m:r>
              <m:d>
                <m:dPr>
                  <m:ctrlPr>
                    <w:rPr>
                      <w:rFonts w:ascii="Cambria Math" w:hAnsi="Cambria Math" w:cs="Times New Roman"/>
                      <w:i/>
                      <w:sz w:val="22"/>
                      <w:szCs w:val="22"/>
                    </w:rPr>
                  </m:ctrlPr>
                </m:dPr>
                <m:e>
                  <m:r>
                    <w:rPr>
                      <w:rFonts w:ascii="Cambria Math" w:hAnsi="Cambria Math" w:cs="Times New Roman"/>
                      <w:sz w:val="22"/>
                      <w:szCs w:val="22"/>
                    </w:rPr>
                    <m:t>undigested residue-blank</m:t>
                  </m:r>
                </m:e>
              </m:d>
              <m:r>
                <w:rPr>
                  <w:rFonts w:ascii="Cambria Math" w:hAnsi="Cambria Math" w:cs="Times New Roman"/>
                  <w:sz w:val="22"/>
                  <w:szCs w:val="22"/>
                </w:rPr>
                <m:t>x100</m:t>
              </m:r>
            </m:num>
            <m:den>
              <m:r>
                <w:rPr>
                  <w:rFonts w:ascii="Cambria Math" w:hAnsi="Cambria Math" w:cs="Times New Roman"/>
                  <w:sz w:val="22"/>
                  <w:szCs w:val="22"/>
                </w:rPr>
                <m:t>OM mass of sample</m:t>
              </m:r>
            </m:den>
          </m:f>
        </m:oMath>
      </m:oMathPara>
      <w:bookmarkEnd w:id="138"/>
    </w:p>
    <w:p w14:paraId="3387F88A" w14:textId="77777777" w:rsidR="00EF65F1" w:rsidRDefault="00EF65F1">
      <w:pPr>
        <w:spacing w:after="0" w:line="360" w:lineRule="auto"/>
        <w:ind w:firstLine="567"/>
        <w:contextualSpacing/>
        <w:rPr>
          <w:rFonts w:ascii="Times New Roman" w:hAnsi="Times New Roman" w:cs="Times New Roman"/>
          <w:sz w:val="22"/>
          <w:szCs w:val="22"/>
        </w:rPr>
      </w:pPr>
    </w:p>
    <w:bookmarkEnd w:id="137"/>
    <w:p w14:paraId="025690EA" w14:textId="77777777" w:rsidR="00EF65F1" w:rsidRDefault="00EF65F1">
      <w:pPr>
        <w:spacing w:after="0" w:line="360" w:lineRule="auto"/>
        <w:ind w:firstLine="567"/>
        <w:contextualSpacing/>
        <w:rPr>
          <w:rFonts w:ascii="Times New Roman" w:hAnsi="Times New Roman" w:cs="Times New Roman"/>
          <w:sz w:val="22"/>
          <w:szCs w:val="22"/>
        </w:rPr>
      </w:pPr>
    </w:p>
    <w:p w14:paraId="4E021F1F" w14:textId="77C3BBB0" w:rsidR="00EF65F1" w:rsidRDefault="00484A18">
      <w:pPr>
        <w:pStyle w:val="Heading3"/>
        <w:spacing w:before="0" w:line="360" w:lineRule="auto"/>
        <w:ind w:left="284"/>
        <w:contextualSpacing/>
        <w:jc w:val="both"/>
        <w:rPr>
          <w:rFonts w:ascii="Times New Roman" w:hAnsi="Times New Roman" w:cs="Times New Roman"/>
          <w:color w:val="auto"/>
        </w:rPr>
      </w:pPr>
      <w:bookmarkStart w:id="139" w:name="_Hlk2676331"/>
      <w:bookmarkStart w:id="140" w:name="_Toc2691140"/>
      <w:r>
        <w:rPr>
          <w:rFonts w:ascii="Times New Roman" w:hAnsi="Times New Roman" w:cs="Times New Roman"/>
          <w:color w:val="auto"/>
        </w:rPr>
        <w:t xml:space="preserve">Statistical </w:t>
      </w:r>
      <w:r w:rsidR="006D2425">
        <w:rPr>
          <w:rFonts w:ascii="Times New Roman" w:hAnsi="Times New Roman" w:cs="Times New Roman"/>
          <w:color w:val="auto"/>
        </w:rPr>
        <w:t>a</w:t>
      </w:r>
      <w:r>
        <w:rPr>
          <w:rFonts w:ascii="Times New Roman" w:hAnsi="Times New Roman" w:cs="Times New Roman"/>
          <w:color w:val="auto"/>
        </w:rPr>
        <w:t>nalysis</w:t>
      </w:r>
      <w:bookmarkEnd w:id="140"/>
    </w:p>
    <w:p w14:paraId="4270D85B" w14:textId="77777777" w:rsidR="00EF65F1" w:rsidRDefault="00EF65F1">
      <w:pPr>
        <w:spacing w:after="0" w:line="360" w:lineRule="auto"/>
        <w:ind w:firstLine="567"/>
        <w:contextualSpacing/>
        <w:jc w:val="both"/>
        <w:rPr>
          <w:rFonts w:ascii="Times New Roman" w:hAnsi="Times New Roman" w:cs="Times New Roman"/>
          <w:sz w:val="22"/>
          <w:szCs w:val="22"/>
        </w:rPr>
      </w:pPr>
    </w:p>
    <w:p w14:paraId="7E2901B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 completely randomised block design was used as the experimental design in this study.  Deviations from normality was assessed through a Shapiro- Wilk’s test.  A one-way repeated ANOVA was performed to test for potential differences between plant extract treatments and controls, with a Tukey’s range test conducted to determine the significant differences between the treatment means.  All statistical analyses were carried out using Microsoft excel and SAS 9.4.  P values &lt; 0.05 were deemed significant.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rate of digestion per hour, IVOMD and all ratios were calculated for the plant extract treatments at a 50 mg/kg DM dose level.  These were compared to the negative and positive controls, to assess the potential of the plant extract treatments used in this study to modify rumen fermentation.</w:t>
      </w:r>
    </w:p>
    <w:bookmarkEnd w:id="139"/>
    <w:p w14:paraId="0633771E" w14:textId="77777777" w:rsidR="00EF65F1" w:rsidRDefault="00EF65F1">
      <w:pPr>
        <w:spacing w:after="0" w:line="360" w:lineRule="auto"/>
        <w:ind w:firstLine="567"/>
        <w:contextualSpacing/>
        <w:rPr>
          <w:rFonts w:ascii="Times New Roman" w:hAnsi="Times New Roman" w:cs="Times New Roman"/>
          <w:sz w:val="22"/>
          <w:szCs w:val="22"/>
        </w:rPr>
      </w:pPr>
    </w:p>
    <w:p w14:paraId="7F6D5ED6"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41" w:name="_Toc2691141"/>
      <w:r>
        <w:rPr>
          <w:rFonts w:ascii="Times New Roman" w:hAnsi="Times New Roman" w:cs="Times New Roman"/>
          <w:b/>
          <w:color w:val="auto"/>
          <w:sz w:val="24"/>
          <w:szCs w:val="24"/>
        </w:rPr>
        <w:t>Results and discussion</w:t>
      </w:r>
      <w:bookmarkEnd w:id="141"/>
    </w:p>
    <w:p w14:paraId="21DC26A3" w14:textId="77777777" w:rsidR="00EF65F1" w:rsidRDefault="00EF65F1">
      <w:pPr>
        <w:spacing w:after="0" w:line="360" w:lineRule="auto"/>
        <w:contextualSpacing/>
        <w:jc w:val="both"/>
        <w:rPr>
          <w:rFonts w:ascii="Times New Roman" w:hAnsi="Times New Roman" w:cs="Times New Roman"/>
          <w:sz w:val="22"/>
          <w:szCs w:val="22"/>
        </w:rPr>
      </w:pPr>
    </w:p>
    <w:p w14:paraId="15C30E77" w14:textId="77777777" w:rsidR="00EF65F1" w:rsidRDefault="00484A18">
      <w:pPr>
        <w:pStyle w:val="Heading3"/>
        <w:spacing w:before="0" w:line="360" w:lineRule="auto"/>
        <w:contextualSpacing/>
        <w:jc w:val="both"/>
        <w:rPr>
          <w:rFonts w:ascii="Times New Roman" w:hAnsi="Times New Roman" w:cs="Times New Roman"/>
          <w:color w:val="auto"/>
        </w:rPr>
      </w:pPr>
      <w:bookmarkStart w:id="142" w:name="_Hlk2676791"/>
      <w:bookmarkStart w:id="143" w:name="_Toc2691142"/>
      <w:r>
        <w:rPr>
          <w:rFonts w:ascii="Times New Roman" w:hAnsi="Times New Roman" w:cs="Times New Roman"/>
          <w:color w:val="auto"/>
        </w:rPr>
        <w:t xml:space="preserve">Chemical composition of </w:t>
      </w:r>
      <w:r>
        <w:rPr>
          <w:rFonts w:ascii="Times New Roman" w:hAnsi="Times New Roman" w:cs="Times New Roman"/>
          <w:i/>
          <w:color w:val="auto"/>
        </w:rPr>
        <w:t xml:space="preserve">Eragrostis curvula </w:t>
      </w:r>
      <w:r>
        <w:rPr>
          <w:rFonts w:ascii="Times New Roman" w:hAnsi="Times New Roman" w:cs="Times New Roman"/>
          <w:color w:val="auto"/>
        </w:rPr>
        <w:t>hay</w:t>
      </w:r>
      <w:bookmarkEnd w:id="143"/>
    </w:p>
    <w:bookmarkEnd w:id="142"/>
    <w:p w14:paraId="770E9723" w14:textId="77777777" w:rsidR="00EF65F1" w:rsidRDefault="00EF65F1">
      <w:pPr>
        <w:spacing w:after="0" w:line="360" w:lineRule="auto"/>
        <w:ind w:firstLine="567"/>
        <w:contextualSpacing/>
        <w:jc w:val="both"/>
        <w:rPr>
          <w:rFonts w:ascii="Times New Roman" w:hAnsi="Times New Roman" w:cs="Times New Roman"/>
          <w:sz w:val="22"/>
          <w:szCs w:val="22"/>
        </w:rPr>
      </w:pPr>
    </w:p>
    <w:p w14:paraId="05C9047E"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44" w:name="_Hlk2676827"/>
      <w:r>
        <w:rPr>
          <w:rFonts w:ascii="Times New Roman" w:hAnsi="Times New Roman" w:cs="Times New Roman"/>
          <w:sz w:val="22"/>
          <w:szCs w:val="22"/>
        </w:rPr>
        <w:t xml:space="preserve">The chemical composition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used as a test feed for the current </w:t>
      </w:r>
      <w:r>
        <w:rPr>
          <w:rFonts w:ascii="Times New Roman" w:hAnsi="Times New Roman" w:cs="Times New Roman"/>
          <w:i/>
          <w:sz w:val="22"/>
          <w:szCs w:val="22"/>
        </w:rPr>
        <w:t xml:space="preserve">in vitro </w:t>
      </w:r>
      <w:r>
        <w:rPr>
          <w:rFonts w:ascii="Times New Roman" w:hAnsi="Times New Roman" w:cs="Times New Roman"/>
          <w:sz w:val="22"/>
          <w:szCs w:val="22"/>
        </w:rPr>
        <w:t>study</w:t>
      </w:r>
      <w:bookmarkEnd w:id="144"/>
      <w:r>
        <w:rPr>
          <w:rFonts w:ascii="Times New Roman" w:hAnsi="Times New Roman" w:cs="Times New Roman"/>
          <w:sz w:val="22"/>
          <w:szCs w:val="22"/>
        </w:rPr>
        <w:t xml:space="preserve">, is shown in table 2.1.  The fibre component of this hay was high with NDF, ADF and ADL values averaging 84.2, 50.0 and 8.4% DM, respectively.  The fibre component of this hay is above values reported in literature with Snyman (1991), Heuzé </w:t>
      </w:r>
      <w:r>
        <w:rPr>
          <w:rFonts w:ascii="Times New Roman" w:hAnsi="Times New Roman" w:cs="Times New Roman"/>
          <w:i/>
          <w:sz w:val="22"/>
          <w:szCs w:val="22"/>
        </w:rPr>
        <w:t>et al</w:t>
      </w:r>
      <w:r>
        <w:rPr>
          <w:rFonts w:ascii="Times New Roman" w:hAnsi="Times New Roman" w:cs="Times New Roman"/>
          <w:sz w:val="22"/>
          <w:szCs w:val="22"/>
        </w:rPr>
        <w:t xml:space="preserve"> (2015), Adejoro and Hassen (2018) and Du Toit </w:t>
      </w:r>
      <w:r>
        <w:rPr>
          <w:rFonts w:ascii="Times New Roman" w:hAnsi="Times New Roman" w:cs="Times New Roman"/>
          <w:i/>
          <w:sz w:val="22"/>
          <w:szCs w:val="22"/>
        </w:rPr>
        <w:t xml:space="preserve">et al </w:t>
      </w:r>
      <w:r>
        <w:rPr>
          <w:rFonts w:ascii="Times New Roman" w:hAnsi="Times New Roman" w:cs="Times New Roman"/>
          <w:sz w:val="22"/>
          <w:szCs w:val="22"/>
        </w:rPr>
        <w:t xml:space="preserve">(2018) who reported NDF and ADF values in the range of 72.6 to 77.9% DM and 40.5 to 44.9% DM, respectively.  The ADL component of this hay is in the lower range of values reported for </w:t>
      </w:r>
      <w:r>
        <w:rPr>
          <w:rFonts w:ascii="Times New Roman" w:hAnsi="Times New Roman" w:cs="Times New Roman"/>
          <w:i/>
          <w:sz w:val="22"/>
          <w:szCs w:val="22"/>
        </w:rPr>
        <w:t>E. curvula</w:t>
      </w:r>
      <w:r>
        <w:rPr>
          <w:rFonts w:ascii="Times New Roman" w:hAnsi="Times New Roman" w:cs="Times New Roman"/>
          <w:sz w:val="22"/>
          <w:szCs w:val="22"/>
        </w:rPr>
        <w:t xml:space="preserve"> hay (6.1 to 19.4% DM) in literature (Snyman, 1991; Heuzé </w:t>
      </w:r>
      <w:r>
        <w:rPr>
          <w:rFonts w:ascii="Times New Roman" w:hAnsi="Times New Roman" w:cs="Times New Roman"/>
          <w:i/>
          <w:sz w:val="22"/>
          <w:szCs w:val="22"/>
        </w:rPr>
        <w:t>et al.</w:t>
      </w:r>
      <w:r>
        <w:rPr>
          <w:rFonts w:ascii="Times New Roman" w:hAnsi="Times New Roman" w:cs="Times New Roman"/>
          <w:sz w:val="22"/>
          <w:szCs w:val="22"/>
        </w:rPr>
        <w:t xml:space="preserve">, 2015; Adejoro &amp; Hassen, 2018; Du Toit </w:t>
      </w:r>
      <w:r>
        <w:rPr>
          <w:rFonts w:ascii="Times New Roman" w:hAnsi="Times New Roman" w:cs="Times New Roman"/>
          <w:i/>
          <w:sz w:val="22"/>
          <w:szCs w:val="22"/>
        </w:rPr>
        <w:t>et al.</w:t>
      </w:r>
      <w:r>
        <w:rPr>
          <w:rFonts w:ascii="Times New Roman" w:hAnsi="Times New Roman" w:cs="Times New Roman"/>
          <w:sz w:val="22"/>
          <w:szCs w:val="22"/>
        </w:rPr>
        <w:t xml:space="preserve">, 2018).  Du Toit </w:t>
      </w:r>
      <w:r>
        <w:rPr>
          <w:rFonts w:ascii="Times New Roman" w:hAnsi="Times New Roman" w:cs="Times New Roman"/>
          <w:i/>
          <w:sz w:val="22"/>
          <w:szCs w:val="22"/>
        </w:rPr>
        <w:t xml:space="preserve">et al </w:t>
      </w:r>
      <w:r>
        <w:rPr>
          <w:rFonts w:ascii="Times New Roman" w:hAnsi="Times New Roman" w:cs="Times New Roman"/>
          <w:sz w:val="22"/>
          <w:szCs w:val="22"/>
        </w:rPr>
        <w:t xml:space="preserve">(2018) reported 36.4 and 29.3% for cellulose and hemicellulose components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respectively.  These values are lower than the cellulose (41.6%) and hemicellulose (34.2%) components calculated for the hay tested in the current study, indicating substantially higher portions of fibre in this hay.  This high proportion of fibre components may be attributable to a later harvesting period.    </w:t>
      </w:r>
    </w:p>
    <w:p w14:paraId="0BBE031C" w14:textId="77777777" w:rsidR="00EF65F1" w:rsidRDefault="00EF65F1">
      <w:pPr>
        <w:spacing w:after="0" w:line="360" w:lineRule="auto"/>
        <w:ind w:firstLine="567"/>
        <w:contextualSpacing/>
        <w:jc w:val="both"/>
        <w:rPr>
          <w:rFonts w:ascii="Times New Roman" w:hAnsi="Times New Roman" w:cs="Times New Roman"/>
          <w:sz w:val="22"/>
          <w:szCs w:val="22"/>
        </w:rPr>
      </w:pPr>
    </w:p>
    <w:p w14:paraId="1389F88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lastRenderedPageBreak/>
        <w:t xml:space="preserve">The crude protein (CP) value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varies as reported by various studies: 53.8 g/kg DM (Adejoro &amp; Hassen, 2018); 84 g/kg DM (Heuzé </w:t>
      </w:r>
      <w:r>
        <w:rPr>
          <w:rFonts w:ascii="Times New Roman" w:hAnsi="Times New Roman" w:cs="Times New Roman"/>
          <w:i/>
          <w:sz w:val="22"/>
          <w:szCs w:val="22"/>
        </w:rPr>
        <w:t>et al.</w:t>
      </w:r>
      <w:r>
        <w:rPr>
          <w:rFonts w:ascii="Times New Roman" w:hAnsi="Times New Roman" w:cs="Times New Roman"/>
          <w:sz w:val="22"/>
          <w:szCs w:val="22"/>
        </w:rPr>
        <w:t xml:space="preserve">, 2015); 37 g/kg DM (Du Toit </w:t>
      </w:r>
      <w:r>
        <w:rPr>
          <w:rFonts w:ascii="Times New Roman" w:hAnsi="Times New Roman" w:cs="Times New Roman"/>
          <w:i/>
          <w:sz w:val="22"/>
          <w:szCs w:val="22"/>
        </w:rPr>
        <w:t>et al.</w:t>
      </w:r>
      <w:r>
        <w:rPr>
          <w:rFonts w:ascii="Times New Roman" w:hAnsi="Times New Roman" w:cs="Times New Roman"/>
          <w:sz w:val="22"/>
          <w:szCs w:val="22"/>
        </w:rPr>
        <w:t xml:space="preserve">, 2018).  Therefore, the CP content for the hay in this study (47.14 g/kg DM) is within range of values reported in literature.  According to Berhane </w:t>
      </w:r>
      <w:r>
        <w:rPr>
          <w:rFonts w:ascii="Times New Roman" w:hAnsi="Times New Roman" w:cs="Times New Roman"/>
          <w:i/>
          <w:sz w:val="22"/>
          <w:szCs w:val="22"/>
        </w:rPr>
        <w:t xml:space="preserve">et al </w:t>
      </w:r>
      <w:r>
        <w:rPr>
          <w:rFonts w:ascii="Times New Roman" w:hAnsi="Times New Roman" w:cs="Times New Roman"/>
          <w:sz w:val="22"/>
          <w:szCs w:val="22"/>
        </w:rPr>
        <w:t xml:space="preserve">(2006) the CP content of </w:t>
      </w:r>
      <w:r>
        <w:rPr>
          <w:rFonts w:ascii="Times New Roman" w:hAnsi="Times New Roman" w:cs="Times New Roman"/>
          <w:i/>
          <w:sz w:val="22"/>
          <w:szCs w:val="22"/>
        </w:rPr>
        <w:t>E. curvula</w:t>
      </w:r>
      <w:r>
        <w:rPr>
          <w:rFonts w:ascii="Times New Roman" w:hAnsi="Times New Roman" w:cs="Times New Roman"/>
          <w:sz w:val="22"/>
          <w:szCs w:val="22"/>
        </w:rPr>
        <w:t xml:space="preserve"> hay was shown to be greatly influenced by rainfall pattern with CP values of 9.3% and 5.9% recorded in the wet and dry periods, respectively.  Therefore, it is likely that the low CP proportion in this sample can be attributed to a late harvesting time as a contributing factor.  The ether extract (EE) component of this hay is 0.78% DM, which was consistent with results reported in literature for EE values of &lt; 2% DM (Heuzé </w:t>
      </w:r>
      <w:r>
        <w:rPr>
          <w:rFonts w:ascii="Times New Roman" w:hAnsi="Times New Roman" w:cs="Times New Roman"/>
          <w:i/>
          <w:sz w:val="22"/>
          <w:szCs w:val="22"/>
        </w:rPr>
        <w:t>et al.</w:t>
      </w:r>
      <w:r>
        <w:rPr>
          <w:rFonts w:ascii="Times New Roman" w:hAnsi="Times New Roman" w:cs="Times New Roman"/>
          <w:sz w:val="22"/>
          <w:szCs w:val="22"/>
        </w:rPr>
        <w:t xml:space="preserve">, 2015; Akanmu &amp; Hassen, 2018; Du Toit </w:t>
      </w:r>
      <w:r>
        <w:rPr>
          <w:rFonts w:ascii="Times New Roman" w:hAnsi="Times New Roman" w:cs="Times New Roman"/>
          <w:i/>
          <w:sz w:val="22"/>
          <w:szCs w:val="22"/>
        </w:rPr>
        <w:t>et al.</w:t>
      </w:r>
      <w:r>
        <w:rPr>
          <w:rFonts w:ascii="Times New Roman" w:hAnsi="Times New Roman" w:cs="Times New Roman"/>
          <w:sz w:val="22"/>
          <w:szCs w:val="22"/>
        </w:rPr>
        <w:t>, 2018).</w:t>
      </w:r>
    </w:p>
    <w:p w14:paraId="2F102517" w14:textId="77777777" w:rsidR="00EF65F1" w:rsidRDefault="00EF65F1">
      <w:pPr>
        <w:spacing w:after="0" w:line="360" w:lineRule="auto"/>
        <w:ind w:firstLine="567"/>
        <w:contextualSpacing/>
        <w:jc w:val="both"/>
        <w:rPr>
          <w:rFonts w:ascii="Times New Roman" w:hAnsi="Times New Roman" w:cs="Times New Roman"/>
          <w:sz w:val="22"/>
          <w:szCs w:val="22"/>
        </w:rPr>
      </w:pPr>
    </w:p>
    <w:p w14:paraId="196BB93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Differences in the chemical composition of reported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may be attributed to a number of factors such as cultivar, climate and soil conditions during the growth period (Du Toit </w:t>
      </w:r>
      <w:r>
        <w:rPr>
          <w:rFonts w:ascii="Times New Roman" w:hAnsi="Times New Roman" w:cs="Times New Roman"/>
          <w:i/>
          <w:sz w:val="22"/>
          <w:szCs w:val="22"/>
        </w:rPr>
        <w:t>et al.</w:t>
      </w:r>
      <w:r>
        <w:rPr>
          <w:rFonts w:ascii="Times New Roman" w:hAnsi="Times New Roman" w:cs="Times New Roman"/>
          <w:sz w:val="22"/>
          <w:szCs w:val="22"/>
        </w:rPr>
        <w:t xml:space="preserve">, 2018).  The low CP and high fibre content of this hay supports the notion that this hay was harvested at late maturity, as Berhane </w:t>
      </w:r>
      <w:r>
        <w:rPr>
          <w:rFonts w:ascii="Times New Roman" w:hAnsi="Times New Roman" w:cs="Times New Roman"/>
          <w:i/>
          <w:sz w:val="22"/>
          <w:szCs w:val="22"/>
        </w:rPr>
        <w:t xml:space="preserve">et </w:t>
      </w:r>
      <w:r>
        <w:rPr>
          <w:rFonts w:ascii="Times New Roman" w:hAnsi="Times New Roman" w:cs="Times New Roman"/>
          <w:sz w:val="22"/>
          <w:szCs w:val="22"/>
        </w:rPr>
        <w:t xml:space="preserve">al (2006) found an indirect relationship between plant composition and maturity, whereby increased maturity of a plant is associated with a decrease in CP content and a corresponding increase in crude fibre.  </w:t>
      </w:r>
    </w:p>
    <w:p w14:paraId="54AD9FB0" w14:textId="77777777" w:rsidR="00EF65F1" w:rsidRDefault="00EF65F1">
      <w:pPr>
        <w:spacing w:after="0" w:line="360" w:lineRule="auto"/>
        <w:ind w:firstLine="567"/>
        <w:contextualSpacing/>
        <w:jc w:val="both"/>
        <w:rPr>
          <w:rFonts w:ascii="Times New Roman" w:hAnsi="Times New Roman" w:cs="Times New Roman"/>
          <w:sz w:val="22"/>
          <w:szCs w:val="22"/>
          <w:lang w:val="en-GB"/>
        </w:rPr>
      </w:pPr>
    </w:p>
    <w:p w14:paraId="23D416EE" w14:textId="000CC732" w:rsidR="00EF65F1" w:rsidRDefault="00484A18">
      <w:pPr>
        <w:pStyle w:val="Caption"/>
        <w:keepNext/>
        <w:spacing w:after="160" w:line="360" w:lineRule="auto"/>
        <w:contextualSpacing/>
        <w:jc w:val="both"/>
        <w:rPr>
          <w:rFonts w:ascii="Times New Roman" w:hAnsi="Times New Roman" w:cs="Times New Roman"/>
          <w:i w:val="0"/>
          <w:color w:val="auto"/>
          <w:sz w:val="24"/>
          <w:szCs w:val="22"/>
        </w:rPr>
      </w:pPr>
      <w:bookmarkStart w:id="145" w:name="_Toc2349134"/>
      <w:r>
        <w:rPr>
          <w:rFonts w:ascii="Times New Roman" w:hAnsi="Times New Roman" w:cs="Times New Roman"/>
          <w:i w:val="0"/>
          <w:color w:val="auto"/>
          <w:sz w:val="24"/>
          <w:szCs w:val="22"/>
        </w:rPr>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Chemical composition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w:t>
      </w:r>
      <w:bookmarkEnd w:id="14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12"/>
        <w:gridCol w:w="3204"/>
      </w:tblGrid>
      <w:tr w:rsidR="00EF65F1" w14:paraId="58BF59F1" w14:textId="77777777" w:rsidTr="00364C97">
        <w:tc>
          <w:tcPr>
            <w:tcW w:w="5812" w:type="dxa"/>
            <w:tcBorders>
              <w:top w:val="single" w:sz="4" w:space="0" w:color="auto"/>
              <w:bottom w:val="single" w:sz="4" w:space="0" w:color="auto"/>
            </w:tcBorders>
          </w:tcPr>
          <w:p w14:paraId="1A8062D5" w14:textId="77777777" w:rsidR="00EF65F1" w:rsidRDefault="00484A18">
            <w:r>
              <w:t xml:space="preserve">Parameter </w:t>
            </w:r>
          </w:p>
        </w:tc>
        <w:tc>
          <w:tcPr>
            <w:tcW w:w="3204" w:type="dxa"/>
            <w:tcBorders>
              <w:top w:val="single" w:sz="4" w:space="0" w:color="auto"/>
              <w:bottom w:val="single" w:sz="4" w:space="0" w:color="auto"/>
            </w:tcBorders>
          </w:tcPr>
          <w:p w14:paraId="4A5C4BF6" w14:textId="77777777" w:rsidR="00EF65F1" w:rsidRDefault="00484A18">
            <w:r>
              <w:t>Mean ± SE</w:t>
            </w:r>
          </w:p>
          <w:p w14:paraId="51DAFA40" w14:textId="77777777" w:rsidR="00EF65F1" w:rsidRDefault="00484A18">
            <w:r>
              <w:t>(g/kg DM)</w:t>
            </w:r>
          </w:p>
        </w:tc>
      </w:tr>
      <w:tr w:rsidR="00EF65F1" w14:paraId="4C3410E5" w14:textId="77777777" w:rsidTr="00364C97">
        <w:tc>
          <w:tcPr>
            <w:tcW w:w="5812" w:type="dxa"/>
            <w:tcBorders>
              <w:top w:val="single" w:sz="4" w:space="0" w:color="auto"/>
            </w:tcBorders>
            <w:vAlign w:val="bottom"/>
          </w:tcPr>
          <w:p w14:paraId="3FEA5395"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Dry Matter (DM)</w:t>
            </w:r>
          </w:p>
        </w:tc>
        <w:tc>
          <w:tcPr>
            <w:tcW w:w="3204" w:type="dxa"/>
            <w:tcBorders>
              <w:top w:val="single" w:sz="4" w:space="0" w:color="auto"/>
            </w:tcBorders>
            <w:vAlign w:val="bottom"/>
          </w:tcPr>
          <w:p w14:paraId="1B955D96"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928.7 ± 0.81</w:t>
            </w:r>
          </w:p>
        </w:tc>
      </w:tr>
      <w:tr w:rsidR="00EF65F1" w14:paraId="0FAF349B" w14:textId="77777777" w:rsidTr="00364C97">
        <w:tc>
          <w:tcPr>
            <w:tcW w:w="5812" w:type="dxa"/>
            <w:vAlign w:val="bottom"/>
          </w:tcPr>
          <w:p w14:paraId="0478ED06"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Ash</w:t>
            </w:r>
          </w:p>
        </w:tc>
        <w:tc>
          <w:tcPr>
            <w:tcW w:w="3204" w:type="dxa"/>
            <w:vAlign w:val="bottom"/>
          </w:tcPr>
          <w:p w14:paraId="2E29ABC3"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47.2 ± 1.06</w:t>
            </w:r>
          </w:p>
        </w:tc>
      </w:tr>
      <w:tr w:rsidR="00EF65F1" w14:paraId="1E735BE9" w14:textId="77777777" w:rsidTr="00364C97">
        <w:tc>
          <w:tcPr>
            <w:tcW w:w="5812" w:type="dxa"/>
            <w:vAlign w:val="bottom"/>
          </w:tcPr>
          <w:p w14:paraId="4F81CCD7"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Crude Protein (CP)</w:t>
            </w:r>
          </w:p>
        </w:tc>
        <w:tc>
          <w:tcPr>
            <w:tcW w:w="3204" w:type="dxa"/>
            <w:vAlign w:val="bottom"/>
          </w:tcPr>
          <w:p w14:paraId="419C263A"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47.1 ± 0.84</w:t>
            </w:r>
          </w:p>
        </w:tc>
      </w:tr>
      <w:tr w:rsidR="00EF65F1" w14:paraId="43DB8843" w14:textId="77777777" w:rsidTr="00364C97">
        <w:tc>
          <w:tcPr>
            <w:tcW w:w="5812" w:type="dxa"/>
            <w:vAlign w:val="bottom"/>
          </w:tcPr>
          <w:p w14:paraId="4A99AF25"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Ether extract (EE)</w:t>
            </w:r>
          </w:p>
        </w:tc>
        <w:tc>
          <w:tcPr>
            <w:tcW w:w="3204" w:type="dxa"/>
            <w:vAlign w:val="bottom"/>
          </w:tcPr>
          <w:p w14:paraId="04E0EC72"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7.8 ± 0.22</w:t>
            </w:r>
          </w:p>
        </w:tc>
      </w:tr>
      <w:tr w:rsidR="00EF65F1" w14:paraId="759F0D2D" w14:textId="77777777" w:rsidTr="00364C97">
        <w:tc>
          <w:tcPr>
            <w:tcW w:w="5812" w:type="dxa"/>
            <w:vAlign w:val="bottom"/>
          </w:tcPr>
          <w:p w14:paraId="58074AAE"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Neutral detergent fraction (NDF)</w:t>
            </w:r>
          </w:p>
        </w:tc>
        <w:tc>
          <w:tcPr>
            <w:tcW w:w="3204" w:type="dxa"/>
            <w:vAlign w:val="bottom"/>
          </w:tcPr>
          <w:p w14:paraId="2AC8D4F9"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841.7 ± 4.73</w:t>
            </w:r>
          </w:p>
        </w:tc>
      </w:tr>
      <w:tr w:rsidR="00EF65F1" w14:paraId="0556098A" w14:textId="77777777" w:rsidTr="00364C97">
        <w:tc>
          <w:tcPr>
            <w:tcW w:w="5812" w:type="dxa"/>
            <w:vAlign w:val="bottom"/>
          </w:tcPr>
          <w:p w14:paraId="71C96471"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Acid detergent fraction (ADF)</w:t>
            </w:r>
          </w:p>
        </w:tc>
        <w:tc>
          <w:tcPr>
            <w:tcW w:w="3204" w:type="dxa"/>
            <w:vAlign w:val="bottom"/>
          </w:tcPr>
          <w:p w14:paraId="561F2EDF"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500.0 ± 3.30</w:t>
            </w:r>
          </w:p>
        </w:tc>
      </w:tr>
      <w:tr w:rsidR="00EF65F1" w14:paraId="1CF0D99A" w14:textId="77777777" w:rsidTr="00364C97">
        <w:tc>
          <w:tcPr>
            <w:tcW w:w="5812" w:type="dxa"/>
            <w:vAlign w:val="bottom"/>
          </w:tcPr>
          <w:p w14:paraId="50B8B585"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Acid detergent lignin (ADL)</w:t>
            </w:r>
          </w:p>
        </w:tc>
        <w:tc>
          <w:tcPr>
            <w:tcW w:w="3204" w:type="dxa"/>
            <w:vAlign w:val="bottom"/>
          </w:tcPr>
          <w:p w14:paraId="5918869B"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84.0 ± 0.50</w:t>
            </w:r>
          </w:p>
        </w:tc>
      </w:tr>
      <w:tr w:rsidR="00EF65F1" w14:paraId="542EC5CF" w14:textId="77777777" w:rsidTr="00364C97">
        <w:tc>
          <w:tcPr>
            <w:tcW w:w="5812" w:type="dxa"/>
            <w:vAlign w:val="bottom"/>
          </w:tcPr>
          <w:p w14:paraId="5ED8B4FF"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Hemicellulose</w:t>
            </w:r>
          </w:p>
        </w:tc>
        <w:tc>
          <w:tcPr>
            <w:tcW w:w="3204" w:type="dxa"/>
            <w:vAlign w:val="bottom"/>
          </w:tcPr>
          <w:p w14:paraId="3AA4827D"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 xml:space="preserve">341.7 </w:t>
            </w:r>
          </w:p>
        </w:tc>
      </w:tr>
      <w:tr w:rsidR="00EF65F1" w14:paraId="3F31CE4D" w14:textId="77777777" w:rsidTr="00364C97">
        <w:tc>
          <w:tcPr>
            <w:tcW w:w="5812" w:type="dxa"/>
            <w:vAlign w:val="bottom"/>
          </w:tcPr>
          <w:p w14:paraId="21676C38"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Cellulose</w:t>
            </w:r>
          </w:p>
        </w:tc>
        <w:tc>
          <w:tcPr>
            <w:tcW w:w="3204" w:type="dxa"/>
            <w:vAlign w:val="bottom"/>
          </w:tcPr>
          <w:p w14:paraId="17AF67E7" w14:textId="77777777" w:rsidR="00EF65F1" w:rsidRDefault="00484A18">
            <w:pPr>
              <w:spacing w:line="360" w:lineRule="auto"/>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 xml:space="preserve">416.0 </w:t>
            </w:r>
          </w:p>
        </w:tc>
      </w:tr>
    </w:tbl>
    <w:p w14:paraId="74C44174" w14:textId="77777777" w:rsidR="00EF65F1" w:rsidRDefault="00EF65F1">
      <w:pPr>
        <w:rPr>
          <w:lang w:val="en-GB"/>
        </w:rPr>
      </w:pPr>
    </w:p>
    <w:p w14:paraId="280FE50B" w14:textId="77777777" w:rsidR="00EF65F1" w:rsidRDefault="00EF65F1">
      <w:pPr>
        <w:spacing w:after="0" w:line="360" w:lineRule="auto"/>
        <w:contextualSpacing/>
        <w:rPr>
          <w:rFonts w:ascii="Times New Roman" w:hAnsi="Times New Roman" w:cs="Times New Roman"/>
          <w:sz w:val="22"/>
          <w:szCs w:val="22"/>
        </w:rPr>
      </w:pPr>
    </w:p>
    <w:p w14:paraId="04D2B20A" w14:textId="77777777" w:rsidR="00EF65F1" w:rsidRDefault="00EF65F1">
      <w:pPr>
        <w:spacing w:after="0" w:line="360" w:lineRule="auto"/>
        <w:contextualSpacing/>
        <w:rPr>
          <w:rFonts w:ascii="Times New Roman" w:hAnsi="Times New Roman" w:cs="Times New Roman"/>
          <w:sz w:val="22"/>
          <w:szCs w:val="22"/>
        </w:rPr>
      </w:pPr>
    </w:p>
    <w:p w14:paraId="2204D159" w14:textId="77777777" w:rsidR="00EF65F1" w:rsidRDefault="00EF65F1">
      <w:pPr>
        <w:spacing w:after="0" w:line="360" w:lineRule="auto"/>
        <w:contextualSpacing/>
        <w:rPr>
          <w:rFonts w:ascii="Times New Roman" w:hAnsi="Times New Roman" w:cs="Times New Roman"/>
          <w:sz w:val="22"/>
          <w:szCs w:val="22"/>
        </w:rPr>
      </w:pPr>
    </w:p>
    <w:p w14:paraId="2DE00126" w14:textId="77777777" w:rsidR="00EF65F1" w:rsidRDefault="00EF65F1">
      <w:pPr>
        <w:spacing w:after="0" w:line="360" w:lineRule="auto"/>
        <w:contextualSpacing/>
        <w:rPr>
          <w:rFonts w:ascii="Times New Roman" w:hAnsi="Times New Roman" w:cs="Times New Roman"/>
          <w:sz w:val="22"/>
          <w:szCs w:val="22"/>
        </w:rPr>
      </w:pPr>
    </w:p>
    <w:p w14:paraId="0598E307" w14:textId="77777777" w:rsidR="00EF65F1" w:rsidRDefault="00EF65F1">
      <w:pPr>
        <w:spacing w:line="360" w:lineRule="auto"/>
        <w:contextualSpacing/>
        <w:rPr>
          <w:rFonts w:ascii="Times New Roman" w:hAnsi="Times New Roman" w:cs="Times New Roman"/>
          <w:sz w:val="22"/>
          <w:szCs w:val="22"/>
        </w:rPr>
      </w:pPr>
    </w:p>
    <w:p w14:paraId="554A3D50" w14:textId="5CBC4816" w:rsidR="00EF65F1" w:rsidRDefault="00484A18">
      <w:pPr>
        <w:pStyle w:val="Heading3"/>
        <w:spacing w:before="0" w:line="360" w:lineRule="auto"/>
        <w:contextualSpacing/>
        <w:jc w:val="both"/>
        <w:rPr>
          <w:rFonts w:ascii="Times New Roman" w:hAnsi="Times New Roman" w:cs="Times New Roman"/>
          <w:color w:val="auto"/>
          <w:szCs w:val="22"/>
        </w:rPr>
      </w:pPr>
      <w:bookmarkStart w:id="146" w:name="_Hlk2677023"/>
      <w:bookmarkStart w:id="147" w:name="_Toc2691143"/>
      <w:r>
        <w:rPr>
          <w:rFonts w:ascii="Times New Roman" w:hAnsi="Times New Roman" w:cs="Times New Roman"/>
          <w:color w:val="auto"/>
          <w:szCs w:val="22"/>
        </w:rPr>
        <w:lastRenderedPageBreak/>
        <w:t xml:space="preserve">Gas </w:t>
      </w:r>
      <w:r w:rsidR="006D2425">
        <w:rPr>
          <w:rFonts w:ascii="Times New Roman" w:hAnsi="Times New Roman" w:cs="Times New Roman"/>
          <w:color w:val="auto"/>
          <w:szCs w:val="22"/>
        </w:rPr>
        <w:t>p</w:t>
      </w:r>
      <w:r>
        <w:rPr>
          <w:rFonts w:ascii="Times New Roman" w:hAnsi="Times New Roman" w:cs="Times New Roman"/>
          <w:color w:val="auto"/>
          <w:szCs w:val="22"/>
        </w:rPr>
        <w:t>roduction</w:t>
      </w:r>
      <w:bookmarkEnd w:id="147"/>
    </w:p>
    <w:bookmarkEnd w:id="146"/>
    <w:p w14:paraId="1C1F01A1" w14:textId="77777777" w:rsidR="00EF65F1" w:rsidRDefault="00EF65F1">
      <w:pPr>
        <w:spacing w:after="0" w:line="360" w:lineRule="auto"/>
        <w:contextualSpacing/>
        <w:jc w:val="both"/>
        <w:rPr>
          <w:rFonts w:ascii="Times New Roman" w:hAnsi="Times New Roman" w:cs="Times New Roman"/>
          <w:sz w:val="22"/>
          <w:szCs w:val="22"/>
        </w:rPr>
      </w:pPr>
    </w:p>
    <w:p w14:paraId="6C8E2F9D"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48" w:name="_Hlk536100611"/>
      <w:r>
        <w:rPr>
          <w:rFonts w:ascii="Times New Roman" w:hAnsi="Times New Roman" w:cs="Times New Roman"/>
          <w:sz w:val="22"/>
          <w:szCs w:val="22"/>
        </w:rPr>
        <w:t xml:space="preserve">The cumulative gas volumes produced (mL gas/g DM) by </w:t>
      </w:r>
      <w:r>
        <w:rPr>
          <w:rFonts w:ascii="Times New Roman" w:hAnsi="Times New Roman" w:cs="Times New Roman"/>
          <w:i/>
          <w:sz w:val="22"/>
          <w:szCs w:val="22"/>
        </w:rPr>
        <w:t xml:space="preserve">E. curvula </w:t>
      </w:r>
      <w:r>
        <w:rPr>
          <w:rFonts w:ascii="Times New Roman" w:hAnsi="Times New Roman" w:cs="Times New Roman"/>
          <w:sz w:val="22"/>
          <w:szCs w:val="22"/>
        </w:rPr>
        <w:t>hay</w:t>
      </w:r>
      <w:r>
        <w:rPr>
          <w:rFonts w:ascii="Times New Roman" w:hAnsi="Times New Roman" w:cs="Times New Roman"/>
          <w:i/>
          <w:sz w:val="22"/>
          <w:szCs w:val="22"/>
        </w:rPr>
        <w:t xml:space="preserve"> </w:t>
      </w:r>
      <w:r>
        <w:rPr>
          <w:rFonts w:ascii="Times New Roman" w:hAnsi="Times New Roman" w:cs="Times New Roman"/>
          <w:sz w:val="22"/>
          <w:szCs w:val="22"/>
        </w:rPr>
        <w:t xml:space="preserve">treated with seven different plant extracts at a 50 mg/kg DM dose level after 2, 4, 8, 12, 24 and 48 hours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are shown in table 2.2.  </w:t>
      </w:r>
    </w:p>
    <w:bookmarkEnd w:id="148"/>
    <w:p w14:paraId="25C587BB" w14:textId="77777777" w:rsidR="00EF65F1" w:rsidRDefault="00EF65F1">
      <w:pPr>
        <w:spacing w:after="0" w:line="360" w:lineRule="auto"/>
        <w:ind w:firstLine="567"/>
        <w:contextualSpacing/>
        <w:jc w:val="both"/>
        <w:rPr>
          <w:rFonts w:ascii="Times New Roman" w:hAnsi="Times New Roman" w:cs="Times New Roman"/>
          <w:sz w:val="22"/>
          <w:szCs w:val="22"/>
        </w:rPr>
      </w:pPr>
    </w:p>
    <w:p w14:paraId="25F4E7C7" w14:textId="77777777" w:rsidR="00F326B3" w:rsidRDefault="00484A18" w:rsidP="00F326B3">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 xml:space="preserve">When the plant extract treatments were compared at a dose level of 50 mg/kg DM in terms of the cumulative volume of gas produced, there were no significant differences (P &gt; 0.05) between treatments after 2 hours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However, there were significant differences (P &lt; 0.05) in the cumulative gas production between the treatments after 4-, 8-, 12- and 24-hours of </w:t>
      </w:r>
      <w:r>
        <w:rPr>
          <w:rFonts w:ascii="Times New Roman" w:hAnsi="Times New Roman" w:cs="Times New Roman"/>
          <w:i/>
          <w:sz w:val="22"/>
          <w:szCs w:val="22"/>
        </w:rPr>
        <w:t>in vitro</w:t>
      </w:r>
      <w:r>
        <w:rPr>
          <w:rFonts w:ascii="Times New Roman" w:hAnsi="Times New Roman" w:cs="Times New Roman"/>
          <w:sz w:val="22"/>
          <w:szCs w:val="22"/>
        </w:rPr>
        <w:t xml:space="preserve"> incubation.  There were no significant (P &gt; 0.05) differences between treatments in terms of the cumulative gas</w:t>
      </w:r>
      <w:r w:rsidR="00F326B3">
        <w:rPr>
          <w:rFonts w:ascii="Times New Roman" w:hAnsi="Times New Roman" w:cs="Times New Roman"/>
          <w:sz w:val="22"/>
          <w:szCs w:val="22"/>
        </w:rPr>
        <w:t xml:space="preserve"> production after 48 hours of </w:t>
      </w:r>
      <w:r w:rsidR="00F326B3">
        <w:rPr>
          <w:rFonts w:ascii="Times New Roman" w:hAnsi="Times New Roman" w:cs="Times New Roman"/>
          <w:i/>
          <w:sz w:val="22"/>
          <w:szCs w:val="22"/>
        </w:rPr>
        <w:t xml:space="preserve">in vitro </w:t>
      </w:r>
      <w:r w:rsidR="00F326B3">
        <w:rPr>
          <w:rFonts w:ascii="Times New Roman" w:hAnsi="Times New Roman" w:cs="Times New Roman"/>
          <w:sz w:val="22"/>
          <w:szCs w:val="22"/>
        </w:rPr>
        <w:t xml:space="preserve">incubation.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 xml:space="preserve">significantly increased (P &lt; 0.05) the cumulative volume of gas produced after 4 hours of incubation when compared to the plant extracts from </w:t>
      </w:r>
      <w:r w:rsidR="00F326B3">
        <w:rPr>
          <w:rFonts w:ascii="Times New Roman" w:hAnsi="Times New Roman" w:cs="Times New Roman"/>
          <w:i/>
          <w:sz w:val="22"/>
          <w:szCs w:val="22"/>
        </w:rPr>
        <w:t>D. viscosa</w:t>
      </w:r>
      <w:r w:rsidR="00F326B3">
        <w:rPr>
          <w:rFonts w:ascii="Times New Roman" w:hAnsi="Times New Roman" w:cs="Times New Roman"/>
          <w:sz w:val="22"/>
          <w:szCs w:val="22"/>
        </w:rPr>
        <w:t xml:space="preserve">, </w:t>
      </w:r>
      <w:r w:rsidR="00F326B3">
        <w:rPr>
          <w:rFonts w:ascii="Times New Roman" w:hAnsi="Times New Roman" w:cs="Times New Roman"/>
          <w:i/>
          <w:sz w:val="22"/>
          <w:szCs w:val="22"/>
        </w:rPr>
        <w:t>H. natalensis</w:t>
      </w:r>
      <w:r w:rsidR="00F326B3">
        <w:rPr>
          <w:rFonts w:ascii="Times New Roman" w:hAnsi="Times New Roman" w:cs="Times New Roman"/>
          <w:sz w:val="22"/>
          <w:szCs w:val="22"/>
        </w:rPr>
        <w:t xml:space="preserve">, </w:t>
      </w:r>
      <w:r w:rsidR="00F326B3">
        <w:rPr>
          <w:rFonts w:ascii="Times New Roman" w:hAnsi="Times New Roman" w:cs="Times New Roman"/>
          <w:i/>
          <w:sz w:val="22"/>
          <w:szCs w:val="22"/>
        </w:rPr>
        <w:t>S. birrea</w:t>
      </w:r>
      <w:r w:rsidR="00F326B3">
        <w:rPr>
          <w:rFonts w:ascii="Times New Roman" w:hAnsi="Times New Roman" w:cs="Times New Roman"/>
          <w:sz w:val="22"/>
          <w:szCs w:val="22"/>
        </w:rPr>
        <w:t xml:space="preserve">, </w:t>
      </w:r>
      <w:r w:rsidR="00F326B3">
        <w:rPr>
          <w:rFonts w:ascii="Times New Roman" w:hAnsi="Times New Roman" w:cs="Times New Roman"/>
          <w:i/>
          <w:sz w:val="22"/>
          <w:szCs w:val="22"/>
        </w:rPr>
        <w:t>E. lysistemon</w:t>
      </w:r>
      <w:r w:rsidR="00F326B3">
        <w:rPr>
          <w:rFonts w:ascii="Times New Roman" w:hAnsi="Times New Roman" w:cs="Times New Roman"/>
          <w:sz w:val="22"/>
          <w:szCs w:val="22"/>
        </w:rPr>
        <w:t xml:space="preserve"> and </w:t>
      </w:r>
      <w:r w:rsidR="00F326B3">
        <w:rPr>
          <w:rFonts w:ascii="Times New Roman" w:hAnsi="Times New Roman" w:cs="Times New Roman"/>
          <w:i/>
          <w:sz w:val="22"/>
          <w:szCs w:val="22"/>
        </w:rPr>
        <w:t>M. oleifera</w:t>
      </w:r>
      <w:r w:rsidR="00F326B3">
        <w:rPr>
          <w:rFonts w:ascii="Times New Roman" w:hAnsi="Times New Roman" w:cs="Times New Roman"/>
          <w:sz w:val="22"/>
          <w:szCs w:val="22"/>
        </w:rPr>
        <w:t xml:space="preserve">, and this increase in gas production by this species was also significantly higher (P &lt; 0.05) when compared to the negative control.  After 8 hours of incubation,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 xml:space="preserve">continued to produce the highest cumulative volume of gas compared to the other treatments and this increase was significantly higher (P &lt; 0.05) than the volume of gas produced by plant extracts from </w:t>
      </w:r>
      <w:r w:rsidR="00F326B3">
        <w:rPr>
          <w:rFonts w:ascii="Times New Roman" w:hAnsi="Times New Roman" w:cs="Times New Roman"/>
          <w:i/>
          <w:sz w:val="22"/>
          <w:szCs w:val="22"/>
        </w:rPr>
        <w:t>H. natalensis</w:t>
      </w:r>
      <w:r w:rsidR="00F326B3">
        <w:rPr>
          <w:rFonts w:ascii="Times New Roman" w:hAnsi="Times New Roman" w:cs="Times New Roman"/>
          <w:sz w:val="22"/>
          <w:szCs w:val="22"/>
        </w:rPr>
        <w:t xml:space="preserve">, </w:t>
      </w:r>
      <w:r w:rsidR="00F326B3">
        <w:rPr>
          <w:rFonts w:ascii="Times New Roman" w:hAnsi="Times New Roman" w:cs="Times New Roman"/>
          <w:i/>
          <w:sz w:val="22"/>
          <w:szCs w:val="22"/>
        </w:rPr>
        <w:t>S. birrea</w:t>
      </w:r>
      <w:r w:rsidR="00F326B3">
        <w:rPr>
          <w:rFonts w:ascii="Times New Roman" w:hAnsi="Times New Roman" w:cs="Times New Roman"/>
          <w:sz w:val="22"/>
          <w:szCs w:val="22"/>
        </w:rPr>
        <w:t xml:space="preserve"> and </w:t>
      </w:r>
      <w:r w:rsidR="00F326B3">
        <w:rPr>
          <w:rFonts w:ascii="Times New Roman" w:hAnsi="Times New Roman" w:cs="Times New Roman"/>
          <w:i/>
          <w:sz w:val="22"/>
          <w:szCs w:val="22"/>
        </w:rPr>
        <w:t>M. oleifera</w:t>
      </w:r>
      <w:r w:rsidR="00F326B3">
        <w:rPr>
          <w:rFonts w:ascii="Times New Roman" w:hAnsi="Times New Roman" w:cs="Times New Roman"/>
          <w:sz w:val="22"/>
          <w:szCs w:val="22"/>
        </w:rPr>
        <w:t>,</w:t>
      </w:r>
      <w:r w:rsidR="00F326B3">
        <w:rPr>
          <w:rFonts w:ascii="Times New Roman" w:hAnsi="Times New Roman" w:cs="Times New Roman"/>
          <w:i/>
          <w:sz w:val="22"/>
          <w:szCs w:val="22"/>
        </w:rPr>
        <w:t xml:space="preserve"> </w:t>
      </w:r>
      <w:r w:rsidR="00F326B3">
        <w:rPr>
          <w:rFonts w:ascii="Times New Roman" w:hAnsi="Times New Roman" w:cs="Times New Roman"/>
          <w:sz w:val="22"/>
          <w:szCs w:val="22"/>
        </w:rPr>
        <w:t xml:space="preserve">and the gas production was also significantly higher (P &lt; 0.05) for this species when compared to the negative control.  After 12 hours, plant extracts from </w:t>
      </w:r>
      <w:r w:rsidR="00F326B3">
        <w:rPr>
          <w:rFonts w:ascii="Times New Roman" w:hAnsi="Times New Roman" w:cs="Times New Roman"/>
          <w:i/>
          <w:sz w:val="22"/>
          <w:szCs w:val="22"/>
        </w:rPr>
        <w:t>C. erythrophyllum</w:t>
      </w:r>
      <w:r w:rsidR="00F326B3">
        <w:rPr>
          <w:rFonts w:ascii="Times New Roman" w:hAnsi="Times New Roman" w:cs="Times New Roman"/>
          <w:sz w:val="22"/>
          <w:szCs w:val="22"/>
        </w:rPr>
        <w:t xml:space="preserve"> and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 xml:space="preserve">significantly increased (P &lt; 0.05) the cumulative volume of gas produced when compared to the negative control.  Additionally, this increase in gas volume by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 xml:space="preserve">was also significantly higher (P &lt; 0.05) when compared to the plant extracts from </w:t>
      </w:r>
      <w:r w:rsidR="00F326B3">
        <w:rPr>
          <w:rFonts w:ascii="Times New Roman" w:hAnsi="Times New Roman" w:cs="Times New Roman"/>
          <w:i/>
          <w:sz w:val="22"/>
          <w:szCs w:val="22"/>
        </w:rPr>
        <w:t xml:space="preserve">D. viscosa, H. natalensis, S. birrea, E. lysistemon, M. oleifera </w:t>
      </w:r>
      <w:r w:rsidR="00F326B3">
        <w:rPr>
          <w:rFonts w:ascii="Times New Roman" w:hAnsi="Times New Roman" w:cs="Times New Roman"/>
          <w:sz w:val="22"/>
          <w:szCs w:val="22"/>
        </w:rPr>
        <w:t>and the positive control Rumensin</w:t>
      </w:r>
      <w:r w:rsidR="00F326B3">
        <w:rPr>
          <w:rFonts w:ascii="Times New Roman" w:hAnsi="Times New Roman" w:cs="Times New Roman"/>
          <w:sz w:val="22"/>
          <w:szCs w:val="22"/>
          <w:vertAlign w:val="superscript"/>
        </w:rPr>
        <w:t>®</w:t>
      </w:r>
      <w:r w:rsidR="00F326B3">
        <w:rPr>
          <w:rFonts w:ascii="Times New Roman" w:hAnsi="Times New Roman" w:cs="Times New Roman"/>
          <w:sz w:val="22"/>
          <w:szCs w:val="22"/>
        </w:rPr>
        <w:t xml:space="preserve"> 20%.  After 24 hours of incubation, the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 xml:space="preserve">continued to produce the highest volume of cumulative gas compared to the other treatments, however, this increase was not significantly higher (P &gt; 0.05) when compared to the other plant extracts tested in this study.  However,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significantly increased (P &lt; 0.05) the cumulative volume of gas produced after 24 hours when compared to the negative control and Rumensin</w:t>
      </w:r>
      <w:r w:rsidR="00F326B3">
        <w:rPr>
          <w:rFonts w:ascii="Times New Roman" w:hAnsi="Times New Roman" w:cs="Times New Roman"/>
          <w:sz w:val="22"/>
          <w:szCs w:val="22"/>
          <w:vertAlign w:val="superscript"/>
        </w:rPr>
        <w:t>®</w:t>
      </w:r>
      <w:r w:rsidR="00F326B3">
        <w:rPr>
          <w:rFonts w:ascii="Times New Roman" w:hAnsi="Times New Roman" w:cs="Times New Roman"/>
          <w:sz w:val="22"/>
          <w:szCs w:val="22"/>
        </w:rPr>
        <w:t xml:space="preserve"> 20%.  Plant extracts from </w:t>
      </w:r>
      <w:r w:rsidR="00F326B3">
        <w:rPr>
          <w:rFonts w:ascii="Times New Roman" w:hAnsi="Times New Roman" w:cs="Times New Roman"/>
          <w:i/>
          <w:sz w:val="22"/>
          <w:szCs w:val="22"/>
        </w:rPr>
        <w:t xml:space="preserve">C. erythrophyllum </w:t>
      </w:r>
      <w:r w:rsidR="00F326B3">
        <w:rPr>
          <w:rFonts w:ascii="Times New Roman" w:hAnsi="Times New Roman" w:cs="Times New Roman"/>
          <w:sz w:val="22"/>
          <w:szCs w:val="22"/>
        </w:rPr>
        <w:t xml:space="preserve">and </w:t>
      </w:r>
      <w:r w:rsidR="00F326B3">
        <w:rPr>
          <w:rFonts w:ascii="Times New Roman" w:hAnsi="Times New Roman" w:cs="Times New Roman"/>
          <w:i/>
          <w:sz w:val="22"/>
          <w:szCs w:val="22"/>
        </w:rPr>
        <w:t xml:space="preserve">S. chirindensis </w:t>
      </w:r>
      <w:r w:rsidR="00F326B3">
        <w:rPr>
          <w:rFonts w:ascii="Times New Roman" w:hAnsi="Times New Roman" w:cs="Times New Roman"/>
          <w:sz w:val="22"/>
          <w:szCs w:val="22"/>
        </w:rPr>
        <w:t xml:space="preserve">also significantly increased (P &lt; 0.05) the cumulative volume of gas produced when compared to the negative control at 24 hours.  Thus, plant extracts from </w:t>
      </w:r>
      <w:r w:rsidR="00F326B3">
        <w:rPr>
          <w:rFonts w:ascii="Times New Roman" w:hAnsi="Times New Roman" w:cs="Times New Roman"/>
          <w:i/>
          <w:sz w:val="22"/>
          <w:szCs w:val="22"/>
        </w:rPr>
        <w:t xml:space="preserve">H. lucida </w:t>
      </w:r>
      <w:r w:rsidR="00F326B3">
        <w:rPr>
          <w:rFonts w:ascii="Times New Roman" w:hAnsi="Times New Roman" w:cs="Times New Roman"/>
          <w:sz w:val="22"/>
          <w:szCs w:val="22"/>
        </w:rPr>
        <w:t>generally exhibited the largest effect on cumulative gas production compared to the other treatments in this study.  The highest proportional increase occurred after 4 hours whereby plant extracts from this species increased cumulative gas production compared to the negative control by 62.3%.</w:t>
      </w:r>
    </w:p>
    <w:p w14:paraId="3F6C84C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 </w:t>
      </w:r>
      <w:bookmarkStart w:id="149" w:name="_Toc526854116"/>
    </w:p>
    <w:p w14:paraId="412E84B5" w14:textId="77777777" w:rsidR="00EF65F1" w:rsidRDefault="00EF65F1">
      <w:pPr>
        <w:spacing w:after="0" w:line="360" w:lineRule="auto"/>
        <w:contextualSpacing/>
        <w:rPr>
          <w:rFonts w:ascii="Times New Roman" w:hAnsi="Times New Roman" w:cs="Times New Roman"/>
          <w:sz w:val="22"/>
          <w:szCs w:val="22"/>
        </w:rPr>
        <w:sectPr w:rsidR="00EF65F1">
          <w:type w:val="continuous"/>
          <w:pgSz w:w="11906" w:h="16838" w:code="9"/>
          <w:pgMar w:top="1440" w:right="1440" w:bottom="1440" w:left="1440" w:header="567" w:footer="794" w:gutter="0"/>
          <w:cols w:space="708"/>
          <w:docGrid w:linePitch="360"/>
        </w:sectPr>
      </w:pPr>
    </w:p>
    <w:tbl>
      <w:tblPr>
        <w:tblW w:w="5000" w:type="pct"/>
        <w:jc w:val="center"/>
        <w:tblLook w:val="04A0" w:firstRow="1" w:lastRow="0" w:firstColumn="1" w:lastColumn="0" w:noHBand="0" w:noVBand="1"/>
      </w:tblPr>
      <w:tblGrid>
        <w:gridCol w:w="15398"/>
      </w:tblGrid>
      <w:tr w:rsidR="00EF65F1" w14:paraId="2C6DC1D1" w14:textId="77777777">
        <w:trPr>
          <w:trHeight w:val="617"/>
          <w:jc w:val="center"/>
        </w:trPr>
        <w:tc>
          <w:tcPr>
            <w:tcW w:w="5000" w:type="pct"/>
            <w:tcBorders>
              <w:top w:val="nil"/>
              <w:left w:val="nil"/>
              <w:bottom w:val="nil"/>
              <w:right w:val="nil"/>
            </w:tcBorders>
            <w:shd w:val="clear" w:color="auto" w:fill="auto"/>
            <w:noWrap/>
            <w:vAlign w:val="center"/>
            <w:hideMark/>
          </w:tcPr>
          <w:tbl>
            <w:tblPr>
              <w:tblpPr w:leftFromText="181" w:rightFromText="181" w:vertAnchor="text" w:horzAnchor="margin" w:tblpY="787"/>
              <w:tblOverlap w:val="never"/>
              <w:tblW w:w="15709" w:type="dxa"/>
              <w:tblLook w:val="04A0" w:firstRow="1" w:lastRow="0" w:firstColumn="1" w:lastColumn="0" w:noHBand="0" w:noVBand="1"/>
            </w:tblPr>
            <w:tblGrid>
              <w:gridCol w:w="3689"/>
              <w:gridCol w:w="1983"/>
              <w:gridCol w:w="1982"/>
              <w:gridCol w:w="685"/>
              <w:gridCol w:w="1298"/>
              <w:gridCol w:w="1982"/>
              <w:gridCol w:w="1982"/>
              <w:gridCol w:w="1989"/>
              <w:gridCol w:w="119"/>
            </w:tblGrid>
            <w:tr w:rsidR="00EF65F1" w:rsidRPr="00881D67" w14:paraId="661C420D" w14:textId="77777777">
              <w:trPr>
                <w:cantSplit/>
                <w:trHeight w:val="324"/>
              </w:trPr>
              <w:tc>
                <w:tcPr>
                  <w:tcW w:w="2654" w:type="pct"/>
                  <w:gridSpan w:val="4"/>
                  <w:tcBorders>
                    <w:top w:val="single" w:sz="4" w:space="0" w:color="auto"/>
                    <w:left w:val="nil"/>
                    <w:bottom w:val="single" w:sz="8" w:space="0" w:color="auto"/>
                    <w:right w:val="nil"/>
                  </w:tcBorders>
                  <w:shd w:val="clear" w:color="auto" w:fill="auto"/>
                  <w:noWrap/>
                  <w:vAlign w:val="bottom"/>
                </w:tcPr>
                <w:p w14:paraId="30A5F95C" w14:textId="77777777" w:rsidR="00EF65F1" w:rsidRPr="00881D67" w:rsidRDefault="00EF65F1">
                  <w:pPr>
                    <w:spacing w:after="0" w:line="240" w:lineRule="auto"/>
                    <w:contextualSpacing/>
                    <w:jc w:val="both"/>
                    <w:rPr>
                      <w:rFonts w:ascii="Times New Roman" w:eastAsia="Times New Roman" w:hAnsi="Times New Roman" w:cs="Times New Roman"/>
                      <w:color w:val="000000"/>
                      <w:sz w:val="22"/>
                      <w:szCs w:val="22"/>
                      <w:lang w:eastAsia="en-ZA"/>
                    </w:rPr>
                  </w:pPr>
                  <w:bookmarkStart w:id="150" w:name="_Hlk536100562"/>
                  <w:bookmarkEnd w:id="149"/>
                </w:p>
              </w:tc>
              <w:tc>
                <w:tcPr>
                  <w:tcW w:w="2346" w:type="pct"/>
                  <w:gridSpan w:val="5"/>
                  <w:tcBorders>
                    <w:top w:val="single" w:sz="4" w:space="0" w:color="auto"/>
                    <w:left w:val="nil"/>
                    <w:bottom w:val="single" w:sz="8" w:space="0" w:color="auto"/>
                    <w:right w:val="nil"/>
                  </w:tcBorders>
                  <w:shd w:val="clear" w:color="auto" w:fill="auto"/>
                  <w:noWrap/>
                  <w:vAlign w:val="center"/>
                </w:tcPr>
                <w:p w14:paraId="6A5BFD96"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 xml:space="preserve"> Mean ± SD (mL gas/g DM)</w:t>
                  </w:r>
                </w:p>
              </w:tc>
            </w:tr>
            <w:tr w:rsidR="00EF65F1" w:rsidRPr="00881D67" w14:paraId="15F69C39" w14:textId="77777777">
              <w:trPr>
                <w:gridAfter w:val="1"/>
                <w:wAfter w:w="38" w:type="pct"/>
                <w:cantSplit/>
                <w:trHeight w:val="324"/>
              </w:trPr>
              <w:tc>
                <w:tcPr>
                  <w:tcW w:w="1174" w:type="pct"/>
                  <w:tcBorders>
                    <w:top w:val="nil"/>
                    <w:left w:val="nil"/>
                    <w:bottom w:val="single" w:sz="8" w:space="0" w:color="auto"/>
                    <w:right w:val="nil"/>
                  </w:tcBorders>
                  <w:shd w:val="clear" w:color="auto" w:fill="auto"/>
                  <w:noWrap/>
                  <w:vAlign w:val="bottom"/>
                  <w:hideMark/>
                </w:tcPr>
                <w:p w14:paraId="651ECF67" w14:textId="77777777" w:rsidR="00EF65F1" w:rsidRPr="00881D67" w:rsidRDefault="00484A18">
                  <w:pPr>
                    <w:spacing w:after="0" w:line="240" w:lineRule="auto"/>
                    <w:contextualSpacing/>
                    <w:jc w:val="both"/>
                    <w:rPr>
                      <w:rFonts w:ascii="Times New Roman" w:eastAsia="Times New Roman" w:hAnsi="Times New Roman" w:cs="Times New Roman"/>
                      <w:color w:val="000000"/>
                      <w:sz w:val="22"/>
                      <w:szCs w:val="22"/>
                      <w:lang w:eastAsia="en-ZA"/>
                    </w:rPr>
                  </w:pPr>
                  <w:r w:rsidRPr="00881D67">
                    <w:rPr>
                      <w:rFonts w:ascii="Times New Roman" w:eastAsia="Times New Roman" w:hAnsi="Times New Roman" w:cs="Times New Roman"/>
                      <w:color w:val="000000"/>
                      <w:sz w:val="22"/>
                      <w:szCs w:val="22"/>
                      <w:lang w:eastAsia="en-ZA"/>
                    </w:rPr>
                    <w:t>Treatment</w:t>
                  </w:r>
                </w:p>
              </w:tc>
              <w:tc>
                <w:tcPr>
                  <w:tcW w:w="631" w:type="pct"/>
                  <w:tcBorders>
                    <w:top w:val="nil"/>
                    <w:left w:val="nil"/>
                    <w:bottom w:val="single" w:sz="8" w:space="0" w:color="auto"/>
                    <w:right w:val="nil"/>
                  </w:tcBorders>
                  <w:shd w:val="clear" w:color="auto" w:fill="auto"/>
                  <w:noWrap/>
                  <w:vAlign w:val="bottom"/>
                  <w:hideMark/>
                </w:tcPr>
                <w:p w14:paraId="6A0784B9"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2h</w:t>
                  </w:r>
                </w:p>
              </w:tc>
              <w:tc>
                <w:tcPr>
                  <w:tcW w:w="631" w:type="pct"/>
                  <w:tcBorders>
                    <w:top w:val="nil"/>
                    <w:left w:val="nil"/>
                    <w:bottom w:val="single" w:sz="8" w:space="0" w:color="auto"/>
                    <w:right w:val="nil"/>
                  </w:tcBorders>
                  <w:shd w:val="clear" w:color="auto" w:fill="auto"/>
                  <w:noWrap/>
                  <w:vAlign w:val="center"/>
                  <w:hideMark/>
                </w:tcPr>
                <w:p w14:paraId="3D7B9309"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4h</w:t>
                  </w:r>
                </w:p>
              </w:tc>
              <w:tc>
                <w:tcPr>
                  <w:tcW w:w="631" w:type="pct"/>
                  <w:gridSpan w:val="2"/>
                  <w:tcBorders>
                    <w:top w:val="nil"/>
                    <w:left w:val="nil"/>
                    <w:bottom w:val="single" w:sz="8" w:space="0" w:color="auto"/>
                    <w:right w:val="nil"/>
                  </w:tcBorders>
                  <w:shd w:val="clear" w:color="auto" w:fill="auto"/>
                  <w:noWrap/>
                  <w:vAlign w:val="bottom"/>
                  <w:hideMark/>
                </w:tcPr>
                <w:p w14:paraId="48C49457"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8h</w:t>
                  </w:r>
                </w:p>
              </w:tc>
              <w:tc>
                <w:tcPr>
                  <w:tcW w:w="631" w:type="pct"/>
                  <w:tcBorders>
                    <w:top w:val="nil"/>
                    <w:left w:val="nil"/>
                    <w:bottom w:val="single" w:sz="8" w:space="0" w:color="auto"/>
                    <w:right w:val="nil"/>
                  </w:tcBorders>
                  <w:shd w:val="clear" w:color="auto" w:fill="auto"/>
                  <w:noWrap/>
                  <w:vAlign w:val="bottom"/>
                  <w:hideMark/>
                </w:tcPr>
                <w:p w14:paraId="387B9FCD"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12h</w:t>
                  </w:r>
                </w:p>
              </w:tc>
              <w:tc>
                <w:tcPr>
                  <w:tcW w:w="631" w:type="pct"/>
                  <w:tcBorders>
                    <w:top w:val="nil"/>
                    <w:left w:val="nil"/>
                    <w:bottom w:val="single" w:sz="8" w:space="0" w:color="auto"/>
                    <w:right w:val="nil"/>
                  </w:tcBorders>
                  <w:shd w:val="clear" w:color="auto" w:fill="auto"/>
                  <w:noWrap/>
                  <w:vAlign w:val="bottom"/>
                  <w:hideMark/>
                </w:tcPr>
                <w:p w14:paraId="79AE5F46"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24h</w:t>
                  </w:r>
                </w:p>
              </w:tc>
              <w:tc>
                <w:tcPr>
                  <w:tcW w:w="633" w:type="pct"/>
                  <w:tcBorders>
                    <w:top w:val="nil"/>
                    <w:left w:val="nil"/>
                    <w:bottom w:val="single" w:sz="8" w:space="0" w:color="auto"/>
                    <w:right w:val="nil"/>
                  </w:tcBorders>
                  <w:shd w:val="clear" w:color="auto" w:fill="auto"/>
                  <w:noWrap/>
                  <w:vAlign w:val="center"/>
                  <w:hideMark/>
                </w:tcPr>
                <w:p w14:paraId="3189FE89"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48h</w:t>
                  </w:r>
                </w:p>
              </w:tc>
            </w:tr>
            <w:tr w:rsidR="00EF65F1" w:rsidRPr="00881D67" w14:paraId="10F5AC78" w14:textId="77777777">
              <w:trPr>
                <w:gridAfter w:val="1"/>
                <w:wAfter w:w="38" w:type="pct"/>
                <w:cantSplit/>
                <w:trHeight w:val="386"/>
              </w:trPr>
              <w:tc>
                <w:tcPr>
                  <w:tcW w:w="1174" w:type="pct"/>
                  <w:tcBorders>
                    <w:top w:val="nil"/>
                    <w:left w:val="nil"/>
                    <w:bottom w:val="nil"/>
                    <w:right w:val="nil"/>
                  </w:tcBorders>
                  <w:shd w:val="clear" w:color="auto" w:fill="auto"/>
                  <w:vAlign w:val="center"/>
                  <w:hideMark/>
                </w:tcPr>
                <w:p w14:paraId="30D3F101" w14:textId="77777777" w:rsidR="00EF65F1" w:rsidRPr="00881D67" w:rsidRDefault="00484A18">
                  <w:pPr>
                    <w:spacing w:after="0" w:line="240" w:lineRule="auto"/>
                    <w:contextualSpacing/>
                    <w:jc w:val="both"/>
                    <w:rPr>
                      <w:rFonts w:ascii="Times New Roman" w:eastAsia="Times New Roman" w:hAnsi="Times New Roman" w:cs="Times New Roman"/>
                      <w:i/>
                      <w:iCs/>
                      <w:sz w:val="22"/>
                      <w:szCs w:val="22"/>
                      <w:vertAlign w:val="subscript"/>
                      <w:lang w:eastAsia="en-ZA"/>
                    </w:rPr>
                  </w:pPr>
                  <w:r w:rsidRPr="00881D67">
                    <w:rPr>
                      <w:rFonts w:ascii="Times New Roman" w:eastAsia="Times New Roman" w:hAnsi="Times New Roman" w:cs="Times New Roman"/>
                      <w:i/>
                      <w:iCs/>
                      <w:sz w:val="22"/>
                      <w:szCs w:val="22"/>
                      <w:lang w:eastAsia="en-ZA"/>
                    </w:rPr>
                    <w:t>Eragrostis curvula</w:t>
                  </w:r>
                </w:p>
              </w:tc>
              <w:tc>
                <w:tcPr>
                  <w:tcW w:w="631" w:type="pct"/>
                  <w:tcBorders>
                    <w:top w:val="nil"/>
                    <w:left w:val="nil"/>
                    <w:bottom w:val="nil"/>
                    <w:right w:val="nil"/>
                  </w:tcBorders>
                  <w:shd w:val="clear" w:color="auto" w:fill="auto"/>
                  <w:noWrap/>
                  <w:vAlign w:val="center"/>
                  <w:hideMark/>
                </w:tcPr>
                <w:p w14:paraId="4DD172FA"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3.9 ± 0.62</w:t>
                  </w:r>
                </w:p>
              </w:tc>
              <w:tc>
                <w:tcPr>
                  <w:tcW w:w="631" w:type="pct"/>
                  <w:tcBorders>
                    <w:top w:val="nil"/>
                    <w:left w:val="nil"/>
                    <w:bottom w:val="nil"/>
                    <w:right w:val="nil"/>
                  </w:tcBorders>
                  <w:shd w:val="clear" w:color="auto" w:fill="auto"/>
                  <w:noWrap/>
                  <w:vAlign w:val="center"/>
                  <w:hideMark/>
                </w:tcPr>
                <w:p w14:paraId="7734C2D3"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5.3</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0.40</w:t>
                  </w:r>
                </w:p>
              </w:tc>
              <w:tc>
                <w:tcPr>
                  <w:tcW w:w="631" w:type="pct"/>
                  <w:gridSpan w:val="2"/>
                  <w:tcBorders>
                    <w:top w:val="nil"/>
                    <w:left w:val="nil"/>
                    <w:bottom w:val="nil"/>
                    <w:right w:val="nil"/>
                  </w:tcBorders>
                  <w:shd w:val="clear" w:color="auto" w:fill="auto"/>
                  <w:noWrap/>
                  <w:vAlign w:val="center"/>
                  <w:hideMark/>
                </w:tcPr>
                <w:p w14:paraId="3E2308F8"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13.1</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2.08</w:t>
                  </w:r>
                </w:p>
              </w:tc>
              <w:tc>
                <w:tcPr>
                  <w:tcW w:w="631" w:type="pct"/>
                  <w:tcBorders>
                    <w:top w:val="nil"/>
                    <w:left w:val="nil"/>
                    <w:bottom w:val="nil"/>
                    <w:right w:val="nil"/>
                  </w:tcBorders>
                  <w:shd w:val="clear" w:color="auto" w:fill="auto"/>
                  <w:noWrap/>
                  <w:vAlign w:val="center"/>
                  <w:hideMark/>
                </w:tcPr>
                <w:p w14:paraId="611BF6B9"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26.8</w:t>
                  </w:r>
                  <w:r w:rsidRPr="00881D67">
                    <w:rPr>
                      <w:rFonts w:ascii="Times New Roman" w:eastAsia="Times New Roman" w:hAnsi="Times New Roman" w:cs="Times New Roman"/>
                      <w:sz w:val="22"/>
                      <w:szCs w:val="22"/>
                      <w:vertAlign w:val="superscript"/>
                      <w:lang w:eastAsia="en-ZA"/>
                    </w:rPr>
                    <w:t>cd</w:t>
                  </w:r>
                  <w:r w:rsidRPr="00881D67">
                    <w:rPr>
                      <w:rFonts w:ascii="Times New Roman" w:eastAsia="Times New Roman" w:hAnsi="Times New Roman" w:cs="Times New Roman"/>
                      <w:sz w:val="22"/>
                      <w:szCs w:val="22"/>
                      <w:lang w:eastAsia="en-ZA"/>
                    </w:rPr>
                    <w:t xml:space="preserve"> ± 4.08</w:t>
                  </w:r>
                </w:p>
              </w:tc>
              <w:tc>
                <w:tcPr>
                  <w:tcW w:w="631" w:type="pct"/>
                  <w:tcBorders>
                    <w:top w:val="nil"/>
                    <w:left w:val="nil"/>
                    <w:bottom w:val="nil"/>
                    <w:right w:val="nil"/>
                  </w:tcBorders>
                  <w:shd w:val="clear" w:color="auto" w:fill="auto"/>
                  <w:noWrap/>
                  <w:vAlign w:val="center"/>
                  <w:hideMark/>
                </w:tcPr>
                <w:p w14:paraId="08D4EEE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64.6</w:t>
                  </w:r>
                  <w:r w:rsidRPr="00881D67">
                    <w:rPr>
                      <w:rFonts w:ascii="Times New Roman" w:eastAsia="Times New Roman" w:hAnsi="Times New Roman" w:cs="Times New Roman"/>
                      <w:sz w:val="22"/>
                      <w:szCs w:val="22"/>
                      <w:vertAlign w:val="superscript"/>
                      <w:lang w:eastAsia="en-ZA"/>
                    </w:rPr>
                    <w:t>c</w:t>
                  </w:r>
                  <w:r w:rsidRPr="00881D67">
                    <w:rPr>
                      <w:rFonts w:ascii="Times New Roman" w:eastAsia="Times New Roman" w:hAnsi="Times New Roman" w:cs="Times New Roman"/>
                      <w:sz w:val="22"/>
                      <w:szCs w:val="22"/>
                      <w:lang w:eastAsia="en-ZA"/>
                    </w:rPr>
                    <w:t xml:space="preserve"> ± 2.13</w:t>
                  </w:r>
                </w:p>
              </w:tc>
              <w:tc>
                <w:tcPr>
                  <w:tcW w:w="633" w:type="pct"/>
                  <w:tcBorders>
                    <w:top w:val="nil"/>
                    <w:left w:val="nil"/>
                    <w:bottom w:val="nil"/>
                    <w:right w:val="nil"/>
                  </w:tcBorders>
                  <w:shd w:val="clear" w:color="auto" w:fill="auto"/>
                  <w:noWrap/>
                  <w:vAlign w:val="center"/>
                  <w:hideMark/>
                </w:tcPr>
                <w:p w14:paraId="6BDCCEC8"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116.2 ± 4.42</w:t>
                  </w:r>
                </w:p>
              </w:tc>
            </w:tr>
            <w:tr w:rsidR="00EF65F1" w:rsidRPr="00881D67" w14:paraId="5F177794" w14:textId="77777777">
              <w:trPr>
                <w:gridAfter w:val="1"/>
                <w:wAfter w:w="38" w:type="pct"/>
                <w:cantSplit/>
                <w:trHeight w:val="386"/>
              </w:trPr>
              <w:tc>
                <w:tcPr>
                  <w:tcW w:w="1174" w:type="pct"/>
                  <w:tcBorders>
                    <w:top w:val="nil"/>
                    <w:left w:val="nil"/>
                    <w:bottom w:val="nil"/>
                    <w:right w:val="nil"/>
                  </w:tcBorders>
                  <w:shd w:val="clear" w:color="auto" w:fill="auto"/>
                  <w:vAlign w:val="center"/>
                  <w:hideMark/>
                </w:tcPr>
                <w:p w14:paraId="3BE63AF4" w14:textId="77777777" w:rsidR="00EF65F1" w:rsidRPr="00881D67" w:rsidRDefault="00484A18">
                  <w:pPr>
                    <w:spacing w:after="0" w:line="240" w:lineRule="auto"/>
                    <w:contextualSpacing/>
                    <w:jc w:val="both"/>
                    <w:rPr>
                      <w:rFonts w:ascii="Times New Roman" w:eastAsia="Times New Roman" w:hAnsi="Times New Roman" w:cs="Times New Roman"/>
                      <w:sz w:val="22"/>
                      <w:szCs w:val="22"/>
                      <w:vertAlign w:val="subscript"/>
                      <w:lang w:eastAsia="en-ZA"/>
                    </w:rPr>
                  </w:pPr>
                  <w:r w:rsidRPr="00881D67">
                    <w:rPr>
                      <w:rFonts w:ascii="Times New Roman" w:hAnsi="Times New Roman" w:cs="Times New Roman"/>
                      <w:sz w:val="22"/>
                      <w:szCs w:val="22"/>
                    </w:rPr>
                    <w:t>Rumensin</w:t>
                  </w:r>
                  <w:r w:rsidRPr="00881D67">
                    <w:rPr>
                      <w:rFonts w:ascii="Times New Roman" w:hAnsi="Times New Roman" w:cs="Times New Roman"/>
                      <w:sz w:val="22"/>
                      <w:szCs w:val="22"/>
                      <w:vertAlign w:val="superscript"/>
                    </w:rPr>
                    <w:t>®</w:t>
                  </w:r>
                  <w:r w:rsidRPr="00881D67">
                    <w:rPr>
                      <w:rFonts w:ascii="Times New Roman" w:hAnsi="Times New Roman" w:cs="Times New Roman"/>
                      <w:sz w:val="22"/>
                      <w:szCs w:val="22"/>
                    </w:rPr>
                    <w:t xml:space="preserve"> 20%</w:t>
                  </w:r>
                </w:p>
              </w:tc>
              <w:tc>
                <w:tcPr>
                  <w:tcW w:w="631" w:type="pct"/>
                  <w:tcBorders>
                    <w:top w:val="nil"/>
                    <w:left w:val="nil"/>
                    <w:bottom w:val="nil"/>
                    <w:right w:val="nil"/>
                  </w:tcBorders>
                  <w:shd w:val="clear" w:color="auto" w:fill="auto"/>
                  <w:noWrap/>
                  <w:vAlign w:val="center"/>
                  <w:hideMark/>
                </w:tcPr>
                <w:p w14:paraId="0A7087CC"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4.3 ± 0.33</w:t>
                  </w:r>
                </w:p>
              </w:tc>
              <w:tc>
                <w:tcPr>
                  <w:tcW w:w="631" w:type="pct"/>
                  <w:tcBorders>
                    <w:top w:val="nil"/>
                    <w:left w:val="nil"/>
                    <w:bottom w:val="nil"/>
                    <w:right w:val="nil"/>
                  </w:tcBorders>
                  <w:shd w:val="clear" w:color="auto" w:fill="auto"/>
                  <w:noWrap/>
                  <w:vAlign w:val="center"/>
                  <w:hideMark/>
                </w:tcPr>
                <w:p w14:paraId="1A1658D4"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6.2</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0.48</w:t>
                  </w:r>
                </w:p>
              </w:tc>
              <w:tc>
                <w:tcPr>
                  <w:tcW w:w="631" w:type="pct"/>
                  <w:gridSpan w:val="2"/>
                  <w:tcBorders>
                    <w:top w:val="nil"/>
                    <w:left w:val="nil"/>
                    <w:bottom w:val="nil"/>
                    <w:right w:val="nil"/>
                  </w:tcBorders>
                  <w:shd w:val="clear" w:color="auto" w:fill="auto"/>
                  <w:noWrap/>
                  <w:vAlign w:val="center"/>
                  <w:hideMark/>
                </w:tcPr>
                <w:p w14:paraId="665A8DF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14.2</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1.69</w:t>
                  </w:r>
                </w:p>
              </w:tc>
              <w:tc>
                <w:tcPr>
                  <w:tcW w:w="631" w:type="pct"/>
                  <w:tcBorders>
                    <w:top w:val="nil"/>
                    <w:left w:val="nil"/>
                    <w:bottom w:val="nil"/>
                    <w:right w:val="nil"/>
                  </w:tcBorders>
                  <w:shd w:val="clear" w:color="auto" w:fill="auto"/>
                  <w:noWrap/>
                  <w:vAlign w:val="center"/>
                  <w:hideMark/>
                </w:tcPr>
                <w:p w14:paraId="3B04109F"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28.0</w:t>
                  </w:r>
                  <w:r w:rsidRPr="00881D67">
                    <w:rPr>
                      <w:rFonts w:ascii="Times New Roman" w:eastAsia="Times New Roman" w:hAnsi="Times New Roman" w:cs="Times New Roman"/>
                      <w:sz w:val="22"/>
                      <w:szCs w:val="22"/>
                      <w:vertAlign w:val="superscript"/>
                      <w:lang w:eastAsia="en-ZA"/>
                    </w:rPr>
                    <w:t>bcd</w:t>
                  </w:r>
                  <w:r w:rsidRPr="00881D67">
                    <w:rPr>
                      <w:rFonts w:ascii="Times New Roman" w:eastAsia="Times New Roman" w:hAnsi="Times New Roman" w:cs="Times New Roman"/>
                      <w:sz w:val="22"/>
                      <w:szCs w:val="22"/>
                      <w:lang w:eastAsia="en-ZA"/>
                    </w:rPr>
                    <w:t xml:space="preserve"> ± 2.82</w:t>
                  </w:r>
                </w:p>
              </w:tc>
              <w:tc>
                <w:tcPr>
                  <w:tcW w:w="631" w:type="pct"/>
                  <w:tcBorders>
                    <w:top w:val="nil"/>
                    <w:left w:val="nil"/>
                    <w:bottom w:val="nil"/>
                    <w:right w:val="nil"/>
                  </w:tcBorders>
                  <w:shd w:val="clear" w:color="auto" w:fill="auto"/>
                  <w:noWrap/>
                  <w:vAlign w:val="center"/>
                  <w:hideMark/>
                </w:tcPr>
                <w:p w14:paraId="25FE74D6"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66.9</w:t>
                  </w:r>
                  <w:r w:rsidRPr="00881D67">
                    <w:rPr>
                      <w:rFonts w:ascii="Times New Roman" w:eastAsia="Times New Roman" w:hAnsi="Times New Roman" w:cs="Times New Roman"/>
                      <w:sz w:val="22"/>
                      <w:szCs w:val="22"/>
                      <w:vertAlign w:val="superscript"/>
                      <w:lang w:eastAsia="en-ZA"/>
                    </w:rPr>
                    <w:t>bc</w:t>
                  </w:r>
                  <w:r w:rsidRPr="00881D67">
                    <w:rPr>
                      <w:rFonts w:ascii="Times New Roman" w:eastAsia="Times New Roman" w:hAnsi="Times New Roman" w:cs="Times New Roman"/>
                      <w:sz w:val="22"/>
                      <w:szCs w:val="22"/>
                      <w:lang w:eastAsia="en-ZA"/>
                    </w:rPr>
                    <w:t xml:space="preserve"> ± 0.55 </w:t>
                  </w:r>
                </w:p>
              </w:tc>
              <w:tc>
                <w:tcPr>
                  <w:tcW w:w="633" w:type="pct"/>
                  <w:tcBorders>
                    <w:top w:val="nil"/>
                    <w:left w:val="nil"/>
                    <w:bottom w:val="nil"/>
                    <w:right w:val="nil"/>
                  </w:tcBorders>
                  <w:shd w:val="clear" w:color="auto" w:fill="auto"/>
                  <w:noWrap/>
                  <w:vAlign w:val="center"/>
                  <w:hideMark/>
                </w:tcPr>
                <w:p w14:paraId="2DD4FDC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118.5 ± 3.20</w:t>
                  </w:r>
                </w:p>
              </w:tc>
            </w:tr>
            <w:tr w:rsidR="00EF65F1" w:rsidRPr="00881D67" w14:paraId="48D726A7" w14:textId="77777777">
              <w:trPr>
                <w:gridAfter w:val="1"/>
                <w:wAfter w:w="38" w:type="pct"/>
                <w:cantSplit/>
                <w:trHeight w:val="309"/>
              </w:trPr>
              <w:tc>
                <w:tcPr>
                  <w:tcW w:w="1174" w:type="pct"/>
                  <w:tcBorders>
                    <w:top w:val="nil"/>
                    <w:left w:val="nil"/>
                    <w:bottom w:val="nil"/>
                    <w:right w:val="nil"/>
                  </w:tcBorders>
                  <w:shd w:val="clear" w:color="auto" w:fill="auto"/>
                  <w:vAlign w:val="center"/>
                  <w:hideMark/>
                </w:tcPr>
                <w:p w14:paraId="225357E3" w14:textId="77777777" w:rsidR="00EF65F1" w:rsidRPr="00881D67" w:rsidRDefault="00484A18">
                  <w:pPr>
                    <w:spacing w:after="0" w:line="240" w:lineRule="auto"/>
                    <w:contextualSpacing/>
                    <w:jc w:val="both"/>
                    <w:rPr>
                      <w:rFonts w:ascii="Times New Roman" w:eastAsia="Times New Roman" w:hAnsi="Times New Roman" w:cs="Times New Roman"/>
                      <w:sz w:val="22"/>
                      <w:szCs w:val="22"/>
                      <w:vertAlign w:val="subscript"/>
                      <w:lang w:eastAsia="en-ZA"/>
                    </w:rPr>
                  </w:pPr>
                  <w:r w:rsidRPr="00881D67">
                    <w:rPr>
                      <w:rFonts w:ascii="Times New Roman" w:eastAsia="Times New Roman" w:hAnsi="Times New Roman" w:cs="Times New Roman"/>
                      <w:i/>
                      <w:iCs/>
                      <w:sz w:val="22"/>
                      <w:szCs w:val="22"/>
                      <w:lang w:eastAsia="en-ZA"/>
                    </w:rPr>
                    <w:t>Moringa oleifera</w:t>
                  </w:r>
                </w:p>
              </w:tc>
              <w:tc>
                <w:tcPr>
                  <w:tcW w:w="631" w:type="pct"/>
                  <w:tcBorders>
                    <w:top w:val="nil"/>
                    <w:left w:val="nil"/>
                    <w:bottom w:val="nil"/>
                    <w:right w:val="nil"/>
                  </w:tcBorders>
                  <w:shd w:val="clear" w:color="auto" w:fill="auto"/>
                  <w:noWrap/>
                  <w:vAlign w:val="center"/>
                  <w:hideMark/>
                </w:tcPr>
                <w:p w14:paraId="725F614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3.6 ± 1.14</w:t>
                  </w:r>
                </w:p>
              </w:tc>
              <w:tc>
                <w:tcPr>
                  <w:tcW w:w="631" w:type="pct"/>
                  <w:tcBorders>
                    <w:top w:val="nil"/>
                    <w:left w:val="nil"/>
                    <w:bottom w:val="nil"/>
                    <w:right w:val="nil"/>
                  </w:tcBorders>
                  <w:shd w:val="clear" w:color="auto" w:fill="auto"/>
                  <w:noWrap/>
                  <w:vAlign w:val="center"/>
                  <w:hideMark/>
                </w:tcPr>
                <w:p w14:paraId="5022C08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5.2</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1.55</w:t>
                  </w:r>
                </w:p>
              </w:tc>
              <w:tc>
                <w:tcPr>
                  <w:tcW w:w="631" w:type="pct"/>
                  <w:gridSpan w:val="2"/>
                  <w:tcBorders>
                    <w:top w:val="nil"/>
                    <w:left w:val="nil"/>
                    <w:bottom w:val="nil"/>
                    <w:right w:val="nil"/>
                  </w:tcBorders>
                  <w:shd w:val="clear" w:color="auto" w:fill="auto"/>
                  <w:noWrap/>
                  <w:vAlign w:val="center"/>
                  <w:hideMark/>
                </w:tcPr>
                <w:p w14:paraId="60409A49"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13.3</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0.78</w:t>
                  </w:r>
                </w:p>
              </w:tc>
              <w:tc>
                <w:tcPr>
                  <w:tcW w:w="631" w:type="pct"/>
                  <w:tcBorders>
                    <w:top w:val="nil"/>
                    <w:left w:val="nil"/>
                    <w:bottom w:val="nil"/>
                    <w:right w:val="nil"/>
                  </w:tcBorders>
                  <w:shd w:val="clear" w:color="auto" w:fill="auto"/>
                  <w:noWrap/>
                  <w:vAlign w:val="center"/>
                  <w:hideMark/>
                </w:tcPr>
                <w:p w14:paraId="296BD8E8"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26.0</w:t>
                  </w:r>
                  <w:r w:rsidRPr="00881D67">
                    <w:rPr>
                      <w:rFonts w:ascii="Times New Roman" w:eastAsia="Times New Roman" w:hAnsi="Times New Roman" w:cs="Times New Roman"/>
                      <w:sz w:val="22"/>
                      <w:szCs w:val="22"/>
                      <w:vertAlign w:val="superscript"/>
                      <w:lang w:eastAsia="en-ZA"/>
                    </w:rPr>
                    <w:t>d</w:t>
                  </w:r>
                  <w:r w:rsidRPr="00881D67">
                    <w:rPr>
                      <w:rFonts w:ascii="Times New Roman" w:eastAsia="Times New Roman" w:hAnsi="Times New Roman" w:cs="Times New Roman"/>
                      <w:sz w:val="22"/>
                      <w:szCs w:val="22"/>
                      <w:lang w:eastAsia="en-ZA"/>
                    </w:rPr>
                    <w:t xml:space="preserve"> ± 2.99</w:t>
                  </w:r>
                </w:p>
              </w:tc>
              <w:tc>
                <w:tcPr>
                  <w:tcW w:w="631" w:type="pct"/>
                  <w:tcBorders>
                    <w:top w:val="nil"/>
                    <w:left w:val="nil"/>
                    <w:bottom w:val="nil"/>
                    <w:right w:val="nil"/>
                  </w:tcBorders>
                  <w:shd w:val="clear" w:color="auto" w:fill="auto"/>
                  <w:noWrap/>
                  <w:vAlign w:val="center"/>
                  <w:hideMark/>
                </w:tcPr>
                <w:p w14:paraId="296D15D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67.4</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3.00</w:t>
                  </w:r>
                </w:p>
              </w:tc>
              <w:tc>
                <w:tcPr>
                  <w:tcW w:w="633" w:type="pct"/>
                  <w:tcBorders>
                    <w:top w:val="nil"/>
                    <w:left w:val="nil"/>
                    <w:bottom w:val="nil"/>
                    <w:right w:val="nil"/>
                  </w:tcBorders>
                  <w:shd w:val="clear" w:color="auto" w:fill="auto"/>
                  <w:noWrap/>
                  <w:vAlign w:val="center"/>
                  <w:hideMark/>
                </w:tcPr>
                <w:p w14:paraId="58EAF573"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117.1 ± 3.23</w:t>
                  </w:r>
                </w:p>
              </w:tc>
            </w:tr>
            <w:tr w:rsidR="00EF65F1" w:rsidRPr="00881D67" w14:paraId="11BCF55B"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00F2A166"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Combretum erythrophyllum</w:t>
                  </w:r>
                </w:p>
              </w:tc>
              <w:tc>
                <w:tcPr>
                  <w:tcW w:w="631" w:type="pct"/>
                  <w:tcBorders>
                    <w:top w:val="nil"/>
                    <w:left w:val="nil"/>
                    <w:bottom w:val="nil"/>
                    <w:right w:val="nil"/>
                  </w:tcBorders>
                  <w:shd w:val="clear" w:color="auto" w:fill="auto"/>
                  <w:noWrap/>
                  <w:vAlign w:val="center"/>
                  <w:hideMark/>
                </w:tcPr>
                <w:p w14:paraId="77267987"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4.2 ± 1.16</w:t>
                  </w:r>
                </w:p>
              </w:tc>
              <w:tc>
                <w:tcPr>
                  <w:tcW w:w="631" w:type="pct"/>
                  <w:tcBorders>
                    <w:top w:val="nil"/>
                    <w:left w:val="nil"/>
                    <w:bottom w:val="nil"/>
                    <w:right w:val="nil"/>
                  </w:tcBorders>
                  <w:shd w:val="clear" w:color="auto" w:fill="auto"/>
                  <w:noWrap/>
                  <w:vAlign w:val="center"/>
                  <w:hideMark/>
                </w:tcPr>
                <w:p w14:paraId="1A11281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7.5</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1.23</w:t>
                  </w:r>
                </w:p>
              </w:tc>
              <w:tc>
                <w:tcPr>
                  <w:tcW w:w="631" w:type="pct"/>
                  <w:gridSpan w:val="2"/>
                  <w:tcBorders>
                    <w:top w:val="nil"/>
                    <w:left w:val="nil"/>
                    <w:bottom w:val="nil"/>
                    <w:right w:val="nil"/>
                  </w:tcBorders>
                  <w:shd w:val="clear" w:color="auto" w:fill="auto"/>
                  <w:noWrap/>
                  <w:vAlign w:val="center"/>
                  <w:hideMark/>
                </w:tcPr>
                <w:p w14:paraId="1F3B6C3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15.7</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0.82</w:t>
                  </w:r>
                </w:p>
              </w:tc>
              <w:tc>
                <w:tcPr>
                  <w:tcW w:w="631" w:type="pct"/>
                  <w:tcBorders>
                    <w:top w:val="nil"/>
                    <w:left w:val="nil"/>
                    <w:bottom w:val="nil"/>
                    <w:right w:val="nil"/>
                  </w:tcBorders>
                  <w:shd w:val="clear" w:color="auto" w:fill="auto"/>
                  <w:noWrap/>
                  <w:vAlign w:val="center"/>
                  <w:hideMark/>
                </w:tcPr>
                <w:p w14:paraId="45B28757"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30.3</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2.14</w:t>
                  </w:r>
                </w:p>
              </w:tc>
              <w:tc>
                <w:tcPr>
                  <w:tcW w:w="631" w:type="pct"/>
                  <w:tcBorders>
                    <w:top w:val="nil"/>
                    <w:left w:val="nil"/>
                    <w:bottom w:val="nil"/>
                    <w:right w:val="nil"/>
                  </w:tcBorders>
                  <w:shd w:val="clear" w:color="auto" w:fill="auto"/>
                  <w:noWrap/>
                  <w:vAlign w:val="center"/>
                  <w:hideMark/>
                </w:tcPr>
                <w:p w14:paraId="6CFEF1E4"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70.4</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3.34</w:t>
                  </w:r>
                </w:p>
              </w:tc>
              <w:tc>
                <w:tcPr>
                  <w:tcW w:w="633" w:type="pct"/>
                  <w:tcBorders>
                    <w:top w:val="nil"/>
                    <w:left w:val="nil"/>
                    <w:bottom w:val="nil"/>
                    <w:right w:val="nil"/>
                  </w:tcBorders>
                  <w:shd w:val="clear" w:color="auto" w:fill="auto"/>
                  <w:noWrap/>
                  <w:vAlign w:val="center"/>
                  <w:hideMark/>
                </w:tcPr>
                <w:p w14:paraId="0B929724"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121.2 ± 4.59</w:t>
                  </w:r>
                </w:p>
              </w:tc>
            </w:tr>
            <w:tr w:rsidR="00EF65F1" w:rsidRPr="00881D67" w14:paraId="68E4484F"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191D5D28"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Dodonaea viscosa</w:t>
                  </w:r>
                </w:p>
              </w:tc>
              <w:tc>
                <w:tcPr>
                  <w:tcW w:w="631" w:type="pct"/>
                  <w:tcBorders>
                    <w:top w:val="nil"/>
                    <w:left w:val="nil"/>
                    <w:bottom w:val="nil"/>
                    <w:right w:val="nil"/>
                  </w:tcBorders>
                  <w:shd w:val="clear" w:color="auto" w:fill="auto"/>
                  <w:noWrap/>
                  <w:vAlign w:val="center"/>
                  <w:hideMark/>
                </w:tcPr>
                <w:p w14:paraId="168B8ABF"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4.1 ± 1.52</w:t>
                  </w:r>
                </w:p>
              </w:tc>
              <w:tc>
                <w:tcPr>
                  <w:tcW w:w="631" w:type="pct"/>
                  <w:tcBorders>
                    <w:top w:val="nil"/>
                    <w:left w:val="nil"/>
                    <w:bottom w:val="nil"/>
                    <w:right w:val="nil"/>
                  </w:tcBorders>
                  <w:shd w:val="clear" w:color="auto" w:fill="auto"/>
                  <w:noWrap/>
                  <w:vAlign w:val="center"/>
                  <w:hideMark/>
                </w:tcPr>
                <w:p w14:paraId="0256723E"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5.7</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0.92</w:t>
                  </w:r>
                </w:p>
              </w:tc>
              <w:tc>
                <w:tcPr>
                  <w:tcW w:w="631" w:type="pct"/>
                  <w:gridSpan w:val="2"/>
                  <w:tcBorders>
                    <w:top w:val="nil"/>
                    <w:left w:val="nil"/>
                    <w:bottom w:val="nil"/>
                    <w:right w:val="nil"/>
                  </w:tcBorders>
                  <w:shd w:val="clear" w:color="auto" w:fill="auto"/>
                  <w:noWrap/>
                  <w:vAlign w:val="center"/>
                  <w:hideMark/>
                </w:tcPr>
                <w:p w14:paraId="4969787C"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14.0</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0.37</w:t>
                  </w:r>
                </w:p>
              </w:tc>
              <w:tc>
                <w:tcPr>
                  <w:tcW w:w="631" w:type="pct"/>
                  <w:tcBorders>
                    <w:top w:val="nil"/>
                    <w:left w:val="nil"/>
                    <w:bottom w:val="nil"/>
                    <w:right w:val="nil"/>
                  </w:tcBorders>
                  <w:shd w:val="clear" w:color="auto" w:fill="auto"/>
                  <w:noWrap/>
                  <w:vAlign w:val="center"/>
                  <w:hideMark/>
                </w:tcPr>
                <w:p w14:paraId="6E3FFD38"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28.0</w:t>
                  </w:r>
                  <w:r w:rsidRPr="00881D67">
                    <w:rPr>
                      <w:rFonts w:ascii="Times New Roman" w:eastAsia="Times New Roman" w:hAnsi="Times New Roman" w:cs="Times New Roman"/>
                      <w:sz w:val="22"/>
                      <w:szCs w:val="22"/>
                      <w:vertAlign w:val="superscript"/>
                      <w:lang w:eastAsia="en-ZA"/>
                    </w:rPr>
                    <w:t>bcd</w:t>
                  </w:r>
                  <w:r w:rsidRPr="00881D67">
                    <w:rPr>
                      <w:rFonts w:ascii="Times New Roman" w:eastAsia="Times New Roman" w:hAnsi="Times New Roman" w:cs="Times New Roman"/>
                      <w:sz w:val="22"/>
                      <w:szCs w:val="22"/>
                      <w:lang w:eastAsia="en-ZA"/>
                    </w:rPr>
                    <w:t xml:space="preserve"> ± 1.45</w:t>
                  </w:r>
                </w:p>
              </w:tc>
              <w:tc>
                <w:tcPr>
                  <w:tcW w:w="631" w:type="pct"/>
                  <w:tcBorders>
                    <w:top w:val="nil"/>
                    <w:left w:val="nil"/>
                    <w:bottom w:val="nil"/>
                    <w:right w:val="nil"/>
                  </w:tcBorders>
                  <w:shd w:val="clear" w:color="auto" w:fill="auto"/>
                  <w:noWrap/>
                  <w:vAlign w:val="center"/>
                  <w:hideMark/>
                </w:tcPr>
                <w:p w14:paraId="27E24BD3"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68.3</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1.76</w:t>
                  </w:r>
                </w:p>
              </w:tc>
              <w:tc>
                <w:tcPr>
                  <w:tcW w:w="633" w:type="pct"/>
                  <w:tcBorders>
                    <w:top w:val="nil"/>
                    <w:left w:val="nil"/>
                    <w:bottom w:val="nil"/>
                    <w:right w:val="nil"/>
                  </w:tcBorders>
                  <w:shd w:val="clear" w:color="auto" w:fill="auto"/>
                  <w:noWrap/>
                  <w:vAlign w:val="center"/>
                  <w:hideMark/>
                </w:tcPr>
                <w:p w14:paraId="2F83A88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122.1 ± 2.77</w:t>
                  </w:r>
                </w:p>
              </w:tc>
            </w:tr>
            <w:tr w:rsidR="00EF65F1" w:rsidRPr="00881D67" w14:paraId="2193FE1F"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18B6EAAC"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Heteropyxis natalensis</w:t>
                  </w:r>
                </w:p>
              </w:tc>
              <w:tc>
                <w:tcPr>
                  <w:tcW w:w="631" w:type="pct"/>
                  <w:tcBorders>
                    <w:top w:val="nil"/>
                    <w:left w:val="nil"/>
                    <w:bottom w:val="nil"/>
                    <w:right w:val="nil"/>
                  </w:tcBorders>
                  <w:shd w:val="clear" w:color="auto" w:fill="auto"/>
                  <w:noWrap/>
                  <w:vAlign w:val="center"/>
                  <w:hideMark/>
                </w:tcPr>
                <w:p w14:paraId="3C55988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3.7 ± 1.16</w:t>
                  </w:r>
                </w:p>
              </w:tc>
              <w:tc>
                <w:tcPr>
                  <w:tcW w:w="631" w:type="pct"/>
                  <w:tcBorders>
                    <w:top w:val="nil"/>
                    <w:left w:val="nil"/>
                    <w:bottom w:val="nil"/>
                    <w:right w:val="nil"/>
                  </w:tcBorders>
                  <w:shd w:val="clear" w:color="auto" w:fill="auto"/>
                  <w:noWrap/>
                  <w:vAlign w:val="center"/>
                  <w:hideMark/>
                </w:tcPr>
                <w:p w14:paraId="3AC88CC4"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5.2</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0.54</w:t>
                  </w:r>
                </w:p>
              </w:tc>
              <w:tc>
                <w:tcPr>
                  <w:tcW w:w="631" w:type="pct"/>
                  <w:gridSpan w:val="2"/>
                  <w:tcBorders>
                    <w:top w:val="nil"/>
                    <w:left w:val="nil"/>
                    <w:bottom w:val="nil"/>
                    <w:right w:val="nil"/>
                  </w:tcBorders>
                  <w:shd w:val="clear" w:color="auto" w:fill="auto"/>
                  <w:noWrap/>
                  <w:vAlign w:val="center"/>
                  <w:hideMark/>
                </w:tcPr>
                <w:p w14:paraId="3ACD175E"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12.2</w:t>
                  </w:r>
                  <w:r w:rsidRPr="00881D67">
                    <w:rPr>
                      <w:rFonts w:ascii="Times New Roman" w:eastAsia="Times New Roman" w:hAnsi="Times New Roman" w:cs="Times New Roman"/>
                      <w:sz w:val="22"/>
                      <w:szCs w:val="22"/>
                      <w:vertAlign w:val="superscript"/>
                      <w:lang w:eastAsia="en-ZA"/>
                    </w:rPr>
                    <w:t xml:space="preserve"> b</w:t>
                  </w:r>
                  <w:r w:rsidRPr="00881D67">
                    <w:rPr>
                      <w:rFonts w:ascii="Times New Roman" w:eastAsia="Times New Roman" w:hAnsi="Times New Roman" w:cs="Times New Roman"/>
                      <w:sz w:val="22"/>
                      <w:szCs w:val="22"/>
                      <w:lang w:eastAsia="en-ZA"/>
                    </w:rPr>
                    <w:t xml:space="preserve"> ± 1.63</w:t>
                  </w:r>
                </w:p>
              </w:tc>
              <w:tc>
                <w:tcPr>
                  <w:tcW w:w="631" w:type="pct"/>
                  <w:tcBorders>
                    <w:top w:val="nil"/>
                    <w:left w:val="nil"/>
                    <w:bottom w:val="nil"/>
                    <w:right w:val="nil"/>
                  </w:tcBorders>
                  <w:shd w:val="clear" w:color="auto" w:fill="auto"/>
                  <w:noWrap/>
                  <w:vAlign w:val="center"/>
                  <w:hideMark/>
                </w:tcPr>
                <w:p w14:paraId="690634A8"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26.9</w:t>
                  </w:r>
                  <w:r w:rsidRPr="00881D67">
                    <w:rPr>
                      <w:rFonts w:ascii="Times New Roman" w:eastAsia="Times New Roman" w:hAnsi="Times New Roman" w:cs="Times New Roman"/>
                      <w:sz w:val="22"/>
                      <w:szCs w:val="22"/>
                      <w:vertAlign w:val="superscript"/>
                      <w:lang w:eastAsia="en-ZA"/>
                    </w:rPr>
                    <w:t>bcd</w:t>
                  </w:r>
                  <w:r w:rsidRPr="00881D67">
                    <w:rPr>
                      <w:rFonts w:ascii="Times New Roman" w:eastAsia="Times New Roman" w:hAnsi="Times New Roman" w:cs="Times New Roman"/>
                      <w:sz w:val="22"/>
                      <w:szCs w:val="22"/>
                      <w:lang w:eastAsia="en-ZA"/>
                    </w:rPr>
                    <w:t xml:space="preserve"> ± 3.29</w:t>
                  </w:r>
                </w:p>
              </w:tc>
              <w:tc>
                <w:tcPr>
                  <w:tcW w:w="631" w:type="pct"/>
                  <w:tcBorders>
                    <w:top w:val="nil"/>
                    <w:left w:val="nil"/>
                    <w:bottom w:val="nil"/>
                    <w:right w:val="nil"/>
                  </w:tcBorders>
                  <w:shd w:val="clear" w:color="auto" w:fill="auto"/>
                  <w:noWrap/>
                  <w:vAlign w:val="center"/>
                  <w:hideMark/>
                </w:tcPr>
                <w:p w14:paraId="2E1F041F"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67.5</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0.98</w:t>
                  </w:r>
                </w:p>
              </w:tc>
              <w:tc>
                <w:tcPr>
                  <w:tcW w:w="633" w:type="pct"/>
                  <w:tcBorders>
                    <w:top w:val="nil"/>
                    <w:left w:val="nil"/>
                    <w:bottom w:val="nil"/>
                    <w:right w:val="nil"/>
                  </w:tcBorders>
                  <w:shd w:val="clear" w:color="auto" w:fill="auto"/>
                  <w:noWrap/>
                  <w:vAlign w:val="center"/>
                  <w:hideMark/>
                </w:tcPr>
                <w:p w14:paraId="76EDF319"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117.8 ± 5.11</w:t>
                  </w:r>
                </w:p>
              </w:tc>
            </w:tr>
            <w:tr w:rsidR="00EF65F1" w:rsidRPr="00881D67" w14:paraId="2E62D238"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45889E70"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Sclerocarya birrea</w:t>
                  </w:r>
                </w:p>
              </w:tc>
              <w:tc>
                <w:tcPr>
                  <w:tcW w:w="631" w:type="pct"/>
                  <w:tcBorders>
                    <w:top w:val="nil"/>
                    <w:left w:val="nil"/>
                    <w:bottom w:val="nil"/>
                    <w:right w:val="nil"/>
                  </w:tcBorders>
                  <w:shd w:val="clear" w:color="auto" w:fill="auto"/>
                  <w:noWrap/>
                  <w:vAlign w:val="center"/>
                  <w:hideMark/>
                </w:tcPr>
                <w:p w14:paraId="25330ADA"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3.9 ± 1.11</w:t>
                  </w:r>
                </w:p>
              </w:tc>
              <w:tc>
                <w:tcPr>
                  <w:tcW w:w="631" w:type="pct"/>
                  <w:tcBorders>
                    <w:top w:val="nil"/>
                    <w:left w:val="nil"/>
                    <w:bottom w:val="nil"/>
                    <w:right w:val="nil"/>
                  </w:tcBorders>
                  <w:shd w:val="clear" w:color="auto" w:fill="auto"/>
                  <w:noWrap/>
                  <w:vAlign w:val="center"/>
                  <w:hideMark/>
                </w:tcPr>
                <w:p w14:paraId="323410B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5.7</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0.74</w:t>
                  </w:r>
                </w:p>
              </w:tc>
              <w:tc>
                <w:tcPr>
                  <w:tcW w:w="631" w:type="pct"/>
                  <w:gridSpan w:val="2"/>
                  <w:tcBorders>
                    <w:top w:val="nil"/>
                    <w:left w:val="nil"/>
                    <w:bottom w:val="nil"/>
                    <w:right w:val="nil"/>
                  </w:tcBorders>
                  <w:shd w:val="clear" w:color="auto" w:fill="auto"/>
                  <w:noWrap/>
                  <w:vAlign w:val="center"/>
                  <w:hideMark/>
                </w:tcPr>
                <w:p w14:paraId="1271BC7C"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13.4</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2.09</w:t>
                  </w:r>
                </w:p>
              </w:tc>
              <w:tc>
                <w:tcPr>
                  <w:tcW w:w="631" w:type="pct"/>
                  <w:tcBorders>
                    <w:top w:val="nil"/>
                    <w:left w:val="nil"/>
                    <w:bottom w:val="nil"/>
                    <w:right w:val="nil"/>
                  </w:tcBorders>
                  <w:shd w:val="clear" w:color="auto" w:fill="auto"/>
                  <w:noWrap/>
                  <w:vAlign w:val="center"/>
                  <w:hideMark/>
                </w:tcPr>
                <w:p w14:paraId="30589486"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27.0</w:t>
                  </w:r>
                  <w:r w:rsidRPr="00881D67">
                    <w:rPr>
                      <w:rFonts w:ascii="Times New Roman" w:eastAsia="Times New Roman" w:hAnsi="Times New Roman" w:cs="Times New Roman"/>
                      <w:sz w:val="22"/>
                      <w:szCs w:val="22"/>
                      <w:vertAlign w:val="superscript"/>
                      <w:lang w:eastAsia="en-ZA"/>
                    </w:rPr>
                    <w:t>bcd</w:t>
                  </w:r>
                  <w:r w:rsidRPr="00881D67">
                    <w:rPr>
                      <w:rFonts w:ascii="Times New Roman" w:eastAsia="Times New Roman" w:hAnsi="Times New Roman" w:cs="Times New Roman"/>
                      <w:sz w:val="22"/>
                      <w:szCs w:val="22"/>
                      <w:lang w:eastAsia="en-ZA"/>
                    </w:rPr>
                    <w:t xml:space="preserve"> ± 3.83</w:t>
                  </w:r>
                </w:p>
              </w:tc>
              <w:tc>
                <w:tcPr>
                  <w:tcW w:w="631" w:type="pct"/>
                  <w:tcBorders>
                    <w:top w:val="nil"/>
                    <w:left w:val="nil"/>
                    <w:bottom w:val="nil"/>
                    <w:right w:val="nil"/>
                  </w:tcBorders>
                  <w:shd w:val="clear" w:color="auto" w:fill="auto"/>
                  <w:noWrap/>
                  <w:vAlign w:val="center"/>
                  <w:hideMark/>
                </w:tcPr>
                <w:p w14:paraId="5146AA5A"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67.6</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2.56</w:t>
                  </w:r>
                </w:p>
              </w:tc>
              <w:tc>
                <w:tcPr>
                  <w:tcW w:w="633" w:type="pct"/>
                  <w:tcBorders>
                    <w:top w:val="nil"/>
                    <w:left w:val="nil"/>
                    <w:bottom w:val="nil"/>
                    <w:right w:val="nil"/>
                  </w:tcBorders>
                  <w:shd w:val="clear" w:color="auto" w:fill="auto"/>
                  <w:noWrap/>
                  <w:vAlign w:val="center"/>
                  <w:hideMark/>
                </w:tcPr>
                <w:p w14:paraId="1F021816"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116.7 ± 7.17</w:t>
                  </w:r>
                </w:p>
              </w:tc>
            </w:tr>
            <w:tr w:rsidR="00EF65F1" w:rsidRPr="00881D67" w14:paraId="2F379C89"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20277A19"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Erythrina lysistemon</w:t>
                  </w:r>
                </w:p>
              </w:tc>
              <w:tc>
                <w:tcPr>
                  <w:tcW w:w="631" w:type="pct"/>
                  <w:tcBorders>
                    <w:top w:val="nil"/>
                    <w:left w:val="nil"/>
                    <w:bottom w:val="nil"/>
                    <w:right w:val="nil"/>
                  </w:tcBorders>
                  <w:shd w:val="clear" w:color="auto" w:fill="auto"/>
                  <w:noWrap/>
                  <w:vAlign w:val="center"/>
                  <w:hideMark/>
                </w:tcPr>
                <w:p w14:paraId="2583DD1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3.3 ± 1.25</w:t>
                  </w:r>
                </w:p>
              </w:tc>
              <w:tc>
                <w:tcPr>
                  <w:tcW w:w="631" w:type="pct"/>
                  <w:tcBorders>
                    <w:top w:val="nil"/>
                    <w:left w:val="nil"/>
                    <w:bottom w:val="nil"/>
                    <w:right w:val="nil"/>
                  </w:tcBorders>
                  <w:shd w:val="clear" w:color="auto" w:fill="auto"/>
                  <w:noWrap/>
                  <w:vAlign w:val="center"/>
                  <w:hideMark/>
                </w:tcPr>
                <w:p w14:paraId="4EC4695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5.8</w:t>
                  </w:r>
                  <w:r w:rsidRPr="00881D67">
                    <w:rPr>
                      <w:rFonts w:ascii="Times New Roman" w:eastAsia="Times New Roman" w:hAnsi="Times New Roman" w:cs="Times New Roman"/>
                      <w:sz w:val="22"/>
                      <w:szCs w:val="22"/>
                      <w:vertAlign w:val="superscript"/>
                      <w:lang w:eastAsia="en-ZA"/>
                    </w:rPr>
                    <w:t>b</w:t>
                  </w:r>
                  <w:r w:rsidRPr="00881D67">
                    <w:rPr>
                      <w:rFonts w:ascii="Times New Roman" w:eastAsia="Times New Roman" w:hAnsi="Times New Roman" w:cs="Times New Roman"/>
                      <w:sz w:val="22"/>
                      <w:szCs w:val="22"/>
                      <w:lang w:eastAsia="en-ZA"/>
                    </w:rPr>
                    <w:t xml:space="preserve"> ± 1.10</w:t>
                  </w:r>
                </w:p>
              </w:tc>
              <w:tc>
                <w:tcPr>
                  <w:tcW w:w="631" w:type="pct"/>
                  <w:gridSpan w:val="2"/>
                  <w:tcBorders>
                    <w:top w:val="nil"/>
                    <w:left w:val="nil"/>
                    <w:bottom w:val="nil"/>
                    <w:right w:val="nil"/>
                  </w:tcBorders>
                  <w:shd w:val="clear" w:color="auto" w:fill="auto"/>
                  <w:noWrap/>
                  <w:vAlign w:val="center"/>
                  <w:hideMark/>
                </w:tcPr>
                <w:p w14:paraId="6009B66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13.7</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2.05</w:t>
                  </w:r>
                </w:p>
              </w:tc>
              <w:tc>
                <w:tcPr>
                  <w:tcW w:w="631" w:type="pct"/>
                  <w:tcBorders>
                    <w:top w:val="nil"/>
                    <w:left w:val="nil"/>
                    <w:bottom w:val="nil"/>
                    <w:right w:val="nil"/>
                  </w:tcBorders>
                  <w:shd w:val="clear" w:color="auto" w:fill="auto"/>
                  <w:noWrap/>
                  <w:vAlign w:val="center"/>
                  <w:hideMark/>
                </w:tcPr>
                <w:p w14:paraId="6FA73CB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27.9</w:t>
                  </w:r>
                  <w:r w:rsidRPr="00881D67">
                    <w:rPr>
                      <w:rFonts w:ascii="Times New Roman" w:eastAsia="Times New Roman" w:hAnsi="Times New Roman" w:cs="Times New Roman"/>
                      <w:sz w:val="22"/>
                      <w:szCs w:val="22"/>
                      <w:vertAlign w:val="superscript"/>
                      <w:lang w:eastAsia="en-ZA"/>
                    </w:rPr>
                    <w:t>bcd</w:t>
                  </w:r>
                  <w:r w:rsidRPr="00881D67">
                    <w:rPr>
                      <w:rFonts w:ascii="Times New Roman" w:eastAsia="Times New Roman" w:hAnsi="Times New Roman" w:cs="Times New Roman"/>
                      <w:sz w:val="22"/>
                      <w:szCs w:val="22"/>
                      <w:lang w:eastAsia="en-ZA"/>
                    </w:rPr>
                    <w:t xml:space="preserve"> ± 2.74</w:t>
                  </w:r>
                </w:p>
              </w:tc>
              <w:tc>
                <w:tcPr>
                  <w:tcW w:w="631" w:type="pct"/>
                  <w:tcBorders>
                    <w:top w:val="nil"/>
                    <w:left w:val="nil"/>
                    <w:bottom w:val="nil"/>
                    <w:right w:val="nil"/>
                  </w:tcBorders>
                  <w:shd w:val="clear" w:color="auto" w:fill="auto"/>
                  <w:noWrap/>
                  <w:vAlign w:val="center"/>
                  <w:hideMark/>
                </w:tcPr>
                <w:p w14:paraId="7DD06A1A"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68.8</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0.46</w:t>
                  </w:r>
                </w:p>
              </w:tc>
              <w:tc>
                <w:tcPr>
                  <w:tcW w:w="633" w:type="pct"/>
                  <w:tcBorders>
                    <w:top w:val="nil"/>
                    <w:left w:val="nil"/>
                    <w:bottom w:val="nil"/>
                    <w:right w:val="nil"/>
                  </w:tcBorders>
                  <w:shd w:val="clear" w:color="auto" w:fill="auto"/>
                  <w:noWrap/>
                  <w:vAlign w:val="center"/>
                  <w:hideMark/>
                </w:tcPr>
                <w:p w14:paraId="3F8367F3"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120.2 ± 2.89</w:t>
                  </w:r>
                </w:p>
              </w:tc>
            </w:tr>
            <w:tr w:rsidR="00EF65F1" w:rsidRPr="00881D67" w14:paraId="61D04C15"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037D03A6"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Searsia chirindensis</w:t>
                  </w:r>
                </w:p>
              </w:tc>
              <w:tc>
                <w:tcPr>
                  <w:tcW w:w="631" w:type="pct"/>
                  <w:tcBorders>
                    <w:top w:val="nil"/>
                    <w:left w:val="nil"/>
                    <w:bottom w:val="nil"/>
                    <w:right w:val="nil"/>
                  </w:tcBorders>
                  <w:shd w:val="clear" w:color="auto" w:fill="auto"/>
                  <w:noWrap/>
                  <w:vAlign w:val="center"/>
                  <w:hideMark/>
                </w:tcPr>
                <w:p w14:paraId="6E019C8B"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4.0 ± 0.18</w:t>
                  </w:r>
                </w:p>
              </w:tc>
              <w:tc>
                <w:tcPr>
                  <w:tcW w:w="631" w:type="pct"/>
                  <w:tcBorders>
                    <w:top w:val="nil"/>
                    <w:left w:val="nil"/>
                    <w:bottom w:val="nil"/>
                    <w:right w:val="nil"/>
                  </w:tcBorders>
                  <w:shd w:val="clear" w:color="auto" w:fill="auto"/>
                  <w:noWrap/>
                  <w:vAlign w:val="center"/>
                  <w:hideMark/>
                </w:tcPr>
                <w:p w14:paraId="4EDF64E6"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7.1</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1.12</w:t>
                  </w:r>
                </w:p>
              </w:tc>
              <w:tc>
                <w:tcPr>
                  <w:tcW w:w="631" w:type="pct"/>
                  <w:gridSpan w:val="2"/>
                  <w:tcBorders>
                    <w:top w:val="nil"/>
                    <w:left w:val="nil"/>
                    <w:bottom w:val="nil"/>
                    <w:right w:val="nil"/>
                  </w:tcBorders>
                  <w:shd w:val="clear" w:color="auto" w:fill="auto"/>
                  <w:noWrap/>
                  <w:vAlign w:val="center"/>
                  <w:hideMark/>
                </w:tcPr>
                <w:p w14:paraId="6B2EB4AD"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15.5</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3.15</w:t>
                  </w:r>
                </w:p>
              </w:tc>
              <w:tc>
                <w:tcPr>
                  <w:tcW w:w="631" w:type="pct"/>
                  <w:tcBorders>
                    <w:top w:val="nil"/>
                    <w:left w:val="nil"/>
                    <w:bottom w:val="nil"/>
                    <w:right w:val="nil"/>
                  </w:tcBorders>
                  <w:shd w:val="clear" w:color="auto" w:fill="auto"/>
                  <w:noWrap/>
                  <w:vAlign w:val="center"/>
                  <w:hideMark/>
                </w:tcPr>
                <w:p w14:paraId="79D64AFA"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29.6</w:t>
                  </w:r>
                  <w:r w:rsidRPr="00881D67">
                    <w:rPr>
                      <w:rFonts w:ascii="Times New Roman" w:eastAsia="Times New Roman" w:hAnsi="Times New Roman" w:cs="Times New Roman"/>
                      <w:sz w:val="22"/>
                      <w:szCs w:val="22"/>
                      <w:vertAlign w:val="superscript"/>
                      <w:lang w:eastAsia="en-ZA"/>
                    </w:rPr>
                    <w:t>abc</w:t>
                  </w:r>
                  <w:r w:rsidRPr="00881D67">
                    <w:rPr>
                      <w:rFonts w:ascii="Times New Roman" w:eastAsia="Times New Roman" w:hAnsi="Times New Roman" w:cs="Times New Roman"/>
                      <w:sz w:val="22"/>
                      <w:szCs w:val="22"/>
                      <w:lang w:eastAsia="en-ZA"/>
                    </w:rPr>
                    <w:t xml:space="preserve"> ± 4.23</w:t>
                  </w:r>
                </w:p>
              </w:tc>
              <w:tc>
                <w:tcPr>
                  <w:tcW w:w="631" w:type="pct"/>
                  <w:tcBorders>
                    <w:top w:val="nil"/>
                    <w:left w:val="nil"/>
                    <w:bottom w:val="nil"/>
                    <w:right w:val="nil"/>
                  </w:tcBorders>
                  <w:shd w:val="clear" w:color="auto" w:fill="auto"/>
                  <w:noWrap/>
                  <w:vAlign w:val="center"/>
                  <w:hideMark/>
                </w:tcPr>
                <w:p w14:paraId="2D075C05"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71.2</w:t>
                  </w:r>
                  <w:r w:rsidRPr="00881D67">
                    <w:rPr>
                      <w:rFonts w:ascii="Times New Roman" w:eastAsia="Times New Roman" w:hAnsi="Times New Roman" w:cs="Times New Roman"/>
                      <w:sz w:val="22"/>
                      <w:szCs w:val="22"/>
                      <w:vertAlign w:val="superscript"/>
                      <w:lang w:eastAsia="en-ZA"/>
                    </w:rPr>
                    <w:t>ab</w:t>
                  </w:r>
                  <w:r w:rsidRPr="00881D67">
                    <w:rPr>
                      <w:rFonts w:ascii="Times New Roman" w:eastAsia="Times New Roman" w:hAnsi="Times New Roman" w:cs="Times New Roman"/>
                      <w:sz w:val="22"/>
                      <w:szCs w:val="22"/>
                      <w:lang w:eastAsia="en-ZA"/>
                    </w:rPr>
                    <w:t xml:space="preserve"> ± 3.41</w:t>
                  </w:r>
                </w:p>
              </w:tc>
              <w:tc>
                <w:tcPr>
                  <w:tcW w:w="633" w:type="pct"/>
                  <w:tcBorders>
                    <w:top w:val="nil"/>
                    <w:left w:val="nil"/>
                    <w:bottom w:val="nil"/>
                    <w:right w:val="nil"/>
                  </w:tcBorders>
                  <w:shd w:val="clear" w:color="auto" w:fill="auto"/>
                  <w:noWrap/>
                  <w:vAlign w:val="center"/>
                  <w:hideMark/>
                </w:tcPr>
                <w:p w14:paraId="0E6207C2"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123.7 ± 1.64</w:t>
                  </w:r>
                </w:p>
              </w:tc>
            </w:tr>
            <w:tr w:rsidR="00EF65F1" w:rsidRPr="00881D67" w14:paraId="37993505" w14:textId="77777777">
              <w:trPr>
                <w:gridAfter w:val="1"/>
                <w:wAfter w:w="38" w:type="pct"/>
                <w:cantSplit/>
                <w:trHeight w:val="386"/>
              </w:trPr>
              <w:tc>
                <w:tcPr>
                  <w:tcW w:w="1174" w:type="pct"/>
                  <w:tcBorders>
                    <w:top w:val="nil"/>
                    <w:left w:val="nil"/>
                    <w:bottom w:val="nil"/>
                    <w:right w:val="nil"/>
                  </w:tcBorders>
                  <w:shd w:val="clear" w:color="auto" w:fill="auto"/>
                  <w:noWrap/>
                  <w:vAlign w:val="bottom"/>
                  <w:hideMark/>
                </w:tcPr>
                <w:p w14:paraId="0F039AB9" w14:textId="77777777" w:rsidR="00EF65F1" w:rsidRPr="00881D67"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sidRPr="00881D67">
                    <w:rPr>
                      <w:rFonts w:ascii="Times New Roman" w:eastAsia="Times New Roman" w:hAnsi="Times New Roman" w:cs="Times New Roman"/>
                      <w:i/>
                      <w:iCs/>
                      <w:color w:val="000000"/>
                      <w:sz w:val="22"/>
                      <w:szCs w:val="22"/>
                      <w:lang w:eastAsia="en-ZA"/>
                    </w:rPr>
                    <w:t>Halleria lucida</w:t>
                  </w:r>
                </w:p>
              </w:tc>
              <w:tc>
                <w:tcPr>
                  <w:tcW w:w="631" w:type="pct"/>
                  <w:tcBorders>
                    <w:top w:val="nil"/>
                    <w:left w:val="nil"/>
                    <w:bottom w:val="nil"/>
                    <w:right w:val="nil"/>
                  </w:tcBorders>
                  <w:shd w:val="clear" w:color="auto" w:fill="auto"/>
                  <w:noWrap/>
                  <w:vAlign w:val="center"/>
                  <w:hideMark/>
                </w:tcPr>
                <w:p w14:paraId="18535D90"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5.1 ± 1.69</w:t>
                  </w:r>
                </w:p>
              </w:tc>
              <w:tc>
                <w:tcPr>
                  <w:tcW w:w="631" w:type="pct"/>
                  <w:tcBorders>
                    <w:top w:val="nil"/>
                    <w:left w:val="nil"/>
                    <w:bottom w:val="nil"/>
                    <w:right w:val="nil"/>
                  </w:tcBorders>
                  <w:shd w:val="clear" w:color="auto" w:fill="auto"/>
                  <w:noWrap/>
                  <w:vAlign w:val="center"/>
                  <w:hideMark/>
                </w:tcPr>
                <w:p w14:paraId="5139132F"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8.6</w:t>
                  </w:r>
                  <w:r w:rsidRPr="00881D67">
                    <w:rPr>
                      <w:rFonts w:ascii="Times New Roman" w:eastAsia="Times New Roman" w:hAnsi="Times New Roman" w:cs="Times New Roman"/>
                      <w:sz w:val="22"/>
                      <w:szCs w:val="22"/>
                      <w:vertAlign w:val="superscript"/>
                      <w:lang w:eastAsia="en-ZA"/>
                    </w:rPr>
                    <w:t>a</w:t>
                  </w:r>
                  <w:r w:rsidRPr="00881D67">
                    <w:rPr>
                      <w:rFonts w:ascii="Times New Roman" w:eastAsia="Times New Roman" w:hAnsi="Times New Roman" w:cs="Times New Roman"/>
                      <w:sz w:val="22"/>
                      <w:szCs w:val="22"/>
                      <w:lang w:eastAsia="en-ZA"/>
                    </w:rPr>
                    <w:t xml:space="preserve"> ± 1.26</w:t>
                  </w:r>
                </w:p>
              </w:tc>
              <w:tc>
                <w:tcPr>
                  <w:tcW w:w="631" w:type="pct"/>
                  <w:gridSpan w:val="2"/>
                  <w:tcBorders>
                    <w:top w:val="nil"/>
                    <w:left w:val="nil"/>
                    <w:bottom w:val="nil"/>
                    <w:right w:val="nil"/>
                  </w:tcBorders>
                  <w:shd w:val="clear" w:color="auto" w:fill="auto"/>
                  <w:noWrap/>
                  <w:vAlign w:val="center"/>
                  <w:hideMark/>
                </w:tcPr>
                <w:p w14:paraId="15A1E2EB"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17.2</w:t>
                  </w:r>
                  <w:r w:rsidRPr="00881D67">
                    <w:rPr>
                      <w:rFonts w:ascii="Times New Roman" w:eastAsia="Times New Roman" w:hAnsi="Times New Roman" w:cs="Times New Roman"/>
                      <w:sz w:val="22"/>
                      <w:szCs w:val="22"/>
                      <w:vertAlign w:val="superscript"/>
                      <w:lang w:eastAsia="en-ZA"/>
                    </w:rPr>
                    <w:t>a</w:t>
                  </w:r>
                  <w:r w:rsidRPr="00881D67">
                    <w:rPr>
                      <w:rFonts w:ascii="Times New Roman" w:eastAsia="Times New Roman" w:hAnsi="Times New Roman" w:cs="Times New Roman"/>
                      <w:sz w:val="22"/>
                      <w:szCs w:val="22"/>
                      <w:lang w:eastAsia="en-ZA"/>
                    </w:rPr>
                    <w:t xml:space="preserve"> ± 2.01</w:t>
                  </w:r>
                </w:p>
              </w:tc>
              <w:tc>
                <w:tcPr>
                  <w:tcW w:w="631" w:type="pct"/>
                  <w:tcBorders>
                    <w:top w:val="nil"/>
                    <w:left w:val="nil"/>
                    <w:bottom w:val="nil"/>
                    <w:right w:val="nil"/>
                  </w:tcBorders>
                  <w:shd w:val="clear" w:color="auto" w:fill="auto"/>
                  <w:noWrap/>
                  <w:vAlign w:val="center"/>
                  <w:hideMark/>
                </w:tcPr>
                <w:p w14:paraId="7E8B19F9"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31.8</w:t>
                  </w:r>
                  <w:r w:rsidRPr="00881D67">
                    <w:rPr>
                      <w:rFonts w:ascii="Times New Roman" w:eastAsia="Times New Roman" w:hAnsi="Times New Roman" w:cs="Times New Roman"/>
                      <w:sz w:val="22"/>
                      <w:szCs w:val="22"/>
                      <w:vertAlign w:val="superscript"/>
                      <w:lang w:eastAsia="en-ZA"/>
                    </w:rPr>
                    <w:t>a</w:t>
                  </w:r>
                  <w:r w:rsidRPr="00881D67">
                    <w:rPr>
                      <w:rFonts w:ascii="Times New Roman" w:eastAsia="Times New Roman" w:hAnsi="Times New Roman" w:cs="Times New Roman"/>
                      <w:sz w:val="22"/>
                      <w:szCs w:val="22"/>
                      <w:lang w:eastAsia="en-ZA"/>
                    </w:rPr>
                    <w:t xml:space="preserve"> ± 3.16</w:t>
                  </w:r>
                </w:p>
              </w:tc>
              <w:tc>
                <w:tcPr>
                  <w:tcW w:w="631" w:type="pct"/>
                  <w:tcBorders>
                    <w:top w:val="nil"/>
                    <w:left w:val="nil"/>
                    <w:bottom w:val="nil"/>
                    <w:right w:val="nil"/>
                  </w:tcBorders>
                  <w:shd w:val="clear" w:color="auto" w:fill="auto"/>
                  <w:noWrap/>
                  <w:vAlign w:val="center"/>
                  <w:hideMark/>
                </w:tcPr>
                <w:p w14:paraId="39706609"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72.6</w:t>
                  </w:r>
                  <w:r w:rsidRPr="00881D67">
                    <w:rPr>
                      <w:rFonts w:ascii="Times New Roman" w:eastAsia="Times New Roman" w:hAnsi="Times New Roman" w:cs="Times New Roman"/>
                      <w:sz w:val="22"/>
                      <w:szCs w:val="22"/>
                      <w:vertAlign w:val="superscript"/>
                      <w:lang w:eastAsia="en-ZA"/>
                    </w:rPr>
                    <w:t>a</w:t>
                  </w:r>
                  <w:r w:rsidRPr="00881D67">
                    <w:rPr>
                      <w:rFonts w:ascii="Times New Roman" w:eastAsia="Times New Roman" w:hAnsi="Times New Roman" w:cs="Times New Roman"/>
                      <w:sz w:val="22"/>
                      <w:szCs w:val="22"/>
                      <w:lang w:eastAsia="en-ZA"/>
                    </w:rPr>
                    <w:t xml:space="preserve"> ± 1.94</w:t>
                  </w:r>
                </w:p>
              </w:tc>
              <w:tc>
                <w:tcPr>
                  <w:tcW w:w="633" w:type="pct"/>
                  <w:tcBorders>
                    <w:top w:val="nil"/>
                    <w:left w:val="nil"/>
                    <w:bottom w:val="nil"/>
                    <w:right w:val="nil"/>
                  </w:tcBorders>
                  <w:shd w:val="clear" w:color="auto" w:fill="auto"/>
                  <w:noWrap/>
                  <w:vAlign w:val="center"/>
                  <w:hideMark/>
                </w:tcPr>
                <w:p w14:paraId="2807356C" w14:textId="77777777"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r w:rsidRPr="00881D67">
                    <w:rPr>
                      <w:rFonts w:ascii="Times New Roman" w:eastAsia="Times New Roman" w:hAnsi="Times New Roman" w:cs="Times New Roman"/>
                      <w:sz w:val="22"/>
                      <w:szCs w:val="22"/>
                      <w:lang w:eastAsia="en-ZA"/>
                    </w:rPr>
                    <w:t>123.4 ± 0.72</w:t>
                  </w:r>
                </w:p>
              </w:tc>
            </w:tr>
            <w:tr w:rsidR="00EF65F1" w:rsidRPr="00881D67" w14:paraId="5037423C" w14:textId="77777777">
              <w:trPr>
                <w:gridAfter w:val="1"/>
                <w:wAfter w:w="38" w:type="pct"/>
                <w:cantSplit/>
                <w:trHeight w:val="309"/>
              </w:trPr>
              <w:tc>
                <w:tcPr>
                  <w:tcW w:w="1174" w:type="pct"/>
                  <w:tcBorders>
                    <w:top w:val="nil"/>
                    <w:left w:val="nil"/>
                    <w:bottom w:val="nil"/>
                    <w:right w:val="nil"/>
                  </w:tcBorders>
                  <w:shd w:val="clear" w:color="auto" w:fill="auto"/>
                  <w:noWrap/>
                  <w:vAlign w:val="bottom"/>
                  <w:hideMark/>
                </w:tcPr>
                <w:p w14:paraId="0B93D0EB"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SEM</w:t>
                  </w:r>
                </w:p>
              </w:tc>
              <w:tc>
                <w:tcPr>
                  <w:tcW w:w="631" w:type="pct"/>
                  <w:tcBorders>
                    <w:top w:val="nil"/>
                    <w:left w:val="nil"/>
                    <w:bottom w:val="nil"/>
                    <w:right w:val="nil"/>
                  </w:tcBorders>
                  <w:shd w:val="clear" w:color="auto" w:fill="auto"/>
                  <w:noWrap/>
                  <w:vAlign w:val="bottom"/>
                  <w:hideMark/>
                </w:tcPr>
                <w:p w14:paraId="40C28184"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0.19</w:t>
                  </w:r>
                </w:p>
              </w:tc>
              <w:tc>
                <w:tcPr>
                  <w:tcW w:w="631" w:type="pct"/>
                  <w:tcBorders>
                    <w:top w:val="nil"/>
                    <w:left w:val="nil"/>
                    <w:bottom w:val="nil"/>
                    <w:right w:val="nil"/>
                  </w:tcBorders>
                  <w:shd w:val="clear" w:color="auto" w:fill="auto"/>
                  <w:noWrap/>
                  <w:vAlign w:val="bottom"/>
                  <w:hideMark/>
                </w:tcPr>
                <w:p w14:paraId="00EF7CFF"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0.25</w:t>
                  </w:r>
                </w:p>
              </w:tc>
              <w:tc>
                <w:tcPr>
                  <w:tcW w:w="631" w:type="pct"/>
                  <w:gridSpan w:val="2"/>
                  <w:tcBorders>
                    <w:top w:val="nil"/>
                    <w:left w:val="nil"/>
                    <w:bottom w:val="nil"/>
                    <w:right w:val="nil"/>
                  </w:tcBorders>
                  <w:shd w:val="clear" w:color="auto" w:fill="auto"/>
                  <w:noWrap/>
                  <w:vAlign w:val="bottom"/>
                  <w:hideMark/>
                </w:tcPr>
                <w:p w14:paraId="7E9B0685"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0.38</w:t>
                  </w:r>
                </w:p>
              </w:tc>
              <w:tc>
                <w:tcPr>
                  <w:tcW w:w="631" w:type="pct"/>
                  <w:tcBorders>
                    <w:top w:val="nil"/>
                    <w:left w:val="nil"/>
                    <w:bottom w:val="nil"/>
                    <w:right w:val="nil"/>
                  </w:tcBorders>
                  <w:shd w:val="clear" w:color="auto" w:fill="auto"/>
                  <w:noWrap/>
                  <w:vAlign w:val="bottom"/>
                  <w:hideMark/>
                </w:tcPr>
                <w:p w14:paraId="1C560BE3"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0.58</w:t>
                  </w:r>
                </w:p>
              </w:tc>
              <w:tc>
                <w:tcPr>
                  <w:tcW w:w="631" w:type="pct"/>
                  <w:tcBorders>
                    <w:top w:val="nil"/>
                    <w:left w:val="nil"/>
                    <w:bottom w:val="nil"/>
                    <w:right w:val="nil"/>
                  </w:tcBorders>
                  <w:shd w:val="clear" w:color="auto" w:fill="auto"/>
                  <w:noWrap/>
                  <w:vAlign w:val="bottom"/>
                  <w:hideMark/>
                </w:tcPr>
                <w:p w14:paraId="2C12D450"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0.54</w:t>
                  </w:r>
                </w:p>
              </w:tc>
              <w:tc>
                <w:tcPr>
                  <w:tcW w:w="633" w:type="pct"/>
                  <w:tcBorders>
                    <w:top w:val="nil"/>
                    <w:left w:val="nil"/>
                    <w:bottom w:val="nil"/>
                    <w:right w:val="nil"/>
                  </w:tcBorders>
                  <w:shd w:val="clear" w:color="auto" w:fill="auto"/>
                  <w:noWrap/>
                  <w:vAlign w:val="center"/>
                  <w:hideMark/>
                </w:tcPr>
                <w:p w14:paraId="6967DA86"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0.78</w:t>
                  </w:r>
                </w:p>
              </w:tc>
            </w:tr>
            <w:tr w:rsidR="00EF65F1" w:rsidRPr="00881D67" w14:paraId="6915A3FF" w14:textId="77777777">
              <w:trPr>
                <w:gridAfter w:val="1"/>
                <w:wAfter w:w="38" w:type="pct"/>
                <w:cantSplit/>
                <w:trHeight w:val="309"/>
              </w:trPr>
              <w:tc>
                <w:tcPr>
                  <w:tcW w:w="1174" w:type="pct"/>
                  <w:tcBorders>
                    <w:top w:val="nil"/>
                    <w:left w:val="nil"/>
                    <w:bottom w:val="single" w:sz="4" w:space="0" w:color="auto"/>
                    <w:right w:val="nil"/>
                  </w:tcBorders>
                  <w:shd w:val="clear" w:color="auto" w:fill="auto"/>
                  <w:noWrap/>
                  <w:vAlign w:val="bottom"/>
                  <w:hideMark/>
                </w:tcPr>
                <w:p w14:paraId="72F4E5CA"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P-value</w:t>
                  </w:r>
                </w:p>
              </w:tc>
              <w:tc>
                <w:tcPr>
                  <w:tcW w:w="631" w:type="pct"/>
                  <w:tcBorders>
                    <w:top w:val="nil"/>
                    <w:left w:val="nil"/>
                    <w:bottom w:val="single" w:sz="4" w:space="0" w:color="auto"/>
                    <w:right w:val="nil"/>
                  </w:tcBorders>
                  <w:shd w:val="clear" w:color="auto" w:fill="auto"/>
                  <w:noWrap/>
                  <w:vAlign w:val="bottom"/>
                  <w:hideMark/>
                </w:tcPr>
                <w:p w14:paraId="38206919"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0.29</w:t>
                  </w:r>
                </w:p>
              </w:tc>
              <w:tc>
                <w:tcPr>
                  <w:tcW w:w="631" w:type="pct"/>
                  <w:tcBorders>
                    <w:top w:val="nil"/>
                    <w:left w:val="nil"/>
                    <w:bottom w:val="single" w:sz="4" w:space="0" w:color="auto"/>
                    <w:right w:val="nil"/>
                  </w:tcBorders>
                  <w:shd w:val="clear" w:color="auto" w:fill="auto"/>
                  <w:noWrap/>
                  <w:vAlign w:val="bottom"/>
                  <w:hideMark/>
                </w:tcPr>
                <w:p w14:paraId="4E6CC184"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0.002</w:t>
                  </w:r>
                </w:p>
              </w:tc>
              <w:tc>
                <w:tcPr>
                  <w:tcW w:w="631" w:type="pct"/>
                  <w:gridSpan w:val="2"/>
                  <w:tcBorders>
                    <w:top w:val="nil"/>
                    <w:left w:val="nil"/>
                    <w:bottom w:val="single" w:sz="4" w:space="0" w:color="auto"/>
                    <w:right w:val="nil"/>
                  </w:tcBorders>
                  <w:shd w:val="clear" w:color="auto" w:fill="auto"/>
                  <w:noWrap/>
                  <w:vAlign w:val="bottom"/>
                  <w:hideMark/>
                </w:tcPr>
                <w:p w14:paraId="3D48D233"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0.003</w:t>
                  </w:r>
                </w:p>
              </w:tc>
              <w:tc>
                <w:tcPr>
                  <w:tcW w:w="631" w:type="pct"/>
                  <w:tcBorders>
                    <w:top w:val="nil"/>
                    <w:left w:val="nil"/>
                    <w:bottom w:val="single" w:sz="4" w:space="0" w:color="auto"/>
                    <w:right w:val="nil"/>
                  </w:tcBorders>
                  <w:shd w:val="clear" w:color="auto" w:fill="auto"/>
                  <w:noWrap/>
                  <w:vAlign w:val="bottom"/>
                  <w:hideMark/>
                </w:tcPr>
                <w:p w14:paraId="2DB4C1ED"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&lt; 0.001</w:t>
                  </w:r>
                </w:p>
              </w:tc>
              <w:tc>
                <w:tcPr>
                  <w:tcW w:w="631" w:type="pct"/>
                  <w:tcBorders>
                    <w:top w:val="nil"/>
                    <w:left w:val="nil"/>
                    <w:bottom w:val="single" w:sz="4" w:space="0" w:color="auto"/>
                    <w:right w:val="nil"/>
                  </w:tcBorders>
                  <w:shd w:val="clear" w:color="auto" w:fill="auto"/>
                  <w:noWrap/>
                  <w:vAlign w:val="bottom"/>
                  <w:hideMark/>
                </w:tcPr>
                <w:p w14:paraId="0A805AF2"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0.002</w:t>
                  </w:r>
                </w:p>
              </w:tc>
              <w:tc>
                <w:tcPr>
                  <w:tcW w:w="633" w:type="pct"/>
                  <w:tcBorders>
                    <w:top w:val="nil"/>
                    <w:left w:val="nil"/>
                    <w:bottom w:val="single" w:sz="4" w:space="0" w:color="auto"/>
                    <w:right w:val="nil"/>
                  </w:tcBorders>
                  <w:shd w:val="clear" w:color="auto" w:fill="auto"/>
                  <w:noWrap/>
                  <w:vAlign w:val="center"/>
                  <w:hideMark/>
                </w:tcPr>
                <w:p w14:paraId="792DB214" w14:textId="77777777" w:rsidR="00EF65F1" w:rsidRPr="00881D67"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sidRPr="00881D67">
                    <w:rPr>
                      <w:rFonts w:ascii="Times New Roman" w:eastAsia="Times New Roman" w:hAnsi="Times New Roman" w:cs="Times New Roman"/>
                      <w:bCs/>
                      <w:color w:val="000000"/>
                      <w:sz w:val="22"/>
                      <w:szCs w:val="22"/>
                      <w:lang w:eastAsia="en-ZA"/>
                    </w:rPr>
                    <w:t>0.06</w:t>
                  </w:r>
                </w:p>
              </w:tc>
            </w:tr>
          </w:tbl>
          <w:p w14:paraId="7E415BDA" w14:textId="3C078AF9" w:rsidR="00EF65F1" w:rsidRPr="00881D67" w:rsidRDefault="00484A18">
            <w:pPr>
              <w:spacing w:after="0" w:line="240" w:lineRule="auto"/>
              <w:contextualSpacing/>
              <w:jc w:val="both"/>
              <w:rPr>
                <w:rFonts w:ascii="Times New Roman" w:eastAsia="Times New Roman" w:hAnsi="Times New Roman" w:cs="Times New Roman"/>
                <w:sz w:val="22"/>
                <w:szCs w:val="22"/>
                <w:lang w:eastAsia="en-ZA"/>
              </w:rPr>
            </w:pPr>
            <w:bookmarkStart w:id="151" w:name="_Toc2349135"/>
            <w:r w:rsidRPr="00881D67">
              <w:rPr>
                <w:rFonts w:ascii="Times New Roman" w:hAnsi="Times New Roman" w:cs="Times New Roman"/>
                <w:sz w:val="22"/>
                <w:szCs w:val="22"/>
              </w:rPr>
              <w:t xml:space="preserve">Table </w:t>
            </w:r>
            <w:r w:rsidRPr="00881D67">
              <w:rPr>
                <w:rFonts w:ascii="Times New Roman" w:hAnsi="Times New Roman" w:cs="Times New Roman"/>
                <w:sz w:val="22"/>
                <w:szCs w:val="22"/>
              </w:rPr>
              <w:fldChar w:fldCharType="begin"/>
            </w:r>
            <w:r w:rsidRPr="00881D67">
              <w:rPr>
                <w:rFonts w:ascii="Times New Roman" w:hAnsi="Times New Roman" w:cs="Times New Roman"/>
                <w:sz w:val="22"/>
                <w:szCs w:val="22"/>
              </w:rPr>
              <w:instrText xml:space="preserve"> STYLEREF 1 \s </w:instrText>
            </w:r>
            <w:r w:rsidRPr="00881D67">
              <w:rPr>
                <w:rFonts w:ascii="Times New Roman" w:hAnsi="Times New Roman" w:cs="Times New Roman"/>
                <w:sz w:val="22"/>
                <w:szCs w:val="22"/>
              </w:rPr>
              <w:fldChar w:fldCharType="separate"/>
            </w:r>
            <w:r w:rsidR="00E604B8">
              <w:rPr>
                <w:rFonts w:ascii="Times New Roman" w:hAnsi="Times New Roman" w:cs="Times New Roman"/>
                <w:noProof/>
                <w:sz w:val="22"/>
                <w:szCs w:val="22"/>
              </w:rPr>
              <w:t>2</w:t>
            </w:r>
            <w:r w:rsidRPr="00881D67">
              <w:rPr>
                <w:rFonts w:ascii="Times New Roman" w:hAnsi="Times New Roman" w:cs="Times New Roman"/>
                <w:sz w:val="22"/>
                <w:szCs w:val="22"/>
              </w:rPr>
              <w:fldChar w:fldCharType="end"/>
            </w:r>
            <w:r w:rsidRPr="00881D67">
              <w:rPr>
                <w:rFonts w:ascii="Times New Roman" w:hAnsi="Times New Roman" w:cs="Times New Roman"/>
                <w:sz w:val="22"/>
                <w:szCs w:val="22"/>
              </w:rPr>
              <w:t>.</w:t>
            </w:r>
            <w:r w:rsidRPr="00881D67">
              <w:rPr>
                <w:rFonts w:ascii="Times New Roman" w:hAnsi="Times New Roman" w:cs="Times New Roman"/>
                <w:sz w:val="22"/>
                <w:szCs w:val="22"/>
              </w:rPr>
              <w:fldChar w:fldCharType="begin"/>
            </w:r>
            <w:r w:rsidRPr="00881D67">
              <w:rPr>
                <w:rFonts w:ascii="Times New Roman" w:hAnsi="Times New Roman" w:cs="Times New Roman"/>
                <w:sz w:val="22"/>
                <w:szCs w:val="22"/>
              </w:rPr>
              <w:instrText xml:space="preserve"> SEQ Table \* ARABIC \s 1 </w:instrText>
            </w:r>
            <w:r w:rsidRPr="00881D67">
              <w:rPr>
                <w:rFonts w:ascii="Times New Roman" w:hAnsi="Times New Roman" w:cs="Times New Roman"/>
                <w:sz w:val="22"/>
                <w:szCs w:val="22"/>
              </w:rPr>
              <w:fldChar w:fldCharType="separate"/>
            </w:r>
            <w:r w:rsidR="00E604B8">
              <w:rPr>
                <w:rFonts w:ascii="Times New Roman" w:hAnsi="Times New Roman" w:cs="Times New Roman"/>
                <w:noProof/>
                <w:sz w:val="22"/>
                <w:szCs w:val="22"/>
              </w:rPr>
              <w:t>2</w:t>
            </w:r>
            <w:r w:rsidRPr="00881D67">
              <w:rPr>
                <w:rFonts w:ascii="Times New Roman" w:hAnsi="Times New Roman" w:cs="Times New Roman"/>
                <w:sz w:val="22"/>
                <w:szCs w:val="22"/>
              </w:rPr>
              <w:fldChar w:fldCharType="end"/>
            </w:r>
            <w:r w:rsidRPr="00881D67">
              <w:rPr>
                <w:rFonts w:ascii="Times New Roman" w:hAnsi="Times New Roman" w:cs="Times New Roman"/>
                <w:sz w:val="22"/>
                <w:szCs w:val="22"/>
              </w:rPr>
              <w:t xml:space="preserve"> Cumulative gas production (mL gas/g DM) after 2, 4, 8, 12, 24 and 48 hours of </w:t>
            </w:r>
            <w:r w:rsidRPr="00881D67">
              <w:rPr>
                <w:rFonts w:ascii="Times New Roman" w:hAnsi="Times New Roman" w:cs="Times New Roman"/>
                <w:i/>
                <w:sz w:val="22"/>
                <w:szCs w:val="22"/>
              </w:rPr>
              <w:t>Eragrostis curvula</w:t>
            </w:r>
            <w:r w:rsidRPr="00881D67">
              <w:rPr>
                <w:rFonts w:ascii="Times New Roman" w:hAnsi="Times New Roman" w:cs="Times New Roman"/>
                <w:sz w:val="22"/>
                <w:szCs w:val="22"/>
              </w:rPr>
              <w:t xml:space="preserve"> hay treated with seven plant extracts at a 50 mg/kg DM dose level</w:t>
            </w:r>
            <w:bookmarkEnd w:id="151"/>
          </w:p>
        </w:tc>
      </w:tr>
      <w:tr w:rsidR="00EF65F1" w14:paraId="7B136772" w14:textId="77777777">
        <w:trPr>
          <w:trHeight w:val="617"/>
          <w:jc w:val="center"/>
        </w:trPr>
        <w:tc>
          <w:tcPr>
            <w:tcW w:w="5000" w:type="pct"/>
            <w:tcBorders>
              <w:top w:val="nil"/>
              <w:left w:val="nil"/>
              <w:bottom w:val="nil"/>
              <w:right w:val="nil"/>
            </w:tcBorders>
            <w:shd w:val="clear" w:color="auto" w:fill="auto"/>
            <w:noWrap/>
            <w:vAlign w:val="center"/>
            <w:hideMark/>
          </w:tcPr>
          <w:p w14:paraId="09B14014" w14:textId="77777777" w:rsidR="00EF65F1" w:rsidRDefault="00484A18">
            <w:pPr>
              <w:spacing w:beforeLines="160" w:before="384"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vertAlign w:val="superscript"/>
                <w:lang w:eastAsia="en-ZA"/>
              </w:rPr>
              <w:t>abcd</w:t>
            </w:r>
            <w:r>
              <w:rPr>
                <w:rFonts w:ascii="Times New Roman" w:eastAsia="Times New Roman" w:hAnsi="Times New Roman" w:cs="Times New Roman"/>
                <w:sz w:val="22"/>
                <w:szCs w:val="22"/>
                <w:vertAlign w:val="subscript"/>
                <w:lang w:eastAsia="en-ZA"/>
              </w:rPr>
              <w:t xml:space="preserve"> </w:t>
            </w:r>
            <w:r>
              <w:rPr>
                <w:rFonts w:ascii="Times New Roman" w:eastAsia="Times New Roman" w:hAnsi="Times New Roman" w:cs="Times New Roman"/>
                <w:sz w:val="22"/>
                <w:szCs w:val="22"/>
                <w:lang w:eastAsia="en-ZA"/>
              </w:rPr>
              <w:t>Within a column: Means with different superscripts differ (P &lt; 0.05)</w:t>
            </w:r>
          </w:p>
          <w:p w14:paraId="6FF3E7E0" w14:textId="77777777" w:rsidR="00EF65F1" w:rsidRDefault="00EF65F1">
            <w:pPr>
              <w:spacing w:beforeLines="160" w:before="384" w:after="0" w:line="240" w:lineRule="auto"/>
              <w:ind w:firstLine="567"/>
              <w:contextualSpacing/>
              <w:jc w:val="both"/>
              <w:rPr>
                <w:rFonts w:ascii="Times New Roman" w:eastAsia="Times New Roman" w:hAnsi="Times New Roman" w:cs="Times New Roman"/>
                <w:sz w:val="22"/>
                <w:szCs w:val="22"/>
                <w:lang w:eastAsia="en-ZA"/>
              </w:rPr>
            </w:pPr>
          </w:p>
        </w:tc>
      </w:tr>
      <w:bookmarkEnd w:id="150"/>
    </w:tbl>
    <w:p w14:paraId="32746FFC" w14:textId="77777777" w:rsidR="00EF65F1" w:rsidRDefault="00EF65F1">
      <w:pPr>
        <w:spacing w:after="0" w:line="360" w:lineRule="auto"/>
        <w:contextualSpacing/>
        <w:rPr>
          <w:rFonts w:ascii="Times New Roman" w:hAnsi="Times New Roman" w:cs="Times New Roman"/>
          <w:sz w:val="22"/>
          <w:szCs w:val="22"/>
        </w:rPr>
        <w:sectPr w:rsidR="00EF65F1">
          <w:pgSz w:w="16838" w:h="11906" w:orient="landscape" w:code="9"/>
          <w:pgMar w:top="720" w:right="720" w:bottom="720" w:left="720" w:header="567" w:footer="794" w:gutter="0"/>
          <w:cols w:space="708"/>
          <w:vAlign w:val="center"/>
          <w:docGrid w:linePitch="360"/>
        </w:sectPr>
      </w:pPr>
    </w:p>
    <w:p w14:paraId="37F8DBDB" w14:textId="77777777" w:rsidR="00EF65F1" w:rsidRDefault="00EF65F1">
      <w:pPr>
        <w:spacing w:after="0" w:line="360" w:lineRule="auto"/>
        <w:ind w:firstLine="567"/>
        <w:contextualSpacing/>
        <w:jc w:val="both"/>
        <w:rPr>
          <w:rFonts w:ascii="Times New Roman" w:hAnsi="Times New Roman" w:cs="Times New Roman"/>
          <w:sz w:val="22"/>
          <w:szCs w:val="22"/>
        </w:rPr>
      </w:pPr>
    </w:p>
    <w:p w14:paraId="61173B1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Akanmu and Hassen (2018) reported a lower (P &lt; 0.01) 48-hour cumulative gas production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when supplemented with </w:t>
      </w:r>
      <w:r>
        <w:rPr>
          <w:rFonts w:ascii="Times New Roman" w:hAnsi="Times New Roman" w:cs="Times New Roman"/>
          <w:i/>
          <w:sz w:val="22"/>
          <w:szCs w:val="22"/>
        </w:rPr>
        <w:t>M. oleifera</w:t>
      </w:r>
      <w:r>
        <w:rPr>
          <w:rFonts w:ascii="Times New Roman" w:hAnsi="Times New Roman" w:cs="Times New Roman"/>
          <w:sz w:val="22"/>
          <w:szCs w:val="22"/>
        </w:rPr>
        <w:t xml:space="preserve"> extracts at 50 mg/kg DM dose level.  However, </w:t>
      </w:r>
      <w:r>
        <w:rPr>
          <w:rFonts w:ascii="Times New Roman" w:hAnsi="Times New Roman" w:cs="Times New Roman"/>
          <w:i/>
          <w:sz w:val="22"/>
          <w:szCs w:val="22"/>
        </w:rPr>
        <w:t xml:space="preserve">M. oleifera </w:t>
      </w:r>
      <w:r>
        <w:rPr>
          <w:rFonts w:ascii="Times New Roman" w:hAnsi="Times New Roman" w:cs="Times New Roman"/>
          <w:sz w:val="22"/>
          <w:szCs w:val="22"/>
        </w:rPr>
        <w:t>extracts tested in this study did not significantly reduce (P &gt; 0.05) the cumulative gas volumes at any time interval when compared to the negative control.</w:t>
      </w:r>
    </w:p>
    <w:p w14:paraId="53420B90" w14:textId="77777777" w:rsidR="00EF65F1" w:rsidRDefault="00EF65F1">
      <w:pPr>
        <w:spacing w:after="0" w:line="360" w:lineRule="auto"/>
        <w:ind w:firstLine="567"/>
        <w:contextualSpacing/>
        <w:jc w:val="both"/>
        <w:rPr>
          <w:rFonts w:ascii="Times New Roman" w:hAnsi="Times New Roman" w:cs="Times New Roman"/>
          <w:sz w:val="22"/>
          <w:szCs w:val="22"/>
        </w:rPr>
      </w:pPr>
    </w:p>
    <w:p w14:paraId="27C26DF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These apparent increases in cumulative gas volume production with plant extract supplementation is consistent with previous studies who reported similar tendencies (Kim </w:t>
      </w:r>
      <w:r>
        <w:rPr>
          <w:rFonts w:ascii="Times New Roman" w:hAnsi="Times New Roman" w:cs="Times New Roman"/>
          <w:i/>
          <w:sz w:val="22"/>
          <w:szCs w:val="22"/>
        </w:rPr>
        <w:t>et al.</w:t>
      </w:r>
      <w:r>
        <w:rPr>
          <w:rFonts w:ascii="Times New Roman" w:hAnsi="Times New Roman" w:cs="Times New Roman"/>
          <w:sz w:val="22"/>
          <w:szCs w:val="22"/>
        </w:rPr>
        <w:t xml:space="preserve">, 2015; Akanmu &amp; Hassen, 2018; Boussaada </w:t>
      </w:r>
      <w:r>
        <w:rPr>
          <w:rFonts w:ascii="Times New Roman" w:hAnsi="Times New Roman" w:cs="Times New Roman"/>
          <w:i/>
          <w:sz w:val="22"/>
          <w:szCs w:val="22"/>
        </w:rPr>
        <w:t>et al.</w:t>
      </w:r>
      <w:r>
        <w:rPr>
          <w:rFonts w:ascii="Times New Roman" w:hAnsi="Times New Roman" w:cs="Times New Roman"/>
          <w:sz w:val="22"/>
          <w:szCs w:val="22"/>
        </w:rPr>
        <w:t xml:space="preserve">, 2018).  Increased gas production with plant extract supplementation can be attributed to 1) microbial growth 2) limited negative or positive effects on rumen fermentation  3) the ability of microorganisms to use the plant extracts as a nutrient source 4) the presence of enzymes such as amylase and lipase found in their leaves (Kim </w:t>
      </w:r>
      <w:r>
        <w:rPr>
          <w:rFonts w:ascii="Times New Roman" w:hAnsi="Times New Roman" w:cs="Times New Roman"/>
          <w:i/>
          <w:sz w:val="22"/>
          <w:szCs w:val="22"/>
        </w:rPr>
        <w:t>et al.</w:t>
      </w:r>
      <w:r>
        <w:rPr>
          <w:rFonts w:ascii="Times New Roman" w:hAnsi="Times New Roman" w:cs="Times New Roman"/>
          <w:sz w:val="22"/>
          <w:szCs w:val="22"/>
        </w:rPr>
        <w:t xml:space="preserve">, 2015; Akanmu &amp; Hassen, 2018; Boussaada </w:t>
      </w:r>
      <w:r>
        <w:rPr>
          <w:rFonts w:ascii="Times New Roman" w:hAnsi="Times New Roman" w:cs="Times New Roman"/>
          <w:i/>
          <w:sz w:val="22"/>
          <w:szCs w:val="22"/>
        </w:rPr>
        <w:t>et al.</w:t>
      </w:r>
      <w:r>
        <w:rPr>
          <w:rFonts w:ascii="Times New Roman" w:hAnsi="Times New Roman" w:cs="Times New Roman"/>
          <w:sz w:val="22"/>
          <w:szCs w:val="22"/>
        </w:rPr>
        <w:t xml:space="preserve">, 2018) and these factors may have subsequently led to an increased nutrient availability for the microbes (Boussaada </w:t>
      </w:r>
      <w:r>
        <w:rPr>
          <w:rFonts w:ascii="Times New Roman" w:hAnsi="Times New Roman" w:cs="Times New Roman"/>
          <w:i/>
          <w:sz w:val="22"/>
          <w:szCs w:val="22"/>
        </w:rPr>
        <w:t>et al.</w:t>
      </w:r>
      <w:r>
        <w:rPr>
          <w:rFonts w:ascii="Times New Roman" w:hAnsi="Times New Roman" w:cs="Times New Roman"/>
          <w:sz w:val="22"/>
          <w:szCs w:val="22"/>
        </w:rPr>
        <w:t xml:space="preserve">, 2018).  Higher volumes of gas produced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may be associated with a faster rate of substrate degradation in the rumen (Akanmu &amp; Hassen, 2018). </w:t>
      </w:r>
    </w:p>
    <w:p w14:paraId="6901E16A" w14:textId="77777777" w:rsidR="00EF65F1" w:rsidRDefault="00EF65F1">
      <w:pPr>
        <w:spacing w:after="0" w:line="360" w:lineRule="auto"/>
        <w:ind w:firstLine="567"/>
        <w:contextualSpacing/>
        <w:jc w:val="both"/>
        <w:rPr>
          <w:rFonts w:ascii="Times New Roman" w:hAnsi="Times New Roman" w:cs="Times New Roman"/>
          <w:sz w:val="22"/>
          <w:szCs w:val="22"/>
        </w:rPr>
      </w:pPr>
    </w:p>
    <w:p w14:paraId="0831984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volume of gas produced from </w:t>
      </w:r>
      <w:r>
        <w:rPr>
          <w:rFonts w:ascii="Times New Roman" w:hAnsi="Times New Roman" w:cs="Times New Roman"/>
          <w:i/>
          <w:sz w:val="22"/>
          <w:szCs w:val="22"/>
        </w:rPr>
        <w:t>E. curvula</w:t>
      </w:r>
      <w:r>
        <w:rPr>
          <w:rFonts w:ascii="Times New Roman" w:hAnsi="Times New Roman" w:cs="Times New Roman"/>
          <w:sz w:val="22"/>
          <w:szCs w:val="22"/>
        </w:rPr>
        <w:t xml:space="preserve"> in various </w:t>
      </w:r>
      <w:r>
        <w:rPr>
          <w:rFonts w:ascii="Times New Roman" w:hAnsi="Times New Roman" w:cs="Times New Roman"/>
          <w:i/>
          <w:sz w:val="22"/>
          <w:szCs w:val="22"/>
        </w:rPr>
        <w:t xml:space="preserve">in vitro </w:t>
      </w:r>
      <w:r>
        <w:rPr>
          <w:rFonts w:ascii="Times New Roman" w:hAnsi="Times New Roman" w:cs="Times New Roman"/>
          <w:sz w:val="22"/>
          <w:szCs w:val="22"/>
        </w:rPr>
        <w:t xml:space="preserve">studies differs greatly.  For example, Berhane </w:t>
      </w:r>
      <w:r>
        <w:rPr>
          <w:rFonts w:ascii="Times New Roman" w:hAnsi="Times New Roman" w:cs="Times New Roman"/>
          <w:i/>
          <w:sz w:val="22"/>
          <w:szCs w:val="22"/>
        </w:rPr>
        <w:t xml:space="preserve">et al </w:t>
      </w:r>
      <w:r>
        <w:rPr>
          <w:rFonts w:ascii="Times New Roman" w:hAnsi="Times New Roman" w:cs="Times New Roman"/>
          <w:sz w:val="22"/>
          <w:szCs w:val="22"/>
        </w:rPr>
        <w:t xml:space="preserve">(2006) reported 14.6, 40.3 &amp; 55.4 mL of gas/200 mg (73, 201.5 &amp; 277 mL gas/g) after 12, 24 &amp; 48 hours for fresh </w:t>
      </w:r>
      <w:r>
        <w:rPr>
          <w:rFonts w:ascii="Times New Roman" w:hAnsi="Times New Roman" w:cs="Times New Roman"/>
          <w:i/>
          <w:sz w:val="22"/>
          <w:szCs w:val="22"/>
        </w:rPr>
        <w:t>E. curvula</w:t>
      </w:r>
      <w:r>
        <w:rPr>
          <w:rFonts w:ascii="Times New Roman" w:hAnsi="Times New Roman" w:cs="Times New Roman"/>
          <w:sz w:val="22"/>
          <w:szCs w:val="22"/>
        </w:rPr>
        <w:t xml:space="preserve">, which is substantially higher than volumes recorded in this study.  While Akanmu and Hassen (2018) reported 49.2 mL gas/400 mg after 48 hours (123 mL gas/g)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which is in line with gas volumes recorded in this study.  Similarly, Du Toit </w:t>
      </w:r>
      <w:r>
        <w:rPr>
          <w:rFonts w:ascii="Times New Roman" w:hAnsi="Times New Roman" w:cs="Times New Roman"/>
          <w:i/>
          <w:sz w:val="22"/>
          <w:szCs w:val="22"/>
        </w:rPr>
        <w:t xml:space="preserve">et al </w:t>
      </w:r>
      <w:r>
        <w:rPr>
          <w:rFonts w:ascii="Times New Roman" w:hAnsi="Times New Roman" w:cs="Times New Roman"/>
          <w:sz w:val="22"/>
          <w:szCs w:val="22"/>
        </w:rPr>
        <w:t xml:space="preserve">(2018) reported gas production values of 60.62 mL/g and 103.76 mL/g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after 24- and 48-hours of incubation, respectively.  The gas volume produced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has been shown to be impacted by different factors such as forage species and chemical composition of the plant, especially the fibre concentrations and digestibility (Zhong </w:t>
      </w:r>
      <w:r>
        <w:rPr>
          <w:rFonts w:ascii="Times New Roman" w:hAnsi="Times New Roman" w:cs="Times New Roman"/>
          <w:i/>
          <w:sz w:val="22"/>
          <w:szCs w:val="22"/>
        </w:rPr>
        <w:t>et al.</w:t>
      </w:r>
      <w:r>
        <w:rPr>
          <w:rFonts w:ascii="Times New Roman" w:hAnsi="Times New Roman" w:cs="Times New Roman"/>
          <w:sz w:val="22"/>
          <w:szCs w:val="22"/>
        </w:rPr>
        <w:t xml:space="preserve">, 2016; Du Toit </w:t>
      </w:r>
      <w:r>
        <w:rPr>
          <w:rFonts w:ascii="Times New Roman" w:hAnsi="Times New Roman" w:cs="Times New Roman"/>
          <w:i/>
          <w:sz w:val="22"/>
          <w:szCs w:val="22"/>
        </w:rPr>
        <w:t>et al.</w:t>
      </w:r>
      <w:r>
        <w:rPr>
          <w:rFonts w:ascii="Times New Roman" w:hAnsi="Times New Roman" w:cs="Times New Roman"/>
          <w:sz w:val="22"/>
          <w:szCs w:val="22"/>
        </w:rPr>
        <w:t xml:space="preserve">, 2018).  These factors along with varying laboratory procedures may have accounted for these variations in reported gas production from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between studies.  Therefore, evaluation of the plant extract’s effects on gas production should be assessed relative to the control used in the same study and caution should be made when interpreting and/or comparing results from different studies.  Nonetheless, 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gas production values recorded for the negative control in this study after 48 hours, in comparison to reported values, indicates that sufficient microbial fermentation occurred </w:t>
      </w:r>
      <w:r>
        <w:rPr>
          <w:rFonts w:ascii="Times New Roman" w:hAnsi="Times New Roman" w:cs="Times New Roman"/>
          <w:i/>
          <w:sz w:val="22"/>
          <w:szCs w:val="22"/>
        </w:rPr>
        <w:t>in vitro</w:t>
      </w:r>
      <w:r>
        <w:rPr>
          <w:rFonts w:ascii="Times New Roman" w:hAnsi="Times New Roman" w:cs="Times New Roman"/>
          <w:sz w:val="22"/>
          <w:szCs w:val="22"/>
        </w:rPr>
        <w:t xml:space="preserve"> and thus the observed treatment effects can be taken with confidence.</w:t>
      </w:r>
    </w:p>
    <w:p w14:paraId="71AC4797" w14:textId="77777777" w:rsidR="00EF65F1" w:rsidRDefault="00EF65F1">
      <w:pPr>
        <w:spacing w:after="0" w:line="360" w:lineRule="auto"/>
        <w:ind w:firstLine="567"/>
        <w:contextualSpacing/>
        <w:jc w:val="both"/>
        <w:rPr>
          <w:rFonts w:ascii="Times New Roman" w:hAnsi="Times New Roman" w:cs="Times New Roman"/>
          <w:sz w:val="22"/>
          <w:szCs w:val="22"/>
        </w:rPr>
      </w:pPr>
    </w:p>
    <w:p w14:paraId="79435D98" w14:textId="77777777" w:rsidR="00EF65F1" w:rsidRDefault="00484A18">
      <w:pPr>
        <w:spacing w:after="0" w:line="360" w:lineRule="auto"/>
        <w:contextualSpacing/>
        <w:jc w:val="both"/>
        <w:rPr>
          <w:rFonts w:ascii="Times New Roman" w:hAnsi="Times New Roman" w:cs="Times New Roman"/>
          <w:sz w:val="22"/>
          <w:szCs w:val="22"/>
        </w:rPr>
        <w:sectPr w:rsidR="00EF65F1">
          <w:pgSz w:w="11906" w:h="16838" w:code="9"/>
          <w:pgMar w:top="1440" w:right="1440" w:bottom="1440" w:left="1440" w:header="567" w:footer="794" w:gutter="0"/>
          <w:cols w:space="708"/>
          <w:docGrid w:linePitch="360"/>
        </w:sectPr>
      </w:pPr>
      <w:r>
        <w:rPr>
          <w:rFonts w:ascii="Times New Roman" w:hAnsi="Times New Roman" w:cs="Times New Roman"/>
          <w:sz w:val="22"/>
          <w:szCs w:val="22"/>
        </w:rPr>
        <w:t xml:space="preserve">The pattern of gas production observed for the different treatments, in terms of the cumulative volume of gas (mL) produced per hour is plotted in figure 2.13.  In the current study, two peaks are observed in the graph, the first peak occurring at 2 hours and the second peak at 24 hours.  This is consistent with digestion patterns observed by Tefera </w:t>
      </w:r>
      <w:r>
        <w:rPr>
          <w:rFonts w:ascii="Times New Roman" w:hAnsi="Times New Roman" w:cs="Times New Roman"/>
          <w:i/>
          <w:sz w:val="22"/>
          <w:szCs w:val="22"/>
        </w:rPr>
        <w:t>et al</w:t>
      </w:r>
      <w:r>
        <w:rPr>
          <w:rFonts w:ascii="Times New Roman" w:hAnsi="Times New Roman" w:cs="Times New Roman"/>
          <w:sz w:val="22"/>
          <w:szCs w:val="22"/>
        </w:rPr>
        <w:t xml:space="preserve"> (2008) for high fibre diets.  When the plant extracts were </w:t>
      </w:r>
    </w:p>
    <w:tbl>
      <w:tblPr>
        <w:tblW w:w="5000" w:type="pct"/>
        <w:tblLook w:val="04A0" w:firstRow="1" w:lastRow="0" w:firstColumn="1" w:lastColumn="0" w:noHBand="0" w:noVBand="1"/>
      </w:tblPr>
      <w:tblGrid>
        <w:gridCol w:w="13736"/>
        <w:gridCol w:w="222"/>
      </w:tblGrid>
      <w:tr w:rsidR="00EF65F1" w14:paraId="27D63C07" w14:textId="77777777">
        <w:trPr>
          <w:trHeight w:val="599"/>
        </w:trPr>
        <w:tc>
          <w:tcPr>
            <w:tcW w:w="4733" w:type="pct"/>
            <w:tcBorders>
              <w:top w:val="nil"/>
              <w:left w:val="nil"/>
              <w:bottom w:val="nil"/>
              <w:right w:val="nil"/>
            </w:tcBorders>
            <w:shd w:val="clear" w:color="auto" w:fill="auto"/>
            <w:noWrap/>
            <w:vAlign w:val="center"/>
            <w:hideMark/>
          </w:tcPr>
          <w:p w14:paraId="286A863C" w14:textId="77777777" w:rsidR="00EF65F1" w:rsidRDefault="00484A18">
            <w:pPr>
              <w:keepNext/>
              <w:spacing w:after="0" w:line="240" w:lineRule="auto"/>
              <w:contextualSpacing/>
              <w:jc w:val="both"/>
              <w:rPr>
                <w:rFonts w:ascii="Times New Roman" w:hAnsi="Times New Roman" w:cs="Times New Roman"/>
                <w:sz w:val="22"/>
                <w:szCs w:val="22"/>
              </w:rPr>
            </w:pPr>
            <w:r>
              <w:rPr>
                <w:rFonts w:ascii="Times New Roman" w:hAnsi="Times New Roman" w:cs="Times New Roman"/>
                <w:noProof/>
                <w:sz w:val="22"/>
                <w:szCs w:val="22"/>
                <w:lang w:eastAsia="en-ZA"/>
              </w:rPr>
              <w:lastRenderedPageBreak/>
              <w:drawing>
                <wp:anchor distT="0" distB="0" distL="114300" distR="114300" simplePos="0" relativeHeight="251660288" behindDoc="0" locked="0" layoutInCell="1" allowOverlap="1" wp14:anchorId="6683EBED" wp14:editId="6DFEE120">
                  <wp:simplePos x="0" y="0"/>
                  <wp:positionH relativeFrom="column">
                    <wp:posOffset>-68580</wp:posOffset>
                  </wp:positionH>
                  <wp:positionV relativeFrom="paragraph">
                    <wp:posOffset>-4564380</wp:posOffset>
                  </wp:positionV>
                  <wp:extent cx="8929370" cy="4707890"/>
                  <wp:effectExtent l="0" t="0" r="1905" b="16510"/>
                  <wp:wrapTopAndBottom/>
                  <wp:docPr id="1" name="Chart 1">
                    <a:extLst xmlns:a="http://schemas.openxmlformats.org/drawingml/2006/main">
                      <a:ext uri="{FF2B5EF4-FFF2-40B4-BE49-F238E27FC236}">
                        <a16:creationId xmlns:a16="http://schemas.microsoft.com/office/drawing/2014/main" id="{7F48C7E4-101B-4A12-A582-2E91A0ACC1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p>
          <w:p w14:paraId="19AC6292" w14:textId="410C276D" w:rsidR="00EF65F1" w:rsidRDefault="00484A18">
            <w:pPr>
              <w:pStyle w:val="Caption"/>
              <w:spacing w:after="160" w:line="360" w:lineRule="auto"/>
              <w:contextualSpacing/>
              <w:jc w:val="both"/>
              <w:rPr>
                <w:rFonts w:ascii="Times New Roman" w:eastAsia="Times New Roman" w:hAnsi="Times New Roman" w:cs="Times New Roman"/>
                <w:i w:val="0"/>
                <w:sz w:val="22"/>
                <w:szCs w:val="22"/>
                <w:lang w:val="en-ZA" w:eastAsia="en-ZA"/>
              </w:rPr>
            </w:pPr>
            <w:bookmarkStart w:id="152" w:name="_Toc530512574"/>
            <w:bookmarkStart w:id="153" w:name="_Toc2349043"/>
            <w:r>
              <w:rPr>
                <w:rFonts w:ascii="Times New Roman" w:hAnsi="Times New Roman" w:cs="Times New Roman"/>
                <w:i w:val="0"/>
                <w:color w:val="auto"/>
                <w:sz w:val="22"/>
                <w:szCs w:val="22"/>
              </w:rPr>
              <w:t xml:space="preserve">Figure </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STYLEREF 1 \s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2</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SEQ Figure \* ARABIC \s 1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13</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 xml:space="preserve"> Pattern of </w:t>
            </w:r>
            <w:r>
              <w:rPr>
                <w:rFonts w:ascii="Times New Roman" w:hAnsi="Times New Roman" w:cs="Times New Roman"/>
                <w:color w:val="auto"/>
                <w:sz w:val="22"/>
                <w:szCs w:val="22"/>
              </w:rPr>
              <w:t>in vitro</w:t>
            </w:r>
            <w:r>
              <w:rPr>
                <w:rFonts w:ascii="Times New Roman" w:hAnsi="Times New Roman" w:cs="Times New Roman"/>
                <w:i w:val="0"/>
                <w:color w:val="auto"/>
                <w:sz w:val="22"/>
                <w:szCs w:val="22"/>
              </w:rPr>
              <w:t xml:space="preserve"> gas production over 48 hours of </w:t>
            </w:r>
            <w:r>
              <w:rPr>
                <w:rFonts w:ascii="Times New Roman" w:hAnsi="Times New Roman" w:cs="Times New Roman"/>
                <w:color w:val="auto"/>
                <w:sz w:val="22"/>
                <w:szCs w:val="22"/>
              </w:rPr>
              <w:t xml:space="preserve">Eragrostis curvula </w:t>
            </w:r>
            <w:r>
              <w:rPr>
                <w:rFonts w:ascii="Times New Roman" w:hAnsi="Times New Roman" w:cs="Times New Roman"/>
                <w:i w:val="0"/>
                <w:color w:val="auto"/>
                <w:sz w:val="22"/>
                <w:szCs w:val="22"/>
              </w:rPr>
              <w:t>hay treated with seven plant extracts at a 50 mg/kg</w:t>
            </w:r>
            <w:bookmarkEnd w:id="152"/>
            <w:r>
              <w:rPr>
                <w:rFonts w:ascii="Times New Roman" w:hAnsi="Times New Roman" w:cs="Times New Roman"/>
                <w:i w:val="0"/>
                <w:color w:val="auto"/>
                <w:sz w:val="22"/>
                <w:szCs w:val="22"/>
              </w:rPr>
              <w:t xml:space="preserve"> DM dose level</w:t>
            </w:r>
            <w:bookmarkEnd w:id="153"/>
          </w:p>
        </w:tc>
        <w:tc>
          <w:tcPr>
            <w:tcW w:w="267" w:type="pct"/>
            <w:tcBorders>
              <w:top w:val="nil"/>
              <w:left w:val="nil"/>
              <w:bottom w:val="nil"/>
              <w:right w:val="nil"/>
            </w:tcBorders>
            <w:shd w:val="clear" w:color="auto" w:fill="auto"/>
            <w:noWrap/>
            <w:vAlign w:val="bottom"/>
            <w:hideMark/>
          </w:tcPr>
          <w:p w14:paraId="054E4C6A" w14:textId="77777777" w:rsidR="00EF65F1" w:rsidRDefault="00EF65F1">
            <w:pPr>
              <w:spacing w:after="0" w:line="240" w:lineRule="auto"/>
              <w:ind w:firstLine="567"/>
              <w:contextualSpacing/>
              <w:jc w:val="both"/>
              <w:rPr>
                <w:rFonts w:ascii="Times New Roman" w:eastAsia="Times New Roman" w:hAnsi="Times New Roman" w:cs="Times New Roman"/>
                <w:sz w:val="22"/>
                <w:szCs w:val="22"/>
                <w:lang w:eastAsia="en-ZA"/>
              </w:rPr>
            </w:pPr>
          </w:p>
        </w:tc>
      </w:tr>
    </w:tbl>
    <w:p w14:paraId="60C990E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sectPr w:rsidR="00EF65F1">
          <w:pgSz w:w="16838" w:h="11906" w:orient="landscape" w:code="9"/>
          <w:pgMar w:top="1440" w:right="1440" w:bottom="1440" w:left="1440" w:header="567" w:footer="794" w:gutter="0"/>
          <w:cols w:space="708"/>
          <w:vAlign w:val="center"/>
          <w:docGrid w:linePitch="360"/>
        </w:sectPr>
      </w:pPr>
      <w:r>
        <w:rPr>
          <w:rFonts w:ascii="Times New Roman" w:eastAsia="Times New Roman" w:hAnsi="Times New Roman" w:cs="Times New Roman"/>
          <w:sz w:val="22"/>
          <w:szCs w:val="22"/>
          <w:lang w:eastAsia="en-ZA"/>
        </w:rPr>
        <w:t xml:space="preserve">EC- </w:t>
      </w:r>
      <w:r>
        <w:rPr>
          <w:rFonts w:ascii="Times New Roman" w:eastAsia="Times New Roman" w:hAnsi="Times New Roman" w:cs="Times New Roman"/>
          <w:i/>
          <w:sz w:val="22"/>
          <w:szCs w:val="22"/>
          <w:lang w:eastAsia="en-ZA"/>
        </w:rPr>
        <w:t xml:space="preserve">Eragrostis curvula </w:t>
      </w:r>
      <w:r>
        <w:rPr>
          <w:rFonts w:ascii="Times New Roman" w:eastAsia="Times New Roman" w:hAnsi="Times New Roman" w:cs="Times New Roman"/>
          <w:sz w:val="22"/>
          <w:szCs w:val="22"/>
          <w:lang w:eastAsia="en-ZA"/>
        </w:rPr>
        <w:t>(- control); RUM- Rumensin</w:t>
      </w:r>
      <w:r>
        <w:rPr>
          <w:rFonts w:ascii="Times New Roman" w:eastAsia="Times New Roman" w:hAnsi="Times New Roman" w:cs="Times New Roman"/>
          <w:sz w:val="22"/>
          <w:szCs w:val="22"/>
          <w:vertAlign w:val="superscript"/>
          <w:lang w:eastAsia="en-ZA"/>
        </w:rPr>
        <w:t>®</w:t>
      </w:r>
      <w:r>
        <w:rPr>
          <w:rFonts w:ascii="Times New Roman" w:eastAsia="Times New Roman" w:hAnsi="Times New Roman" w:cs="Times New Roman"/>
          <w:sz w:val="22"/>
          <w:szCs w:val="22"/>
          <w:lang w:eastAsia="en-ZA"/>
        </w:rPr>
        <w:t xml:space="preserve"> 20% (+control); MO- </w:t>
      </w:r>
      <w:r>
        <w:rPr>
          <w:rFonts w:ascii="Times New Roman" w:eastAsia="Times New Roman" w:hAnsi="Times New Roman" w:cs="Times New Roman"/>
          <w:i/>
          <w:sz w:val="22"/>
          <w:szCs w:val="22"/>
          <w:lang w:eastAsia="en-ZA"/>
        </w:rPr>
        <w:t>Moringa oleifera</w:t>
      </w:r>
      <w:r>
        <w:rPr>
          <w:rFonts w:ascii="Times New Roman" w:eastAsia="Times New Roman" w:hAnsi="Times New Roman" w:cs="Times New Roman"/>
          <w:sz w:val="22"/>
          <w:szCs w:val="22"/>
          <w:lang w:eastAsia="en-ZA"/>
        </w:rPr>
        <w:t xml:space="preserve"> (+control); CE- </w:t>
      </w:r>
      <w:r>
        <w:rPr>
          <w:rFonts w:ascii="Times New Roman" w:eastAsia="Times New Roman" w:hAnsi="Times New Roman" w:cs="Times New Roman"/>
          <w:i/>
          <w:iCs/>
          <w:sz w:val="22"/>
          <w:szCs w:val="22"/>
          <w:lang w:eastAsia="en-ZA"/>
        </w:rPr>
        <w:t xml:space="preserve">Combretum erythrophyllum; </w:t>
      </w:r>
      <w:r>
        <w:rPr>
          <w:rFonts w:ascii="Times New Roman" w:eastAsia="Times New Roman" w:hAnsi="Times New Roman" w:cs="Times New Roman"/>
          <w:sz w:val="22"/>
          <w:szCs w:val="22"/>
          <w:lang w:eastAsia="en-ZA"/>
        </w:rPr>
        <w:t xml:space="preserve">DV- </w:t>
      </w:r>
      <w:r>
        <w:rPr>
          <w:rFonts w:ascii="Times New Roman" w:eastAsia="Times New Roman" w:hAnsi="Times New Roman" w:cs="Times New Roman"/>
          <w:i/>
          <w:iCs/>
          <w:sz w:val="22"/>
          <w:szCs w:val="22"/>
          <w:lang w:eastAsia="en-ZA"/>
        </w:rPr>
        <w:t xml:space="preserve">Dodonaea viscosa; </w:t>
      </w:r>
      <w:r>
        <w:rPr>
          <w:rFonts w:ascii="Times New Roman" w:eastAsia="Times New Roman" w:hAnsi="Times New Roman" w:cs="Times New Roman"/>
          <w:sz w:val="22"/>
          <w:szCs w:val="22"/>
          <w:lang w:eastAsia="en-ZA"/>
        </w:rPr>
        <w:t xml:space="preserve">HN- </w:t>
      </w:r>
      <w:r>
        <w:rPr>
          <w:rFonts w:ascii="Times New Roman" w:eastAsia="Times New Roman" w:hAnsi="Times New Roman" w:cs="Times New Roman"/>
          <w:i/>
          <w:iCs/>
          <w:sz w:val="22"/>
          <w:szCs w:val="22"/>
          <w:lang w:eastAsia="en-ZA"/>
        </w:rPr>
        <w:t xml:space="preserve">Heteropyxis natalensis; </w:t>
      </w:r>
      <w:r>
        <w:rPr>
          <w:rFonts w:ascii="Times New Roman" w:eastAsia="Times New Roman" w:hAnsi="Times New Roman" w:cs="Times New Roman"/>
          <w:sz w:val="22"/>
          <w:szCs w:val="22"/>
          <w:lang w:eastAsia="en-ZA"/>
        </w:rPr>
        <w:t xml:space="preserve">SB- </w:t>
      </w:r>
      <w:r>
        <w:rPr>
          <w:rFonts w:ascii="Times New Roman" w:eastAsia="Times New Roman" w:hAnsi="Times New Roman" w:cs="Times New Roman"/>
          <w:i/>
          <w:iCs/>
          <w:sz w:val="22"/>
          <w:szCs w:val="22"/>
          <w:lang w:eastAsia="en-ZA"/>
        </w:rPr>
        <w:t xml:space="preserve">Sclerocarya birrea; </w:t>
      </w:r>
      <w:r>
        <w:rPr>
          <w:rFonts w:ascii="Times New Roman" w:eastAsia="Times New Roman" w:hAnsi="Times New Roman" w:cs="Times New Roman"/>
          <w:sz w:val="22"/>
          <w:szCs w:val="22"/>
          <w:lang w:eastAsia="en-ZA"/>
        </w:rPr>
        <w:t xml:space="preserve">EL- </w:t>
      </w:r>
      <w:r>
        <w:rPr>
          <w:rFonts w:ascii="Times New Roman" w:eastAsia="Times New Roman" w:hAnsi="Times New Roman" w:cs="Times New Roman"/>
          <w:i/>
          <w:iCs/>
          <w:sz w:val="22"/>
          <w:szCs w:val="22"/>
          <w:lang w:eastAsia="en-ZA"/>
        </w:rPr>
        <w:t xml:space="preserve">Erythrina lysistemon; </w:t>
      </w:r>
      <w:r>
        <w:rPr>
          <w:rFonts w:ascii="Times New Roman" w:eastAsia="Times New Roman" w:hAnsi="Times New Roman" w:cs="Times New Roman"/>
          <w:sz w:val="22"/>
          <w:szCs w:val="22"/>
          <w:lang w:eastAsia="en-ZA"/>
        </w:rPr>
        <w:t xml:space="preserve">SC- </w:t>
      </w:r>
      <w:r>
        <w:rPr>
          <w:rFonts w:ascii="Times New Roman" w:eastAsia="Times New Roman" w:hAnsi="Times New Roman" w:cs="Times New Roman"/>
          <w:i/>
          <w:iCs/>
          <w:sz w:val="22"/>
          <w:szCs w:val="22"/>
          <w:lang w:eastAsia="en-ZA"/>
        </w:rPr>
        <w:t xml:space="preserve">Searsia chirindensis; </w:t>
      </w:r>
      <w:r>
        <w:rPr>
          <w:rFonts w:ascii="Times New Roman" w:eastAsia="Times New Roman" w:hAnsi="Times New Roman" w:cs="Times New Roman"/>
          <w:iCs/>
          <w:sz w:val="22"/>
          <w:szCs w:val="22"/>
          <w:lang w:eastAsia="en-ZA"/>
        </w:rPr>
        <w:t>HL</w:t>
      </w:r>
      <w:r>
        <w:rPr>
          <w:rFonts w:ascii="Times New Roman" w:eastAsia="Times New Roman" w:hAnsi="Times New Roman" w:cs="Times New Roman"/>
          <w:i/>
          <w:iCs/>
          <w:sz w:val="22"/>
          <w:szCs w:val="22"/>
          <w:lang w:eastAsia="en-ZA"/>
        </w:rPr>
        <w:t xml:space="preserve">- </w:t>
      </w:r>
      <w:r>
        <w:rPr>
          <w:rFonts w:ascii="Times New Roman" w:eastAsia="Times New Roman" w:hAnsi="Times New Roman" w:cs="Times New Roman"/>
          <w:i/>
          <w:sz w:val="22"/>
          <w:szCs w:val="22"/>
          <w:lang w:eastAsia="en-ZA"/>
        </w:rPr>
        <w:t>Halleria Lucida</w:t>
      </w:r>
    </w:p>
    <w:p w14:paraId="2FC84515" w14:textId="77777777" w:rsidR="00364C97" w:rsidRDefault="00364C97" w:rsidP="00364C97">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lastRenderedPageBreak/>
        <w:t xml:space="preserve">evaluated at a dose level of 50 mg/kg DM in terms of the cumulative volume of gas produced per hour, there were no significant differences (P &gt; 0.05) between treatments after 2 hours of incubation.  However, there were significant differences (P &lt; 0.05) between treatments after 4-, 8-, 12- and 24-hour incubation intervals in terms of the rate of cumulative gas produced per hour.  After 48 hours of incubation these differences in the rate of gas production between treatments became insignificant (P &gt; 0.05).  After 4 hours of incubation,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produced a significantly higher (P &lt; 0.5) rate of gas production compared to the plant extracts from </w:t>
      </w:r>
      <w:r>
        <w:rPr>
          <w:rFonts w:ascii="Times New Roman" w:hAnsi="Times New Roman" w:cs="Times New Roman"/>
          <w:i/>
          <w:sz w:val="22"/>
          <w:szCs w:val="22"/>
        </w:rPr>
        <w:t>E. lysistemon, D. viscosa, S. birrea, H. natalensis,</w:t>
      </w:r>
      <w:r>
        <w:rPr>
          <w:rFonts w:ascii="Times New Roman" w:hAnsi="Times New Roman" w:cs="Times New Roman"/>
          <w:sz w:val="22"/>
          <w:szCs w:val="22"/>
        </w:rPr>
        <w:t xml:space="preserve"> </w:t>
      </w:r>
      <w:r>
        <w:rPr>
          <w:rFonts w:ascii="Times New Roman" w:hAnsi="Times New Roman" w:cs="Times New Roman"/>
          <w:i/>
          <w:sz w:val="22"/>
          <w:szCs w:val="22"/>
        </w:rPr>
        <w:t xml:space="preserve">M. oleifera </w:t>
      </w:r>
      <w:r>
        <w:rPr>
          <w:rFonts w:ascii="Times New Roman" w:hAnsi="Times New Roman" w:cs="Times New Roman"/>
          <w:sz w:val="22"/>
          <w:szCs w:val="22"/>
        </w:rPr>
        <w:t>and</w:t>
      </w:r>
      <w:r>
        <w:rPr>
          <w:rFonts w:ascii="Times New Roman" w:hAnsi="Times New Roman" w:cs="Times New Roman"/>
          <w:i/>
          <w:sz w:val="22"/>
          <w:szCs w:val="22"/>
        </w:rPr>
        <w:t xml:space="preserve"> </w:t>
      </w:r>
      <w:r>
        <w:rPr>
          <w:rFonts w:ascii="Times New Roman" w:hAnsi="Times New Roman" w:cs="Times New Roman"/>
          <w:sz w:val="22"/>
          <w:szCs w:val="22"/>
        </w:rPr>
        <w:t xml:space="preserve">when compared to the negative control.  The rate of gas produced per hour was also increased (P &lt; 0.05) after 8 hours of incubation by the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compared to the plant extracts from </w:t>
      </w:r>
      <w:r>
        <w:rPr>
          <w:rFonts w:ascii="Times New Roman" w:hAnsi="Times New Roman" w:cs="Times New Roman"/>
          <w:i/>
          <w:sz w:val="22"/>
          <w:szCs w:val="22"/>
        </w:rPr>
        <w:t xml:space="preserve">S. birrea, M. oleifera, H. natalensis </w:t>
      </w:r>
      <w:r>
        <w:rPr>
          <w:rFonts w:ascii="Times New Roman" w:hAnsi="Times New Roman" w:cs="Times New Roman"/>
          <w:sz w:val="22"/>
          <w:szCs w:val="22"/>
        </w:rPr>
        <w:t xml:space="preserve">and the negative control.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continued to increase (P &lt; 0.05) the rate of gas produced per hour after 12 hours when compared to the negative control,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and plant extracts from </w:t>
      </w:r>
      <w:r>
        <w:rPr>
          <w:rFonts w:ascii="Times New Roman" w:hAnsi="Times New Roman" w:cs="Times New Roman"/>
          <w:i/>
          <w:sz w:val="22"/>
          <w:szCs w:val="22"/>
        </w:rPr>
        <w:t xml:space="preserve">D. viscosa, E. lysistemon, S. birrea, H. natalensis </w:t>
      </w:r>
      <w:r>
        <w:rPr>
          <w:rFonts w:ascii="Times New Roman" w:hAnsi="Times New Roman" w:cs="Times New Roman"/>
          <w:sz w:val="22"/>
          <w:szCs w:val="22"/>
        </w:rPr>
        <w:t xml:space="preserve">and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increased (P &lt; 0.05)</w:t>
      </w:r>
      <w:r>
        <w:rPr>
          <w:rFonts w:ascii="Times New Roman" w:hAnsi="Times New Roman" w:cs="Times New Roman"/>
          <w:i/>
          <w:sz w:val="22"/>
          <w:szCs w:val="22"/>
        </w:rPr>
        <w:t xml:space="preserve"> </w:t>
      </w:r>
    </w:p>
    <w:p w14:paraId="310F10B2"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 xml:space="preserve">the rate of gas produced after 12 hours when compared to the negative control and the plant extracts from </w:t>
      </w:r>
      <w:r>
        <w:rPr>
          <w:rFonts w:ascii="Times New Roman" w:hAnsi="Times New Roman" w:cs="Times New Roman"/>
          <w:i/>
          <w:sz w:val="22"/>
          <w:szCs w:val="22"/>
        </w:rPr>
        <w:t>M. oleifera.</w:t>
      </w:r>
    </w:p>
    <w:p w14:paraId="2A003CE1" w14:textId="77777777" w:rsidR="00EF65F1" w:rsidRDefault="00EF65F1">
      <w:pPr>
        <w:spacing w:after="0" w:line="360" w:lineRule="auto"/>
        <w:contextualSpacing/>
        <w:jc w:val="both"/>
        <w:rPr>
          <w:rFonts w:ascii="Times New Roman" w:hAnsi="Times New Roman" w:cs="Times New Roman"/>
          <w:sz w:val="22"/>
          <w:szCs w:val="22"/>
        </w:rPr>
      </w:pPr>
    </w:p>
    <w:p w14:paraId="662C50C3"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 xml:space="preserve">Generally, the plant extracts tested in this study showed an effect on the rate of gas produced per hour after 24 hours of incubation.  With plant extracts from </w:t>
      </w:r>
      <w:r>
        <w:rPr>
          <w:rFonts w:ascii="Times New Roman" w:hAnsi="Times New Roman" w:cs="Times New Roman"/>
          <w:i/>
          <w:sz w:val="22"/>
          <w:szCs w:val="22"/>
        </w:rPr>
        <w:t xml:space="preserve">H. lucida, S.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C. erythrophyllum </w:t>
      </w:r>
      <w:r>
        <w:rPr>
          <w:rFonts w:ascii="Times New Roman" w:hAnsi="Times New Roman" w:cs="Times New Roman"/>
          <w:sz w:val="22"/>
          <w:szCs w:val="22"/>
        </w:rPr>
        <w:t>producing significantly higher (P &lt; 0.05) rates of gas production after 24 hours when compared to the negative control.</w:t>
      </w:r>
    </w:p>
    <w:p w14:paraId="4D233E8D" w14:textId="77777777" w:rsidR="00EF65F1" w:rsidRDefault="00EF65F1">
      <w:pPr>
        <w:spacing w:after="0" w:line="360" w:lineRule="auto"/>
        <w:ind w:firstLine="567"/>
        <w:contextualSpacing/>
        <w:jc w:val="both"/>
        <w:rPr>
          <w:rFonts w:ascii="Times New Roman" w:hAnsi="Times New Roman" w:cs="Times New Roman"/>
          <w:sz w:val="22"/>
          <w:szCs w:val="22"/>
        </w:rPr>
      </w:pPr>
    </w:p>
    <w:p w14:paraId="5C238EC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rate of gas production after 4 hours of incubation is the lowest over the different incubation periods for all treatments, this may indicate a lag in digestion of slowly fermentable carbohydrate fractions at this point.  This lag is likely attributable to the start of cellulolytic digestion, as structural carbohydrates are degraded at a slower rate than the polysaccharide component (Janssen, 2010).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reduced this lag in digestion by increasing the rate of digestion of the substrate at this point compared to the negative control, which indicates the potential of </w:t>
      </w:r>
      <w:r>
        <w:rPr>
          <w:rFonts w:ascii="Times New Roman" w:hAnsi="Times New Roman" w:cs="Times New Roman"/>
          <w:i/>
          <w:sz w:val="22"/>
          <w:szCs w:val="22"/>
        </w:rPr>
        <w:t>H. lucida</w:t>
      </w:r>
      <w:r>
        <w:rPr>
          <w:rFonts w:ascii="Times New Roman" w:hAnsi="Times New Roman" w:cs="Times New Roman"/>
          <w:sz w:val="22"/>
          <w:szCs w:val="22"/>
        </w:rPr>
        <w:t xml:space="preserve"> plant extracts to increase the digestion rate of cellulolytic components in ruminants.  This increased rate of gas production would likely result in an increased passage rate of feed in the ruminant, reducing the feeds retention time in the rumen, which in turn might increase the proportion of propionate produced resulting in an increased energy supply to the animal (Akanmu &amp; Hassen, 2018).  Plant extracts from the species </w:t>
      </w:r>
      <w:r>
        <w:rPr>
          <w:rFonts w:ascii="Times New Roman" w:hAnsi="Times New Roman" w:cs="Times New Roman"/>
          <w:i/>
          <w:sz w:val="22"/>
          <w:szCs w:val="22"/>
        </w:rPr>
        <w:t xml:space="preserve">C. erythrophyllum </w:t>
      </w:r>
      <w:r>
        <w:rPr>
          <w:rFonts w:ascii="Times New Roman" w:hAnsi="Times New Roman" w:cs="Times New Roman"/>
          <w:sz w:val="22"/>
          <w:szCs w:val="22"/>
        </w:rPr>
        <w:t xml:space="preserve">and </w:t>
      </w:r>
      <w:r>
        <w:rPr>
          <w:rFonts w:ascii="Times New Roman" w:hAnsi="Times New Roman" w:cs="Times New Roman"/>
          <w:i/>
          <w:sz w:val="22"/>
          <w:szCs w:val="22"/>
        </w:rPr>
        <w:t>S. chirindensis</w:t>
      </w:r>
      <w:r>
        <w:rPr>
          <w:rFonts w:ascii="Times New Roman" w:hAnsi="Times New Roman" w:cs="Times New Roman"/>
          <w:sz w:val="22"/>
          <w:szCs w:val="22"/>
        </w:rPr>
        <w:t xml:space="preserve"> tested in this study, also increased the rate of gas production, but to a lesser extent than plant extract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However, supplementation with these extracts may also result in an increased rate of passage and an improved energy supply.  </w:t>
      </w:r>
    </w:p>
    <w:p w14:paraId="5B291CD1" w14:textId="77777777" w:rsidR="00EF65F1" w:rsidRDefault="00EF65F1">
      <w:pPr>
        <w:spacing w:after="0" w:line="360" w:lineRule="auto"/>
        <w:ind w:firstLine="567"/>
        <w:contextualSpacing/>
        <w:jc w:val="both"/>
        <w:rPr>
          <w:rFonts w:ascii="Times New Roman" w:hAnsi="Times New Roman" w:cs="Times New Roman"/>
          <w:sz w:val="22"/>
          <w:szCs w:val="22"/>
        </w:rPr>
      </w:pPr>
    </w:p>
    <w:p w14:paraId="5343646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Phenolic compounds and antibacterial properties have been reported in the plant extracts from </w:t>
      </w:r>
      <w:r>
        <w:rPr>
          <w:rFonts w:ascii="Times New Roman" w:hAnsi="Times New Roman" w:cs="Times New Roman"/>
          <w:i/>
          <w:sz w:val="22"/>
          <w:szCs w:val="22"/>
        </w:rPr>
        <w:t xml:space="preserve">H. lucida, C. erythrophyllum </w:t>
      </w:r>
      <w:r>
        <w:rPr>
          <w:rFonts w:ascii="Times New Roman" w:hAnsi="Times New Roman" w:cs="Times New Roman"/>
          <w:sz w:val="22"/>
          <w:szCs w:val="22"/>
        </w:rPr>
        <w:t xml:space="preserve">and </w:t>
      </w:r>
      <w:r>
        <w:rPr>
          <w:rFonts w:ascii="Times New Roman" w:hAnsi="Times New Roman" w:cs="Times New Roman"/>
          <w:i/>
          <w:sz w:val="22"/>
          <w:szCs w:val="22"/>
        </w:rPr>
        <w:t>S. chirindensis</w:t>
      </w:r>
      <w:r>
        <w:rPr>
          <w:rFonts w:ascii="Times New Roman" w:hAnsi="Times New Roman" w:cs="Times New Roman"/>
          <w:sz w:val="22"/>
          <w:szCs w:val="22"/>
        </w:rPr>
        <w:t xml:space="preserve">.  This indicates that phenolic compounds and/or </w:t>
      </w:r>
      <w:r>
        <w:rPr>
          <w:rFonts w:ascii="Times New Roman" w:hAnsi="Times New Roman" w:cs="Times New Roman"/>
          <w:sz w:val="22"/>
          <w:szCs w:val="22"/>
        </w:rPr>
        <w:lastRenderedPageBreak/>
        <w:t xml:space="preserve">antibacterial actions may be responsible for the enhanced rumen fermentation of poor-quality roughages seen in this study, whereby the lag period of cellulolytic digestion was reduced.  The increased rate of rumen fermentation observed in this study may be associated to a stimulatory effect on fibrolytic microbes in the rumen bought about by the secondary compounds present in the plant extracts, whereby enhanced fibrolytic activity resulted in an increased proximity between the substrates and microbes (Akanmu &amp; Hassen, 2018).  Broudiscou </w:t>
      </w:r>
      <w:r>
        <w:rPr>
          <w:rFonts w:ascii="Times New Roman" w:hAnsi="Times New Roman" w:cs="Times New Roman"/>
          <w:i/>
          <w:sz w:val="22"/>
          <w:szCs w:val="22"/>
        </w:rPr>
        <w:t>et al</w:t>
      </w:r>
      <w:r>
        <w:rPr>
          <w:rFonts w:ascii="Times New Roman" w:hAnsi="Times New Roman" w:cs="Times New Roman"/>
          <w:sz w:val="22"/>
          <w:szCs w:val="22"/>
        </w:rPr>
        <w:t xml:space="preserve"> (2000) and Kim </w:t>
      </w:r>
      <w:r>
        <w:rPr>
          <w:rFonts w:ascii="Times New Roman" w:hAnsi="Times New Roman" w:cs="Times New Roman"/>
          <w:i/>
          <w:sz w:val="22"/>
          <w:szCs w:val="22"/>
        </w:rPr>
        <w:t>et al</w:t>
      </w:r>
      <w:r>
        <w:rPr>
          <w:rFonts w:ascii="Times New Roman" w:hAnsi="Times New Roman" w:cs="Times New Roman"/>
          <w:sz w:val="22"/>
          <w:szCs w:val="22"/>
        </w:rPr>
        <w:t xml:space="preserve"> (2015) identified several plant species which promoted increased rumen fermentation which was attributed to the secondary compound class flavonoids.  Leaves and stems of </w:t>
      </w:r>
      <w:r>
        <w:rPr>
          <w:rFonts w:ascii="Times New Roman" w:hAnsi="Times New Roman" w:cs="Times New Roman"/>
          <w:i/>
          <w:sz w:val="22"/>
          <w:szCs w:val="22"/>
        </w:rPr>
        <w:t xml:space="preserve">H. lucida </w:t>
      </w:r>
      <w:r>
        <w:rPr>
          <w:rFonts w:ascii="Times New Roman" w:hAnsi="Times New Roman" w:cs="Times New Roman"/>
          <w:sz w:val="22"/>
          <w:szCs w:val="22"/>
        </w:rPr>
        <w:t xml:space="preserve">have reportedly high concentrations of flavonoids and polyphenols, which have been shown to express antibacterial activity predominately on gram-positive bacteria (Adedapo </w:t>
      </w:r>
      <w:r>
        <w:rPr>
          <w:rFonts w:ascii="Times New Roman" w:hAnsi="Times New Roman" w:cs="Times New Roman"/>
          <w:i/>
          <w:sz w:val="22"/>
          <w:szCs w:val="22"/>
        </w:rPr>
        <w:t>et al.</w:t>
      </w:r>
      <w:r>
        <w:rPr>
          <w:rFonts w:ascii="Times New Roman" w:hAnsi="Times New Roman" w:cs="Times New Roman"/>
          <w:sz w:val="22"/>
          <w:szCs w:val="22"/>
        </w:rPr>
        <w:t xml:space="preserve">, 2008).  Plant material from </w:t>
      </w:r>
      <w:r>
        <w:rPr>
          <w:rFonts w:ascii="Times New Roman" w:hAnsi="Times New Roman" w:cs="Times New Roman"/>
          <w:i/>
          <w:sz w:val="22"/>
          <w:szCs w:val="22"/>
        </w:rPr>
        <w:t>C. erythrophyllum</w:t>
      </w:r>
      <w:r>
        <w:rPr>
          <w:rFonts w:ascii="Times New Roman" w:hAnsi="Times New Roman" w:cs="Times New Roman"/>
          <w:sz w:val="22"/>
          <w:szCs w:val="22"/>
        </w:rPr>
        <w:t xml:space="preserve"> also have high antibacterial activity in their leaves coupled with the presence of flavonoids (Martini &amp; Eloff, 1998).  Plant materials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leaves contain phenolic compounds and have also expressed antimicrobial activity (Madikizela </w:t>
      </w:r>
      <w:r>
        <w:rPr>
          <w:rFonts w:ascii="Times New Roman" w:hAnsi="Times New Roman" w:cs="Times New Roman"/>
          <w:i/>
          <w:sz w:val="22"/>
          <w:szCs w:val="22"/>
        </w:rPr>
        <w:t>et al.</w:t>
      </w:r>
      <w:r>
        <w:rPr>
          <w:rFonts w:ascii="Times New Roman" w:hAnsi="Times New Roman" w:cs="Times New Roman"/>
          <w:sz w:val="22"/>
          <w:szCs w:val="22"/>
        </w:rPr>
        <w:t>, 2013).  Modes of action of plant extracts are typically hard to identify due to complex interactions between plant extracts, feeds, animal and microbes, and response to plant extracts is usually less distinct than ionophore supplementation (Jouany &amp; Morgavi, 2007).</w:t>
      </w:r>
    </w:p>
    <w:p w14:paraId="5B709604" w14:textId="77777777" w:rsidR="00EF65F1" w:rsidRDefault="00EF65F1">
      <w:pPr>
        <w:spacing w:after="0" w:line="360" w:lineRule="auto"/>
        <w:ind w:firstLine="567"/>
        <w:contextualSpacing/>
        <w:jc w:val="both"/>
        <w:rPr>
          <w:rFonts w:ascii="Times New Roman" w:hAnsi="Times New Roman" w:cs="Times New Roman"/>
          <w:sz w:val="22"/>
          <w:szCs w:val="22"/>
        </w:rPr>
      </w:pPr>
    </w:p>
    <w:p w14:paraId="0938114A" w14:textId="604801BF" w:rsidR="00EF65F1" w:rsidRDefault="00484A18">
      <w:pPr>
        <w:pStyle w:val="Heading3"/>
        <w:spacing w:before="0" w:line="360" w:lineRule="auto"/>
        <w:ind w:left="284"/>
        <w:contextualSpacing/>
        <w:jc w:val="both"/>
        <w:rPr>
          <w:rFonts w:ascii="Times New Roman" w:hAnsi="Times New Roman" w:cs="Times New Roman"/>
          <w:color w:val="auto"/>
        </w:rPr>
      </w:pPr>
      <w:bookmarkStart w:id="154" w:name="_Toc2691144"/>
      <w:r>
        <w:rPr>
          <w:rFonts w:ascii="Times New Roman" w:hAnsi="Times New Roman" w:cs="Times New Roman"/>
          <w:color w:val="auto"/>
        </w:rPr>
        <w:t xml:space="preserve">Methane </w:t>
      </w:r>
      <w:r w:rsidR="006D2425">
        <w:rPr>
          <w:rFonts w:ascii="Times New Roman" w:hAnsi="Times New Roman" w:cs="Times New Roman"/>
          <w:color w:val="auto"/>
        </w:rPr>
        <w:t>p</w:t>
      </w:r>
      <w:r>
        <w:rPr>
          <w:rFonts w:ascii="Times New Roman" w:hAnsi="Times New Roman" w:cs="Times New Roman"/>
          <w:color w:val="auto"/>
        </w:rPr>
        <w:t>roduction</w:t>
      </w:r>
      <w:bookmarkEnd w:id="154"/>
    </w:p>
    <w:p w14:paraId="46FC04B2" w14:textId="77777777" w:rsidR="00EF65F1" w:rsidRDefault="00EF65F1">
      <w:pPr>
        <w:spacing w:after="0" w:line="360" w:lineRule="auto"/>
        <w:ind w:firstLine="567"/>
        <w:contextualSpacing/>
        <w:jc w:val="both"/>
        <w:rPr>
          <w:rFonts w:ascii="Times New Roman" w:hAnsi="Times New Roman" w:cs="Times New Roman"/>
          <w:sz w:val="22"/>
          <w:szCs w:val="22"/>
        </w:rPr>
      </w:pPr>
    </w:p>
    <w:p w14:paraId="4D4CFF13"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cumulative volume of methane produced (mL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/g DM) after 2, 4, 8, 12, 24 and 48 hours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of </w:t>
      </w:r>
      <w:r>
        <w:rPr>
          <w:rFonts w:ascii="Times New Roman" w:hAnsi="Times New Roman" w:cs="Times New Roman"/>
          <w:i/>
          <w:sz w:val="22"/>
          <w:szCs w:val="22"/>
        </w:rPr>
        <w:t xml:space="preserve">E. curvula </w:t>
      </w:r>
      <w:r>
        <w:rPr>
          <w:rFonts w:ascii="Times New Roman" w:hAnsi="Times New Roman" w:cs="Times New Roman"/>
          <w:sz w:val="22"/>
          <w:szCs w:val="22"/>
        </w:rPr>
        <w:t>hay treated with seven different plant extracts at a dose level of 50 mg/kg DM is shown in table 2.3.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volumes determined in this study are within the range of values reported by Du Toit </w:t>
      </w:r>
      <w:r>
        <w:rPr>
          <w:rFonts w:ascii="Times New Roman" w:hAnsi="Times New Roman" w:cs="Times New Roman"/>
          <w:i/>
          <w:sz w:val="22"/>
          <w:szCs w:val="22"/>
        </w:rPr>
        <w:t xml:space="preserve">et al </w:t>
      </w:r>
      <w:r>
        <w:rPr>
          <w:rFonts w:ascii="Times New Roman" w:hAnsi="Times New Roman" w:cs="Times New Roman"/>
          <w:sz w:val="22"/>
          <w:szCs w:val="22"/>
        </w:rPr>
        <w:t xml:space="preserve">(2018) for grass species, i.e. 1.4 to 7.78 mL and 5.98 to 14.05 mL for 24- and 48-hours </w:t>
      </w:r>
      <w:r>
        <w:rPr>
          <w:rFonts w:ascii="Times New Roman" w:hAnsi="Times New Roman" w:cs="Times New Roman"/>
          <w:i/>
          <w:sz w:val="22"/>
          <w:szCs w:val="22"/>
        </w:rPr>
        <w:t xml:space="preserve">in vitro </w:t>
      </w:r>
      <w:r>
        <w:rPr>
          <w:rFonts w:ascii="Times New Roman" w:hAnsi="Times New Roman" w:cs="Times New Roman"/>
          <w:sz w:val="22"/>
          <w:szCs w:val="22"/>
        </w:rPr>
        <w:t>incubation, respectively.</w:t>
      </w:r>
    </w:p>
    <w:p w14:paraId="1DE250A6" w14:textId="77777777" w:rsidR="00EF65F1" w:rsidRDefault="00EF65F1">
      <w:pPr>
        <w:spacing w:after="0" w:line="360" w:lineRule="auto"/>
        <w:ind w:firstLine="567"/>
        <w:contextualSpacing/>
        <w:jc w:val="both"/>
        <w:rPr>
          <w:rFonts w:ascii="Times New Roman" w:hAnsi="Times New Roman" w:cs="Times New Roman"/>
          <w:sz w:val="22"/>
          <w:szCs w:val="22"/>
        </w:rPr>
      </w:pPr>
    </w:p>
    <w:p w14:paraId="0E3CB47E" w14:textId="77777777" w:rsidR="00EF65F1" w:rsidRDefault="00484A18" w:rsidP="00364C97">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There were significant (P &lt; 0.05) differences between treatments in terms of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at 2-, 4-, 8- and 12- hours of incubation.  Plant extracts from </w:t>
      </w:r>
      <w:r>
        <w:rPr>
          <w:rFonts w:ascii="Times New Roman" w:hAnsi="Times New Roman" w:cs="Times New Roman"/>
          <w:i/>
          <w:sz w:val="22"/>
          <w:szCs w:val="22"/>
        </w:rPr>
        <w:t xml:space="preserve">E. lysistemon </w:t>
      </w:r>
      <w:r>
        <w:rPr>
          <w:rFonts w:ascii="Times New Roman" w:hAnsi="Times New Roman" w:cs="Times New Roman"/>
          <w:sz w:val="22"/>
          <w:szCs w:val="22"/>
        </w:rPr>
        <w:t>produced significantly less (P &lt; 0.05)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after 2 hours of incubation when compared to 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 xml:space="preserve">and </w:t>
      </w:r>
      <w:r>
        <w:rPr>
          <w:rFonts w:ascii="Times New Roman" w:hAnsi="Times New Roman" w:cs="Times New Roman"/>
          <w:i/>
          <w:sz w:val="22"/>
          <w:szCs w:val="22"/>
        </w:rPr>
        <w:t>H. lucida</w:t>
      </w:r>
      <w:r>
        <w:rPr>
          <w:rFonts w:ascii="Times New Roman" w:hAnsi="Times New Roman" w:cs="Times New Roman"/>
          <w:sz w:val="22"/>
          <w:szCs w:val="22"/>
        </w:rPr>
        <w:t>, however, these differences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were not significantly (P &gt; 0.05) different when compared to the negative control.  At 4 hours of incubation, supplementation of 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resulted in a significantly increased (P &lt; 0.05)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when compared to the negative control.  Plant extracts from </w:t>
      </w:r>
      <w:r>
        <w:rPr>
          <w:rFonts w:ascii="Times New Roman" w:hAnsi="Times New Roman" w:cs="Times New Roman"/>
          <w:i/>
          <w:sz w:val="22"/>
          <w:szCs w:val="22"/>
        </w:rPr>
        <w:t>C. erythrophyllum</w:t>
      </w:r>
      <w:r>
        <w:rPr>
          <w:rFonts w:ascii="Times New Roman" w:hAnsi="Times New Roman" w:cs="Times New Roman"/>
          <w:sz w:val="22"/>
          <w:szCs w:val="22"/>
        </w:rPr>
        <w:t xml:space="preserve"> also produced a significantly higher (P &lt; 0.05)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at 4 hours of incubation when compared to plant extracts from </w:t>
      </w:r>
      <w:r>
        <w:rPr>
          <w:rFonts w:ascii="Times New Roman" w:hAnsi="Times New Roman" w:cs="Times New Roman"/>
          <w:i/>
          <w:sz w:val="22"/>
          <w:szCs w:val="22"/>
        </w:rPr>
        <w:t xml:space="preserve">M. oleifera, H. natalensis, S. birrea </w:t>
      </w:r>
      <w:r>
        <w:rPr>
          <w:rFonts w:ascii="Times New Roman" w:hAnsi="Times New Roman" w:cs="Times New Roman"/>
          <w:sz w:val="22"/>
          <w:szCs w:val="22"/>
        </w:rPr>
        <w:t xml:space="preserve">and </w:t>
      </w:r>
      <w:r>
        <w:rPr>
          <w:rFonts w:ascii="Times New Roman" w:hAnsi="Times New Roman" w:cs="Times New Roman"/>
          <w:i/>
          <w:sz w:val="22"/>
          <w:szCs w:val="22"/>
        </w:rPr>
        <w:t>E. lysistemon</w:t>
      </w:r>
      <w:r>
        <w:rPr>
          <w:rFonts w:ascii="Times New Roman" w:hAnsi="Times New Roman" w:cs="Times New Roman"/>
          <w:sz w:val="22"/>
          <w:szCs w:val="22"/>
        </w:rPr>
        <w:t xml:space="preserve">.  Additionally, 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produced a significantly higher (P &lt; 0.05)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after 8 hours when compared to the plant extracts from </w:t>
      </w:r>
      <w:r>
        <w:rPr>
          <w:rFonts w:ascii="Times New Roman" w:hAnsi="Times New Roman" w:cs="Times New Roman"/>
          <w:i/>
          <w:sz w:val="22"/>
          <w:szCs w:val="22"/>
        </w:rPr>
        <w:t xml:space="preserve">S. birrea </w:t>
      </w:r>
      <w:r>
        <w:rPr>
          <w:rFonts w:ascii="Times New Roman" w:hAnsi="Times New Roman" w:cs="Times New Roman"/>
          <w:sz w:val="22"/>
          <w:szCs w:val="22"/>
        </w:rPr>
        <w:t xml:space="preserve">but this difference was not significant (P &gt; 0.05) when compared to the negative control.  After 12 hours of incubation, plant extracts from </w:t>
      </w:r>
      <w:r>
        <w:rPr>
          <w:rFonts w:ascii="Times New Roman" w:hAnsi="Times New Roman" w:cs="Times New Roman"/>
          <w:i/>
          <w:sz w:val="22"/>
          <w:szCs w:val="22"/>
        </w:rPr>
        <w:t xml:space="preserve">D. viscosa </w:t>
      </w:r>
      <w:r>
        <w:rPr>
          <w:rFonts w:ascii="Times New Roman" w:hAnsi="Times New Roman" w:cs="Times New Roman"/>
          <w:sz w:val="22"/>
          <w:szCs w:val="22"/>
        </w:rPr>
        <w:t>produced a significantly higher (P &lt; 0.05)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when compared to plant extracts from </w:t>
      </w:r>
      <w:r>
        <w:rPr>
          <w:rFonts w:ascii="Times New Roman" w:hAnsi="Times New Roman" w:cs="Times New Roman"/>
          <w:i/>
          <w:sz w:val="22"/>
          <w:szCs w:val="22"/>
        </w:rPr>
        <w:t xml:space="preserve">H. natalensis, S. </w:t>
      </w:r>
    </w:p>
    <w:p w14:paraId="49E5047D" w14:textId="77777777" w:rsidR="00EF65F1" w:rsidRDefault="00EF65F1" w:rsidP="00364C97">
      <w:pPr>
        <w:spacing w:after="0" w:line="360" w:lineRule="auto"/>
        <w:contextualSpacing/>
        <w:jc w:val="both"/>
        <w:rPr>
          <w:rFonts w:ascii="Times New Roman" w:hAnsi="Times New Roman" w:cs="Times New Roman"/>
          <w:sz w:val="22"/>
          <w:szCs w:val="22"/>
        </w:rPr>
        <w:sectPr w:rsidR="00EF65F1">
          <w:pgSz w:w="11906" w:h="16838" w:code="9"/>
          <w:pgMar w:top="1440" w:right="1440" w:bottom="1440" w:left="1440" w:header="567" w:footer="794" w:gutter="0"/>
          <w:cols w:space="708"/>
          <w:docGrid w:linePitch="360"/>
        </w:sectPr>
      </w:pPr>
    </w:p>
    <w:tbl>
      <w:tblPr>
        <w:tblW w:w="14601" w:type="dxa"/>
        <w:jc w:val="center"/>
        <w:tblLook w:val="04A0" w:firstRow="1" w:lastRow="0" w:firstColumn="1" w:lastColumn="0" w:noHBand="0" w:noVBand="1"/>
      </w:tblPr>
      <w:tblGrid>
        <w:gridCol w:w="15340"/>
      </w:tblGrid>
      <w:tr w:rsidR="00EF65F1" w14:paraId="7A8E0E45" w14:textId="77777777">
        <w:trPr>
          <w:trHeight w:val="347"/>
          <w:jc w:val="center"/>
        </w:trPr>
        <w:tc>
          <w:tcPr>
            <w:tcW w:w="14601" w:type="dxa"/>
            <w:tcBorders>
              <w:top w:val="nil"/>
              <w:left w:val="nil"/>
              <w:bottom w:val="nil"/>
              <w:right w:val="nil"/>
            </w:tcBorders>
            <w:shd w:val="clear" w:color="auto" w:fill="auto"/>
            <w:noWrap/>
            <w:vAlign w:val="center"/>
          </w:tcPr>
          <w:p w14:paraId="71EA0A85" w14:textId="263557C4" w:rsidR="00EF65F1" w:rsidRDefault="00484A18">
            <w:pPr>
              <w:pStyle w:val="Caption"/>
              <w:keepNext/>
              <w:spacing w:after="160"/>
              <w:contextualSpacing/>
              <w:jc w:val="both"/>
              <w:rPr>
                <w:rFonts w:ascii="Times New Roman" w:hAnsi="Times New Roman" w:cs="Times New Roman"/>
                <w:i w:val="0"/>
                <w:color w:val="auto"/>
                <w:sz w:val="22"/>
                <w:szCs w:val="22"/>
              </w:rPr>
            </w:pPr>
            <w:bookmarkStart w:id="155" w:name="_Toc2349136"/>
            <w:r>
              <w:rPr>
                <w:rFonts w:ascii="Times New Roman" w:hAnsi="Times New Roman" w:cs="Times New Roman"/>
                <w:i w:val="0"/>
                <w:color w:val="auto"/>
                <w:sz w:val="22"/>
                <w:szCs w:val="22"/>
              </w:rPr>
              <w:lastRenderedPageBreak/>
              <w:t xml:space="preserve">Table </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STYLEREF 1 \s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2</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SEQ Table \* ARABIC \s 1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3</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 xml:space="preserve"> Cumulative methane production (mL CH</w:t>
            </w:r>
            <w:r>
              <w:rPr>
                <w:rFonts w:ascii="Times New Roman" w:hAnsi="Times New Roman" w:cs="Times New Roman"/>
                <w:i w:val="0"/>
                <w:color w:val="auto"/>
                <w:sz w:val="22"/>
                <w:szCs w:val="22"/>
                <w:vertAlign w:val="subscript"/>
              </w:rPr>
              <w:t>4</w:t>
            </w:r>
            <w:r>
              <w:rPr>
                <w:rFonts w:ascii="Times New Roman" w:hAnsi="Times New Roman" w:cs="Times New Roman"/>
                <w:i w:val="0"/>
                <w:color w:val="auto"/>
                <w:sz w:val="22"/>
                <w:szCs w:val="22"/>
              </w:rPr>
              <w:t xml:space="preserve"> /g DM) after 2, 4, 8, 12, 24 and 48 hours of </w:t>
            </w:r>
            <w:r>
              <w:rPr>
                <w:rFonts w:ascii="Times New Roman" w:hAnsi="Times New Roman" w:cs="Times New Roman"/>
                <w:color w:val="auto"/>
                <w:sz w:val="22"/>
                <w:szCs w:val="22"/>
              </w:rPr>
              <w:t>Eragrostis curvula</w:t>
            </w:r>
            <w:r>
              <w:rPr>
                <w:rFonts w:ascii="Times New Roman" w:hAnsi="Times New Roman" w:cs="Times New Roman"/>
                <w:i w:val="0"/>
                <w:color w:val="auto"/>
                <w:sz w:val="22"/>
                <w:szCs w:val="22"/>
              </w:rPr>
              <w:t xml:space="preserve"> hay treated with seven plant extracts at a 50 mg/kg DM dose level</w:t>
            </w:r>
            <w:bookmarkEnd w:id="155"/>
          </w:p>
          <w:tbl>
            <w:tblPr>
              <w:tblW w:w="15124" w:type="dxa"/>
              <w:jc w:val="center"/>
              <w:tblLook w:val="04A0" w:firstRow="1" w:lastRow="0" w:firstColumn="1" w:lastColumn="0" w:noHBand="0" w:noVBand="1"/>
            </w:tblPr>
            <w:tblGrid>
              <w:gridCol w:w="3690"/>
              <w:gridCol w:w="1939"/>
              <w:gridCol w:w="1918"/>
              <w:gridCol w:w="21"/>
              <w:gridCol w:w="1939"/>
              <w:gridCol w:w="2005"/>
              <w:gridCol w:w="1806"/>
              <w:gridCol w:w="1736"/>
              <w:gridCol w:w="70"/>
            </w:tblGrid>
            <w:tr w:rsidR="00EF65F1" w14:paraId="3ECD9D2B" w14:textId="77777777">
              <w:trPr>
                <w:gridAfter w:val="1"/>
                <w:wAfter w:w="23" w:type="pct"/>
                <w:trHeight w:val="315"/>
                <w:jc w:val="center"/>
              </w:trPr>
              <w:tc>
                <w:tcPr>
                  <w:tcW w:w="2495" w:type="pct"/>
                  <w:gridSpan w:val="3"/>
                  <w:tcBorders>
                    <w:top w:val="single" w:sz="4" w:space="0" w:color="auto"/>
                    <w:left w:val="nil"/>
                    <w:bottom w:val="single" w:sz="8" w:space="0" w:color="auto"/>
                    <w:right w:val="nil"/>
                  </w:tcBorders>
                  <w:shd w:val="clear" w:color="auto" w:fill="auto"/>
                  <w:noWrap/>
                  <w:vAlign w:val="bottom"/>
                  <w:hideMark/>
                </w:tcPr>
                <w:p w14:paraId="3AA28BB9" w14:textId="77777777" w:rsidR="00EF65F1" w:rsidRDefault="00EF65F1">
                  <w:pPr>
                    <w:spacing w:after="0" w:line="240" w:lineRule="auto"/>
                    <w:ind w:firstLine="567"/>
                    <w:contextualSpacing/>
                    <w:jc w:val="both"/>
                    <w:rPr>
                      <w:rFonts w:ascii="Times New Roman" w:eastAsia="Times New Roman" w:hAnsi="Times New Roman" w:cs="Times New Roman"/>
                      <w:color w:val="000000"/>
                      <w:sz w:val="22"/>
                      <w:szCs w:val="22"/>
                      <w:lang w:eastAsia="en-ZA"/>
                    </w:rPr>
                  </w:pPr>
                </w:p>
              </w:tc>
              <w:tc>
                <w:tcPr>
                  <w:tcW w:w="2482" w:type="pct"/>
                  <w:gridSpan w:val="5"/>
                  <w:tcBorders>
                    <w:top w:val="single" w:sz="4" w:space="0" w:color="auto"/>
                    <w:left w:val="nil"/>
                    <w:bottom w:val="single" w:sz="8" w:space="0" w:color="auto"/>
                    <w:right w:val="nil"/>
                  </w:tcBorders>
                  <w:shd w:val="clear" w:color="auto" w:fill="auto"/>
                  <w:noWrap/>
                  <w:vAlign w:val="bottom"/>
                  <w:hideMark/>
                </w:tcPr>
                <w:p w14:paraId="08D71858"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Mean ± SD (mL CH</w:t>
                  </w:r>
                  <w:r>
                    <w:rPr>
                      <w:rFonts w:ascii="Times New Roman" w:eastAsia="Times New Roman" w:hAnsi="Times New Roman" w:cs="Times New Roman"/>
                      <w:b/>
                      <w:bCs/>
                      <w:color w:val="000000"/>
                      <w:sz w:val="22"/>
                      <w:szCs w:val="22"/>
                      <w:vertAlign w:val="subscript"/>
                      <w:lang w:eastAsia="en-ZA"/>
                    </w:rPr>
                    <w:t>4</w:t>
                  </w:r>
                  <w:r>
                    <w:rPr>
                      <w:rFonts w:ascii="Times New Roman" w:eastAsia="Times New Roman" w:hAnsi="Times New Roman" w:cs="Times New Roman"/>
                      <w:b/>
                      <w:bCs/>
                      <w:color w:val="000000"/>
                      <w:sz w:val="22"/>
                      <w:szCs w:val="22"/>
                      <w:lang w:eastAsia="en-ZA"/>
                    </w:rPr>
                    <w:t>/g DM)</w:t>
                  </w:r>
                </w:p>
              </w:tc>
            </w:tr>
            <w:tr w:rsidR="00EF65F1" w14:paraId="7814FCDF" w14:textId="77777777">
              <w:trPr>
                <w:trHeight w:val="315"/>
                <w:jc w:val="center"/>
              </w:trPr>
              <w:tc>
                <w:tcPr>
                  <w:tcW w:w="1220" w:type="pct"/>
                  <w:tcBorders>
                    <w:top w:val="nil"/>
                    <w:left w:val="nil"/>
                    <w:bottom w:val="single" w:sz="8" w:space="0" w:color="auto"/>
                    <w:right w:val="nil"/>
                  </w:tcBorders>
                  <w:shd w:val="clear" w:color="auto" w:fill="auto"/>
                  <w:noWrap/>
                  <w:vAlign w:val="bottom"/>
                  <w:hideMark/>
                </w:tcPr>
                <w:p w14:paraId="7113531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641" w:type="pct"/>
                  <w:tcBorders>
                    <w:top w:val="nil"/>
                    <w:left w:val="nil"/>
                    <w:bottom w:val="single" w:sz="8" w:space="0" w:color="auto"/>
                    <w:right w:val="nil"/>
                  </w:tcBorders>
                  <w:shd w:val="clear" w:color="auto" w:fill="auto"/>
                  <w:noWrap/>
                  <w:vAlign w:val="bottom"/>
                  <w:hideMark/>
                </w:tcPr>
                <w:p w14:paraId="0D6846DF"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2h</w:t>
                  </w:r>
                </w:p>
              </w:tc>
              <w:tc>
                <w:tcPr>
                  <w:tcW w:w="641" w:type="pct"/>
                  <w:gridSpan w:val="2"/>
                  <w:tcBorders>
                    <w:top w:val="nil"/>
                    <w:left w:val="nil"/>
                    <w:bottom w:val="single" w:sz="8" w:space="0" w:color="auto"/>
                    <w:right w:val="nil"/>
                  </w:tcBorders>
                  <w:shd w:val="clear" w:color="auto" w:fill="auto"/>
                  <w:noWrap/>
                  <w:vAlign w:val="bottom"/>
                  <w:hideMark/>
                </w:tcPr>
                <w:p w14:paraId="7473897D"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4h</w:t>
                  </w:r>
                </w:p>
              </w:tc>
              <w:tc>
                <w:tcPr>
                  <w:tcW w:w="641" w:type="pct"/>
                  <w:tcBorders>
                    <w:top w:val="nil"/>
                    <w:left w:val="nil"/>
                    <w:bottom w:val="single" w:sz="8" w:space="0" w:color="auto"/>
                    <w:right w:val="nil"/>
                  </w:tcBorders>
                  <w:shd w:val="clear" w:color="auto" w:fill="auto"/>
                  <w:noWrap/>
                  <w:vAlign w:val="bottom"/>
                  <w:hideMark/>
                </w:tcPr>
                <w:p w14:paraId="0F6E6E42"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8h</w:t>
                  </w:r>
                </w:p>
              </w:tc>
              <w:tc>
                <w:tcPr>
                  <w:tcW w:w="663" w:type="pct"/>
                  <w:tcBorders>
                    <w:top w:val="nil"/>
                    <w:left w:val="nil"/>
                    <w:bottom w:val="single" w:sz="8" w:space="0" w:color="auto"/>
                    <w:right w:val="nil"/>
                  </w:tcBorders>
                  <w:shd w:val="clear" w:color="auto" w:fill="auto"/>
                  <w:noWrap/>
                  <w:vAlign w:val="bottom"/>
                  <w:hideMark/>
                </w:tcPr>
                <w:p w14:paraId="1A88988B"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12h</w:t>
                  </w:r>
                </w:p>
              </w:tc>
              <w:tc>
                <w:tcPr>
                  <w:tcW w:w="597" w:type="pct"/>
                  <w:tcBorders>
                    <w:top w:val="nil"/>
                    <w:left w:val="nil"/>
                    <w:bottom w:val="single" w:sz="8" w:space="0" w:color="auto"/>
                    <w:right w:val="nil"/>
                  </w:tcBorders>
                  <w:shd w:val="clear" w:color="auto" w:fill="auto"/>
                  <w:noWrap/>
                  <w:vAlign w:val="bottom"/>
                  <w:hideMark/>
                </w:tcPr>
                <w:p w14:paraId="0550D9AD"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24h</w:t>
                  </w:r>
                </w:p>
              </w:tc>
              <w:tc>
                <w:tcPr>
                  <w:tcW w:w="597" w:type="pct"/>
                  <w:gridSpan w:val="2"/>
                  <w:tcBorders>
                    <w:top w:val="nil"/>
                    <w:left w:val="nil"/>
                    <w:bottom w:val="single" w:sz="8" w:space="0" w:color="auto"/>
                    <w:right w:val="nil"/>
                  </w:tcBorders>
                  <w:shd w:val="clear" w:color="auto" w:fill="auto"/>
                  <w:noWrap/>
                  <w:vAlign w:val="bottom"/>
                  <w:hideMark/>
                </w:tcPr>
                <w:p w14:paraId="09BB78C6"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48h</w:t>
                  </w:r>
                </w:p>
              </w:tc>
            </w:tr>
            <w:tr w:rsidR="00EF65F1" w14:paraId="2CB46461" w14:textId="77777777">
              <w:trPr>
                <w:trHeight w:val="375"/>
                <w:jc w:val="center"/>
              </w:trPr>
              <w:tc>
                <w:tcPr>
                  <w:tcW w:w="1220" w:type="pct"/>
                  <w:tcBorders>
                    <w:top w:val="nil"/>
                    <w:left w:val="nil"/>
                    <w:bottom w:val="nil"/>
                    <w:right w:val="nil"/>
                  </w:tcBorders>
                  <w:shd w:val="clear" w:color="auto" w:fill="auto"/>
                  <w:vAlign w:val="center"/>
                  <w:hideMark/>
                </w:tcPr>
                <w:p w14:paraId="5835F903"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641" w:type="pct"/>
                  <w:tcBorders>
                    <w:top w:val="nil"/>
                    <w:left w:val="nil"/>
                    <w:bottom w:val="nil"/>
                    <w:right w:val="nil"/>
                  </w:tcBorders>
                  <w:shd w:val="clear" w:color="auto" w:fill="auto"/>
                  <w:noWrap/>
                  <w:vAlign w:val="bottom"/>
                  <w:hideMark/>
                </w:tcPr>
                <w:p w14:paraId="299EC7A0"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0.005</w:t>
                  </w:r>
                </w:p>
              </w:tc>
              <w:tc>
                <w:tcPr>
                  <w:tcW w:w="641" w:type="pct"/>
                  <w:gridSpan w:val="2"/>
                  <w:tcBorders>
                    <w:top w:val="nil"/>
                    <w:left w:val="nil"/>
                    <w:bottom w:val="nil"/>
                    <w:right w:val="nil"/>
                  </w:tcBorders>
                  <w:shd w:val="clear" w:color="auto" w:fill="auto"/>
                  <w:noWrap/>
                  <w:vAlign w:val="bottom"/>
                  <w:hideMark/>
                </w:tcPr>
                <w:p w14:paraId="4B5D0F4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0.11</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0.013</w:t>
                  </w:r>
                </w:p>
              </w:tc>
              <w:tc>
                <w:tcPr>
                  <w:tcW w:w="641" w:type="pct"/>
                  <w:tcBorders>
                    <w:top w:val="nil"/>
                    <w:left w:val="nil"/>
                    <w:bottom w:val="nil"/>
                    <w:right w:val="nil"/>
                  </w:tcBorders>
                  <w:shd w:val="clear" w:color="auto" w:fill="auto"/>
                  <w:noWrap/>
                  <w:vAlign w:val="bottom"/>
                  <w:hideMark/>
                </w:tcPr>
                <w:p w14:paraId="4C20F66E"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0.65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0.181</w:t>
                  </w:r>
                </w:p>
              </w:tc>
              <w:tc>
                <w:tcPr>
                  <w:tcW w:w="663" w:type="pct"/>
                  <w:tcBorders>
                    <w:top w:val="nil"/>
                    <w:left w:val="nil"/>
                    <w:bottom w:val="nil"/>
                    <w:right w:val="nil"/>
                  </w:tcBorders>
                  <w:shd w:val="clear" w:color="auto" w:fill="auto"/>
                  <w:noWrap/>
                  <w:vAlign w:val="bottom"/>
                  <w:hideMark/>
                </w:tcPr>
                <w:p w14:paraId="279AC4A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1.28</w:t>
                  </w:r>
                  <w:r>
                    <w:rPr>
                      <w:rFonts w:ascii="Times New Roman" w:eastAsia="Times New Roman" w:hAnsi="Times New Roman" w:cs="Times New Roman"/>
                      <w:sz w:val="22"/>
                      <w:szCs w:val="22"/>
                      <w:vertAlign w:val="superscript"/>
                      <w:lang w:eastAsia="en-ZA"/>
                    </w:rPr>
                    <w:t>abc</w:t>
                  </w:r>
                  <w:r>
                    <w:rPr>
                      <w:rFonts w:ascii="Times New Roman" w:eastAsia="Times New Roman" w:hAnsi="Times New Roman" w:cs="Times New Roman"/>
                      <w:sz w:val="22"/>
                      <w:szCs w:val="22"/>
                      <w:lang w:eastAsia="en-ZA"/>
                    </w:rPr>
                    <w:t xml:space="preserve"> ± 0.031</w:t>
                  </w:r>
                </w:p>
              </w:tc>
              <w:tc>
                <w:tcPr>
                  <w:tcW w:w="597" w:type="pct"/>
                  <w:tcBorders>
                    <w:top w:val="nil"/>
                    <w:left w:val="nil"/>
                    <w:bottom w:val="nil"/>
                    <w:right w:val="nil"/>
                  </w:tcBorders>
                  <w:shd w:val="clear" w:color="auto" w:fill="auto"/>
                  <w:noWrap/>
                  <w:vAlign w:val="bottom"/>
                  <w:hideMark/>
                </w:tcPr>
                <w:p w14:paraId="7777540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3.18 ± 0.172</w:t>
                  </w:r>
                </w:p>
              </w:tc>
              <w:tc>
                <w:tcPr>
                  <w:tcW w:w="597" w:type="pct"/>
                  <w:gridSpan w:val="2"/>
                  <w:tcBorders>
                    <w:top w:val="nil"/>
                    <w:left w:val="nil"/>
                    <w:bottom w:val="nil"/>
                    <w:right w:val="nil"/>
                  </w:tcBorders>
                  <w:shd w:val="clear" w:color="auto" w:fill="auto"/>
                  <w:noWrap/>
                  <w:vAlign w:val="bottom"/>
                  <w:hideMark/>
                </w:tcPr>
                <w:p w14:paraId="37E0233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6.13 ± 0.914</w:t>
                  </w:r>
                </w:p>
              </w:tc>
            </w:tr>
            <w:tr w:rsidR="00EF65F1" w14:paraId="0AF2BAF7" w14:textId="77777777">
              <w:trPr>
                <w:trHeight w:val="375"/>
                <w:jc w:val="center"/>
              </w:trPr>
              <w:tc>
                <w:tcPr>
                  <w:tcW w:w="1220" w:type="pct"/>
                  <w:tcBorders>
                    <w:top w:val="nil"/>
                    <w:left w:val="nil"/>
                    <w:bottom w:val="nil"/>
                    <w:right w:val="nil"/>
                  </w:tcBorders>
                  <w:shd w:val="clear" w:color="auto" w:fill="auto"/>
                  <w:vAlign w:val="center"/>
                  <w:hideMark/>
                </w:tcPr>
                <w:p w14:paraId="1F7B9DD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Rumensin</w:t>
                  </w:r>
                  <w:r>
                    <w:rPr>
                      <w:rFonts w:ascii="Times New Roman" w:eastAsia="Times New Roman" w:hAnsi="Times New Roman" w:cs="Times New Roman"/>
                      <w:sz w:val="22"/>
                      <w:szCs w:val="22"/>
                      <w:vertAlign w:val="superscript"/>
                      <w:lang w:eastAsia="en-ZA"/>
                    </w:rPr>
                    <w:t xml:space="preserve">® </w:t>
                  </w:r>
                  <w:r>
                    <w:rPr>
                      <w:rFonts w:ascii="Times New Roman" w:eastAsia="Times New Roman" w:hAnsi="Times New Roman" w:cs="Times New Roman"/>
                      <w:sz w:val="22"/>
                      <w:szCs w:val="22"/>
                      <w:lang w:eastAsia="en-ZA"/>
                    </w:rPr>
                    <w:t>20%</w:t>
                  </w:r>
                </w:p>
              </w:tc>
              <w:tc>
                <w:tcPr>
                  <w:tcW w:w="641" w:type="pct"/>
                  <w:tcBorders>
                    <w:top w:val="nil"/>
                    <w:left w:val="nil"/>
                    <w:bottom w:val="nil"/>
                    <w:right w:val="nil"/>
                  </w:tcBorders>
                  <w:shd w:val="clear" w:color="auto" w:fill="auto"/>
                  <w:noWrap/>
                  <w:vAlign w:val="bottom"/>
                  <w:hideMark/>
                </w:tcPr>
                <w:p w14:paraId="64629785"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0.012</w:t>
                  </w:r>
                </w:p>
              </w:tc>
              <w:tc>
                <w:tcPr>
                  <w:tcW w:w="641" w:type="pct"/>
                  <w:gridSpan w:val="2"/>
                  <w:tcBorders>
                    <w:top w:val="nil"/>
                    <w:left w:val="nil"/>
                    <w:bottom w:val="nil"/>
                    <w:right w:val="nil"/>
                  </w:tcBorders>
                  <w:shd w:val="clear" w:color="auto" w:fill="auto"/>
                  <w:noWrap/>
                  <w:vAlign w:val="bottom"/>
                  <w:hideMark/>
                </w:tcPr>
                <w:p w14:paraId="355BAA6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0.11</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0.007</w:t>
                  </w:r>
                </w:p>
              </w:tc>
              <w:tc>
                <w:tcPr>
                  <w:tcW w:w="641" w:type="pct"/>
                  <w:tcBorders>
                    <w:top w:val="nil"/>
                    <w:left w:val="nil"/>
                    <w:bottom w:val="nil"/>
                    <w:right w:val="nil"/>
                  </w:tcBorders>
                  <w:shd w:val="clear" w:color="auto" w:fill="auto"/>
                  <w:noWrap/>
                  <w:vAlign w:val="bottom"/>
                  <w:hideMark/>
                </w:tcPr>
                <w:p w14:paraId="18A5DAA9"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0.209</w:t>
                  </w:r>
                </w:p>
              </w:tc>
              <w:tc>
                <w:tcPr>
                  <w:tcW w:w="663" w:type="pct"/>
                  <w:tcBorders>
                    <w:top w:val="nil"/>
                    <w:left w:val="nil"/>
                    <w:bottom w:val="nil"/>
                    <w:right w:val="nil"/>
                  </w:tcBorders>
                  <w:shd w:val="clear" w:color="auto" w:fill="auto"/>
                  <w:noWrap/>
                  <w:vAlign w:val="bottom"/>
                  <w:hideMark/>
                </w:tcPr>
                <w:p w14:paraId="2DC24EA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1.09</w:t>
                  </w:r>
                  <w:r>
                    <w:rPr>
                      <w:rFonts w:ascii="Times New Roman" w:eastAsia="Times New Roman" w:hAnsi="Times New Roman" w:cs="Times New Roman"/>
                      <w:sz w:val="22"/>
                      <w:szCs w:val="22"/>
                      <w:vertAlign w:val="superscript"/>
                      <w:lang w:eastAsia="en-ZA"/>
                    </w:rPr>
                    <w:t>bc</w:t>
                  </w:r>
                  <w:r>
                    <w:rPr>
                      <w:rFonts w:ascii="Times New Roman" w:eastAsia="Times New Roman" w:hAnsi="Times New Roman" w:cs="Times New Roman"/>
                      <w:sz w:val="22"/>
                      <w:szCs w:val="22"/>
                      <w:lang w:eastAsia="en-ZA"/>
                    </w:rPr>
                    <w:t xml:space="preserve"> ± 0.152</w:t>
                  </w:r>
                </w:p>
              </w:tc>
              <w:tc>
                <w:tcPr>
                  <w:tcW w:w="597" w:type="pct"/>
                  <w:tcBorders>
                    <w:top w:val="nil"/>
                    <w:left w:val="nil"/>
                    <w:bottom w:val="nil"/>
                    <w:right w:val="nil"/>
                  </w:tcBorders>
                  <w:shd w:val="clear" w:color="auto" w:fill="auto"/>
                  <w:noWrap/>
                  <w:vAlign w:val="bottom"/>
                  <w:hideMark/>
                </w:tcPr>
                <w:p w14:paraId="12510F0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3.24 ± 0.402</w:t>
                  </w:r>
                </w:p>
              </w:tc>
              <w:tc>
                <w:tcPr>
                  <w:tcW w:w="597" w:type="pct"/>
                  <w:gridSpan w:val="2"/>
                  <w:tcBorders>
                    <w:top w:val="nil"/>
                    <w:left w:val="nil"/>
                    <w:bottom w:val="nil"/>
                    <w:right w:val="nil"/>
                  </w:tcBorders>
                  <w:shd w:val="clear" w:color="auto" w:fill="auto"/>
                  <w:noWrap/>
                  <w:vAlign w:val="bottom"/>
                  <w:hideMark/>
                </w:tcPr>
                <w:p w14:paraId="4ABB352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6.71 ± 0.626</w:t>
                  </w:r>
                </w:p>
              </w:tc>
            </w:tr>
            <w:tr w:rsidR="00EF65F1" w14:paraId="5821D7E8" w14:textId="77777777">
              <w:trPr>
                <w:trHeight w:val="300"/>
                <w:jc w:val="center"/>
              </w:trPr>
              <w:tc>
                <w:tcPr>
                  <w:tcW w:w="1220" w:type="pct"/>
                  <w:tcBorders>
                    <w:top w:val="nil"/>
                    <w:left w:val="nil"/>
                    <w:bottom w:val="nil"/>
                    <w:right w:val="nil"/>
                  </w:tcBorders>
                  <w:shd w:val="clear" w:color="auto" w:fill="auto"/>
                  <w:vAlign w:val="center"/>
                  <w:hideMark/>
                </w:tcPr>
                <w:p w14:paraId="1CFB462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i/>
                      <w:iCs/>
                      <w:sz w:val="22"/>
                      <w:szCs w:val="22"/>
                      <w:lang w:eastAsia="en-ZA"/>
                    </w:rPr>
                    <w:t>Moringa oleifera</w:t>
                  </w:r>
                </w:p>
              </w:tc>
              <w:tc>
                <w:tcPr>
                  <w:tcW w:w="641" w:type="pct"/>
                  <w:tcBorders>
                    <w:top w:val="nil"/>
                    <w:left w:val="nil"/>
                    <w:bottom w:val="nil"/>
                    <w:right w:val="nil"/>
                  </w:tcBorders>
                  <w:shd w:val="clear" w:color="auto" w:fill="auto"/>
                  <w:noWrap/>
                  <w:vAlign w:val="bottom"/>
                  <w:hideMark/>
                </w:tcPr>
                <w:p w14:paraId="6EBE6D3A"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0.019</w:t>
                  </w:r>
                </w:p>
              </w:tc>
              <w:tc>
                <w:tcPr>
                  <w:tcW w:w="641" w:type="pct"/>
                  <w:gridSpan w:val="2"/>
                  <w:tcBorders>
                    <w:top w:val="nil"/>
                    <w:left w:val="nil"/>
                    <w:bottom w:val="nil"/>
                    <w:right w:val="nil"/>
                  </w:tcBorders>
                  <w:shd w:val="clear" w:color="auto" w:fill="auto"/>
                  <w:noWrap/>
                  <w:vAlign w:val="bottom"/>
                  <w:hideMark/>
                </w:tcPr>
                <w:p w14:paraId="1A7132F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0.10</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0.023</w:t>
                  </w:r>
                </w:p>
              </w:tc>
              <w:tc>
                <w:tcPr>
                  <w:tcW w:w="641" w:type="pct"/>
                  <w:tcBorders>
                    <w:top w:val="nil"/>
                    <w:left w:val="nil"/>
                    <w:bottom w:val="nil"/>
                    <w:right w:val="nil"/>
                  </w:tcBorders>
                  <w:shd w:val="clear" w:color="auto" w:fill="auto"/>
                  <w:noWrap/>
                  <w:vAlign w:val="bottom"/>
                  <w:hideMark/>
                </w:tcPr>
                <w:p w14:paraId="03BD3953"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0.54</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0.127</w:t>
                  </w:r>
                </w:p>
              </w:tc>
              <w:tc>
                <w:tcPr>
                  <w:tcW w:w="663" w:type="pct"/>
                  <w:tcBorders>
                    <w:top w:val="nil"/>
                    <w:left w:val="nil"/>
                    <w:bottom w:val="nil"/>
                    <w:right w:val="nil"/>
                  </w:tcBorders>
                  <w:shd w:val="clear" w:color="auto" w:fill="auto"/>
                  <w:noWrap/>
                  <w:vAlign w:val="bottom"/>
                  <w:hideMark/>
                </w:tcPr>
                <w:p w14:paraId="0D4CE7D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1.12</w:t>
                  </w:r>
                  <w:r>
                    <w:rPr>
                      <w:rFonts w:ascii="Times New Roman" w:eastAsia="Times New Roman" w:hAnsi="Times New Roman" w:cs="Times New Roman"/>
                      <w:sz w:val="22"/>
                      <w:szCs w:val="22"/>
                      <w:vertAlign w:val="superscript"/>
                      <w:lang w:eastAsia="en-ZA"/>
                    </w:rPr>
                    <w:t>abc</w:t>
                  </w:r>
                  <w:r>
                    <w:rPr>
                      <w:rFonts w:ascii="Times New Roman" w:eastAsia="Times New Roman" w:hAnsi="Times New Roman" w:cs="Times New Roman"/>
                      <w:sz w:val="22"/>
                      <w:szCs w:val="22"/>
                      <w:lang w:eastAsia="en-ZA"/>
                    </w:rPr>
                    <w:t xml:space="preserve"> ± 0.081</w:t>
                  </w:r>
                </w:p>
              </w:tc>
              <w:tc>
                <w:tcPr>
                  <w:tcW w:w="597" w:type="pct"/>
                  <w:tcBorders>
                    <w:top w:val="nil"/>
                    <w:left w:val="nil"/>
                    <w:bottom w:val="nil"/>
                    <w:right w:val="nil"/>
                  </w:tcBorders>
                  <w:shd w:val="clear" w:color="auto" w:fill="auto"/>
                  <w:noWrap/>
                  <w:vAlign w:val="bottom"/>
                  <w:hideMark/>
                </w:tcPr>
                <w:p w14:paraId="5A66EFE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3.26 ± 0.332</w:t>
                  </w:r>
                </w:p>
              </w:tc>
              <w:tc>
                <w:tcPr>
                  <w:tcW w:w="597" w:type="pct"/>
                  <w:gridSpan w:val="2"/>
                  <w:tcBorders>
                    <w:top w:val="nil"/>
                    <w:left w:val="nil"/>
                    <w:bottom w:val="nil"/>
                    <w:right w:val="nil"/>
                  </w:tcBorders>
                  <w:shd w:val="clear" w:color="auto" w:fill="auto"/>
                  <w:noWrap/>
                  <w:vAlign w:val="bottom"/>
                  <w:hideMark/>
                </w:tcPr>
                <w:p w14:paraId="3A0E781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6.78 ± 0.975</w:t>
                  </w:r>
                </w:p>
              </w:tc>
            </w:tr>
            <w:tr w:rsidR="00EF65F1" w14:paraId="3BC44107" w14:textId="77777777">
              <w:trPr>
                <w:trHeight w:val="375"/>
                <w:jc w:val="center"/>
              </w:trPr>
              <w:tc>
                <w:tcPr>
                  <w:tcW w:w="1220" w:type="pct"/>
                  <w:tcBorders>
                    <w:top w:val="nil"/>
                    <w:left w:val="nil"/>
                    <w:bottom w:val="nil"/>
                    <w:right w:val="nil"/>
                  </w:tcBorders>
                  <w:shd w:val="clear" w:color="auto" w:fill="auto"/>
                  <w:noWrap/>
                  <w:vAlign w:val="bottom"/>
                  <w:hideMark/>
                </w:tcPr>
                <w:p w14:paraId="2564B90C"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641" w:type="pct"/>
                  <w:tcBorders>
                    <w:top w:val="nil"/>
                    <w:left w:val="nil"/>
                    <w:bottom w:val="nil"/>
                    <w:right w:val="nil"/>
                  </w:tcBorders>
                  <w:shd w:val="clear" w:color="auto" w:fill="auto"/>
                  <w:noWrap/>
                  <w:vAlign w:val="bottom"/>
                  <w:hideMark/>
                </w:tcPr>
                <w:p w14:paraId="241BCC11"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0.07</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0.016</w:t>
                  </w:r>
                </w:p>
              </w:tc>
              <w:tc>
                <w:tcPr>
                  <w:tcW w:w="641" w:type="pct"/>
                  <w:gridSpan w:val="2"/>
                  <w:tcBorders>
                    <w:top w:val="nil"/>
                    <w:left w:val="nil"/>
                    <w:bottom w:val="nil"/>
                    <w:right w:val="nil"/>
                  </w:tcBorders>
                  <w:shd w:val="clear" w:color="auto" w:fill="auto"/>
                  <w:noWrap/>
                  <w:vAlign w:val="bottom"/>
                  <w:hideMark/>
                </w:tcPr>
                <w:p w14:paraId="59705F5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0.15</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0.020</w:t>
                  </w:r>
                </w:p>
              </w:tc>
              <w:tc>
                <w:tcPr>
                  <w:tcW w:w="641" w:type="pct"/>
                  <w:tcBorders>
                    <w:top w:val="nil"/>
                    <w:left w:val="nil"/>
                    <w:bottom w:val="nil"/>
                    <w:right w:val="nil"/>
                  </w:tcBorders>
                  <w:shd w:val="clear" w:color="auto" w:fill="auto"/>
                  <w:noWrap/>
                  <w:vAlign w:val="bottom"/>
                  <w:hideMark/>
                </w:tcPr>
                <w:p w14:paraId="4705C101"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0.72</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0.140</w:t>
                  </w:r>
                </w:p>
              </w:tc>
              <w:tc>
                <w:tcPr>
                  <w:tcW w:w="663" w:type="pct"/>
                  <w:tcBorders>
                    <w:top w:val="nil"/>
                    <w:left w:val="nil"/>
                    <w:bottom w:val="nil"/>
                    <w:right w:val="nil"/>
                  </w:tcBorders>
                  <w:shd w:val="clear" w:color="auto" w:fill="auto"/>
                  <w:noWrap/>
                  <w:vAlign w:val="bottom"/>
                  <w:hideMark/>
                </w:tcPr>
                <w:p w14:paraId="42CA12A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1.38</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0.155</w:t>
                  </w:r>
                </w:p>
              </w:tc>
              <w:tc>
                <w:tcPr>
                  <w:tcW w:w="597" w:type="pct"/>
                  <w:tcBorders>
                    <w:top w:val="nil"/>
                    <w:left w:val="nil"/>
                    <w:bottom w:val="nil"/>
                    <w:right w:val="nil"/>
                  </w:tcBorders>
                  <w:shd w:val="clear" w:color="auto" w:fill="auto"/>
                  <w:noWrap/>
                  <w:vAlign w:val="bottom"/>
                  <w:hideMark/>
                </w:tcPr>
                <w:p w14:paraId="5D39D7C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3.55 ± 0.400</w:t>
                  </w:r>
                </w:p>
              </w:tc>
              <w:tc>
                <w:tcPr>
                  <w:tcW w:w="597" w:type="pct"/>
                  <w:gridSpan w:val="2"/>
                  <w:tcBorders>
                    <w:top w:val="nil"/>
                    <w:left w:val="nil"/>
                    <w:bottom w:val="nil"/>
                    <w:right w:val="nil"/>
                  </w:tcBorders>
                  <w:shd w:val="clear" w:color="auto" w:fill="auto"/>
                  <w:noWrap/>
                  <w:vAlign w:val="bottom"/>
                  <w:hideMark/>
                </w:tcPr>
                <w:p w14:paraId="0F188C1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7.83 ± 0.995</w:t>
                  </w:r>
                </w:p>
              </w:tc>
            </w:tr>
            <w:tr w:rsidR="00EF65F1" w14:paraId="2D93A0C8" w14:textId="77777777">
              <w:trPr>
                <w:trHeight w:val="375"/>
                <w:jc w:val="center"/>
              </w:trPr>
              <w:tc>
                <w:tcPr>
                  <w:tcW w:w="1220" w:type="pct"/>
                  <w:tcBorders>
                    <w:top w:val="nil"/>
                    <w:left w:val="nil"/>
                    <w:bottom w:val="nil"/>
                    <w:right w:val="nil"/>
                  </w:tcBorders>
                  <w:shd w:val="clear" w:color="auto" w:fill="auto"/>
                  <w:noWrap/>
                  <w:vAlign w:val="bottom"/>
                  <w:hideMark/>
                </w:tcPr>
                <w:p w14:paraId="72FF731F"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641" w:type="pct"/>
                  <w:tcBorders>
                    <w:top w:val="nil"/>
                    <w:left w:val="nil"/>
                    <w:bottom w:val="nil"/>
                    <w:right w:val="nil"/>
                  </w:tcBorders>
                  <w:shd w:val="clear" w:color="auto" w:fill="auto"/>
                  <w:noWrap/>
                  <w:vAlign w:val="bottom"/>
                  <w:hideMark/>
                </w:tcPr>
                <w:p w14:paraId="4CF05456"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0.016</w:t>
                  </w:r>
                </w:p>
              </w:tc>
              <w:tc>
                <w:tcPr>
                  <w:tcW w:w="641" w:type="pct"/>
                  <w:gridSpan w:val="2"/>
                  <w:tcBorders>
                    <w:top w:val="nil"/>
                    <w:left w:val="nil"/>
                    <w:bottom w:val="nil"/>
                    <w:right w:val="nil"/>
                  </w:tcBorders>
                  <w:shd w:val="clear" w:color="auto" w:fill="auto"/>
                  <w:noWrap/>
                  <w:vAlign w:val="bottom"/>
                  <w:hideMark/>
                </w:tcPr>
                <w:p w14:paraId="3AE04C9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0.13</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0.003</w:t>
                  </w:r>
                </w:p>
              </w:tc>
              <w:tc>
                <w:tcPr>
                  <w:tcW w:w="641" w:type="pct"/>
                  <w:tcBorders>
                    <w:top w:val="nil"/>
                    <w:left w:val="nil"/>
                    <w:bottom w:val="nil"/>
                    <w:right w:val="nil"/>
                  </w:tcBorders>
                  <w:shd w:val="clear" w:color="auto" w:fill="auto"/>
                  <w:noWrap/>
                  <w:vAlign w:val="bottom"/>
                  <w:hideMark/>
                </w:tcPr>
                <w:p w14:paraId="49E84062"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0.67</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0.126</w:t>
                  </w:r>
                </w:p>
              </w:tc>
              <w:tc>
                <w:tcPr>
                  <w:tcW w:w="663" w:type="pct"/>
                  <w:tcBorders>
                    <w:top w:val="nil"/>
                    <w:left w:val="nil"/>
                    <w:bottom w:val="nil"/>
                    <w:right w:val="nil"/>
                  </w:tcBorders>
                  <w:shd w:val="clear" w:color="auto" w:fill="auto"/>
                  <w:noWrap/>
                  <w:vAlign w:val="bottom"/>
                  <w:hideMark/>
                </w:tcPr>
                <w:p w14:paraId="6DFADA8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1.42</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0.132</w:t>
                  </w:r>
                </w:p>
              </w:tc>
              <w:tc>
                <w:tcPr>
                  <w:tcW w:w="597" w:type="pct"/>
                  <w:tcBorders>
                    <w:top w:val="nil"/>
                    <w:left w:val="nil"/>
                    <w:bottom w:val="nil"/>
                    <w:right w:val="nil"/>
                  </w:tcBorders>
                  <w:shd w:val="clear" w:color="auto" w:fill="auto"/>
                  <w:noWrap/>
                  <w:vAlign w:val="bottom"/>
                  <w:hideMark/>
                </w:tcPr>
                <w:p w14:paraId="4B9E283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3.55 ± 0.443</w:t>
                  </w:r>
                </w:p>
              </w:tc>
              <w:tc>
                <w:tcPr>
                  <w:tcW w:w="597" w:type="pct"/>
                  <w:gridSpan w:val="2"/>
                  <w:tcBorders>
                    <w:top w:val="nil"/>
                    <w:left w:val="nil"/>
                    <w:bottom w:val="nil"/>
                    <w:right w:val="nil"/>
                  </w:tcBorders>
                  <w:shd w:val="clear" w:color="auto" w:fill="auto"/>
                  <w:noWrap/>
                  <w:vAlign w:val="bottom"/>
                  <w:hideMark/>
                </w:tcPr>
                <w:p w14:paraId="0D7A72D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7.35 ± 0.678</w:t>
                  </w:r>
                </w:p>
              </w:tc>
            </w:tr>
            <w:tr w:rsidR="00EF65F1" w14:paraId="4BE2F41F" w14:textId="77777777">
              <w:trPr>
                <w:trHeight w:val="375"/>
                <w:jc w:val="center"/>
              </w:trPr>
              <w:tc>
                <w:tcPr>
                  <w:tcW w:w="1220" w:type="pct"/>
                  <w:tcBorders>
                    <w:top w:val="nil"/>
                    <w:left w:val="nil"/>
                    <w:bottom w:val="nil"/>
                    <w:right w:val="nil"/>
                  </w:tcBorders>
                  <w:shd w:val="clear" w:color="auto" w:fill="auto"/>
                  <w:noWrap/>
                  <w:vAlign w:val="bottom"/>
                  <w:hideMark/>
                </w:tcPr>
                <w:p w14:paraId="138BDED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641" w:type="pct"/>
                  <w:tcBorders>
                    <w:top w:val="nil"/>
                    <w:left w:val="nil"/>
                    <w:bottom w:val="nil"/>
                    <w:right w:val="nil"/>
                  </w:tcBorders>
                  <w:shd w:val="clear" w:color="auto" w:fill="auto"/>
                  <w:noWrap/>
                  <w:vAlign w:val="bottom"/>
                  <w:hideMark/>
                </w:tcPr>
                <w:p w14:paraId="77F1A5B0"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0.012</w:t>
                  </w:r>
                </w:p>
              </w:tc>
              <w:tc>
                <w:tcPr>
                  <w:tcW w:w="641" w:type="pct"/>
                  <w:gridSpan w:val="2"/>
                  <w:tcBorders>
                    <w:top w:val="nil"/>
                    <w:left w:val="nil"/>
                    <w:bottom w:val="nil"/>
                    <w:right w:val="nil"/>
                  </w:tcBorders>
                  <w:shd w:val="clear" w:color="auto" w:fill="auto"/>
                  <w:noWrap/>
                  <w:vAlign w:val="bottom"/>
                  <w:hideMark/>
                </w:tcPr>
                <w:p w14:paraId="0C6E563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0.10</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0.012</w:t>
                  </w:r>
                </w:p>
              </w:tc>
              <w:tc>
                <w:tcPr>
                  <w:tcW w:w="641" w:type="pct"/>
                  <w:tcBorders>
                    <w:top w:val="nil"/>
                    <w:left w:val="nil"/>
                    <w:bottom w:val="nil"/>
                    <w:right w:val="nil"/>
                  </w:tcBorders>
                  <w:shd w:val="clear" w:color="auto" w:fill="auto"/>
                  <w:noWrap/>
                  <w:vAlign w:val="bottom"/>
                  <w:hideMark/>
                </w:tcPr>
                <w:p w14:paraId="7FEF1B07"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0.196</w:t>
                  </w:r>
                </w:p>
              </w:tc>
              <w:tc>
                <w:tcPr>
                  <w:tcW w:w="663" w:type="pct"/>
                  <w:tcBorders>
                    <w:top w:val="nil"/>
                    <w:left w:val="nil"/>
                    <w:bottom w:val="nil"/>
                    <w:right w:val="nil"/>
                  </w:tcBorders>
                  <w:shd w:val="clear" w:color="auto" w:fill="auto"/>
                  <w:noWrap/>
                  <w:vAlign w:val="bottom"/>
                  <w:hideMark/>
                </w:tcPr>
                <w:p w14:paraId="12ECD69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1.08</w:t>
                  </w:r>
                  <w:r>
                    <w:rPr>
                      <w:rFonts w:ascii="Times New Roman" w:eastAsia="Times New Roman" w:hAnsi="Times New Roman" w:cs="Times New Roman"/>
                      <w:sz w:val="22"/>
                      <w:szCs w:val="22"/>
                      <w:vertAlign w:val="superscript"/>
                      <w:lang w:eastAsia="en-ZA"/>
                    </w:rPr>
                    <w:t>bc</w:t>
                  </w:r>
                  <w:r>
                    <w:rPr>
                      <w:rFonts w:ascii="Times New Roman" w:eastAsia="Times New Roman" w:hAnsi="Times New Roman" w:cs="Times New Roman"/>
                      <w:sz w:val="22"/>
                      <w:szCs w:val="22"/>
                      <w:lang w:eastAsia="en-ZA"/>
                    </w:rPr>
                    <w:t xml:space="preserve"> ± 0.032</w:t>
                  </w:r>
                </w:p>
              </w:tc>
              <w:tc>
                <w:tcPr>
                  <w:tcW w:w="597" w:type="pct"/>
                  <w:tcBorders>
                    <w:top w:val="nil"/>
                    <w:left w:val="nil"/>
                    <w:bottom w:val="nil"/>
                    <w:right w:val="nil"/>
                  </w:tcBorders>
                  <w:shd w:val="clear" w:color="auto" w:fill="auto"/>
                  <w:noWrap/>
                  <w:vAlign w:val="bottom"/>
                  <w:hideMark/>
                </w:tcPr>
                <w:p w14:paraId="22F0A92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3.29 ± 0.383</w:t>
                  </w:r>
                </w:p>
              </w:tc>
              <w:tc>
                <w:tcPr>
                  <w:tcW w:w="597" w:type="pct"/>
                  <w:gridSpan w:val="2"/>
                  <w:tcBorders>
                    <w:top w:val="nil"/>
                    <w:left w:val="nil"/>
                    <w:bottom w:val="nil"/>
                    <w:right w:val="nil"/>
                  </w:tcBorders>
                  <w:shd w:val="clear" w:color="auto" w:fill="auto"/>
                  <w:noWrap/>
                  <w:vAlign w:val="bottom"/>
                  <w:hideMark/>
                </w:tcPr>
                <w:p w14:paraId="05954E2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6.95 ± 1.447</w:t>
                  </w:r>
                </w:p>
              </w:tc>
            </w:tr>
            <w:tr w:rsidR="00EF65F1" w14:paraId="2DC65A14" w14:textId="77777777">
              <w:trPr>
                <w:trHeight w:val="375"/>
                <w:jc w:val="center"/>
              </w:trPr>
              <w:tc>
                <w:tcPr>
                  <w:tcW w:w="1220" w:type="pct"/>
                  <w:tcBorders>
                    <w:top w:val="nil"/>
                    <w:left w:val="nil"/>
                    <w:bottom w:val="nil"/>
                    <w:right w:val="nil"/>
                  </w:tcBorders>
                  <w:shd w:val="clear" w:color="auto" w:fill="auto"/>
                  <w:noWrap/>
                  <w:vAlign w:val="bottom"/>
                  <w:hideMark/>
                </w:tcPr>
                <w:p w14:paraId="5CBC2293"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641" w:type="pct"/>
                  <w:tcBorders>
                    <w:top w:val="nil"/>
                    <w:left w:val="nil"/>
                    <w:bottom w:val="nil"/>
                    <w:right w:val="nil"/>
                  </w:tcBorders>
                  <w:shd w:val="clear" w:color="auto" w:fill="auto"/>
                  <w:noWrap/>
                  <w:vAlign w:val="bottom"/>
                  <w:hideMark/>
                </w:tcPr>
                <w:p w14:paraId="38874F06"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0.010</w:t>
                  </w:r>
                </w:p>
              </w:tc>
              <w:tc>
                <w:tcPr>
                  <w:tcW w:w="641" w:type="pct"/>
                  <w:gridSpan w:val="2"/>
                  <w:tcBorders>
                    <w:top w:val="nil"/>
                    <w:left w:val="nil"/>
                    <w:bottom w:val="nil"/>
                    <w:right w:val="nil"/>
                  </w:tcBorders>
                  <w:shd w:val="clear" w:color="auto" w:fill="auto"/>
                  <w:noWrap/>
                  <w:vAlign w:val="bottom"/>
                  <w:hideMark/>
                </w:tcPr>
                <w:p w14:paraId="39EF690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0.11</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0.011</w:t>
                  </w:r>
                </w:p>
              </w:tc>
              <w:tc>
                <w:tcPr>
                  <w:tcW w:w="641" w:type="pct"/>
                  <w:tcBorders>
                    <w:top w:val="nil"/>
                    <w:left w:val="nil"/>
                    <w:bottom w:val="nil"/>
                    <w:right w:val="nil"/>
                  </w:tcBorders>
                  <w:shd w:val="clear" w:color="auto" w:fill="auto"/>
                  <w:noWrap/>
                  <w:vAlign w:val="bottom"/>
                  <w:hideMark/>
                </w:tcPr>
                <w:p w14:paraId="309E09B1"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0.53</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0.139</w:t>
                  </w:r>
                </w:p>
              </w:tc>
              <w:tc>
                <w:tcPr>
                  <w:tcW w:w="663" w:type="pct"/>
                  <w:tcBorders>
                    <w:top w:val="nil"/>
                    <w:left w:val="nil"/>
                    <w:bottom w:val="nil"/>
                    <w:right w:val="nil"/>
                  </w:tcBorders>
                  <w:shd w:val="clear" w:color="auto" w:fill="auto"/>
                  <w:noWrap/>
                  <w:vAlign w:val="bottom"/>
                  <w:hideMark/>
                </w:tcPr>
                <w:p w14:paraId="39E6895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1.04</w:t>
                  </w:r>
                  <w:r>
                    <w:rPr>
                      <w:rFonts w:ascii="Times New Roman" w:eastAsia="Times New Roman" w:hAnsi="Times New Roman" w:cs="Times New Roman"/>
                      <w:sz w:val="22"/>
                      <w:szCs w:val="22"/>
                      <w:vertAlign w:val="superscript"/>
                      <w:lang w:eastAsia="en-ZA"/>
                    </w:rPr>
                    <w:t>c</w:t>
                  </w:r>
                  <w:r>
                    <w:rPr>
                      <w:rFonts w:ascii="Times New Roman" w:eastAsia="Times New Roman" w:hAnsi="Times New Roman" w:cs="Times New Roman"/>
                      <w:sz w:val="22"/>
                      <w:szCs w:val="22"/>
                      <w:lang w:eastAsia="en-ZA"/>
                    </w:rPr>
                    <w:t xml:space="preserve"> ± 0.065</w:t>
                  </w:r>
                </w:p>
              </w:tc>
              <w:tc>
                <w:tcPr>
                  <w:tcW w:w="597" w:type="pct"/>
                  <w:tcBorders>
                    <w:top w:val="nil"/>
                    <w:left w:val="nil"/>
                    <w:bottom w:val="nil"/>
                    <w:right w:val="nil"/>
                  </w:tcBorders>
                  <w:shd w:val="clear" w:color="auto" w:fill="auto"/>
                  <w:noWrap/>
                  <w:vAlign w:val="bottom"/>
                  <w:hideMark/>
                </w:tcPr>
                <w:p w14:paraId="5C2FB7B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3.17 ± 0.194</w:t>
                  </w:r>
                </w:p>
              </w:tc>
              <w:tc>
                <w:tcPr>
                  <w:tcW w:w="597" w:type="pct"/>
                  <w:gridSpan w:val="2"/>
                  <w:tcBorders>
                    <w:top w:val="nil"/>
                    <w:left w:val="nil"/>
                    <w:bottom w:val="nil"/>
                    <w:right w:val="nil"/>
                  </w:tcBorders>
                  <w:shd w:val="clear" w:color="auto" w:fill="auto"/>
                  <w:noWrap/>
                  <w:vAlign w:val="bottom"/>
                  <w:hideMark/>
                </w:tcPr>
                <w:p w14:paraId="2DA854B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6.20 ± 0.884</w:t>
                  </w:r>
                </w:p>
              </w:tc>
            </w:tr>
            <w:tr w:rsidR="00EF65F1" w14:paraId="27AE84D9" w14:textId="77777777">
              <w:trPr>
                <w:trHeight w:val="375"/>
                <w:jc w:val="center"/>
              </w:trPr>
              <w:tc>
                <w:tcPr>
                  <w:tcW w:w="1220" w:type="pct"/>
                  <w:tcBorders>
                    <w:top w:val="nil"/>
                    <w:left w:val="nil"/>
                    <w:bottom w:val="nil"/>
                    <w:right w:val="nil"/>
                  </w:tcBorders>
                  <w:shd w:val="clear" w:color="auto" w:fill="auto"/>
                  <w:noWrap/>
                  <w:vAlign w:val="bottom"/>
                  <w:hideMark/>
                </w:tcPr>
                <w:p w14:paraId="2D7A7F3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641" w:type="pct"/>
                  <w:tcBorders>
                    <w:top w:val="nil"/>
                    <w:left w:val="nil"/>
                    <w:bottom w:val="nil"/>
                    <w:right w:val="nil"/>
                  </w:tcBorders>
                  <w:shd w:val="clear" w:color="auto" w:fill="auto"/>
                  <w:noWrap/>
                  <w:vAlign w:val="bottom"/>
                  <w:hideMark/>
                </w:tcPr>
                <w:p w14:paraId="4F6E510B"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0.05</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0.012</w:t>
                  </w:r>
                </w:p>
              </w:tc>
              <w:tc>
                <w:tcPr>
                  <w:tcW w:w="641" w:type="pct"/>
                  <w:gridSpan w:val="2"/>
                  <w:tcBorders>
                    <w:top w:val="nil"/>
                    <w:left w:val="nil"/>
                    <w:bottom w:val="nil"/>
                    <w:right w:val="nil"/>
                  </w:tcBorders>
                  <w:shd w:val="clear" w:color="auto" w:fill="auto"/>
                  <w:noWrap/>
                  <w:vAlign w:val="bottom"/>
                  <w:hideMark/>
                </w:tcPr>
                <w:p w14:paraId="5627EF7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0.11</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0.010</w:t>
                  </w:r>
                </w:p>
              </w:tc>
              <w:tc>
                <w:tcPr>
                  <w:tcW w:w="641" w:type="pct"/>
                  <w:tcBorders>
                    <w:top w:val="nil"/>
                    <w:left w:val="nil"/>
                    <w:bottom w:val="nil"/>
                    <w:right w:val="nil"/>
                  </w:tcBorders>
                  <w:shd w:val="clear" w:color="auto" w:fill="auto"/>
                  <w:noWrap/>
                  <w:vAlign w:val="bottom"/>
                  <w:hideMark/>
                </w:tcPr>
                <w:p w14:paraId="551A3AE3"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0.167</w:t>
                  </w:r>
                </w:p>
              </w:tc>
              <w:tc>
                <w:tcPr>
                  <w:tcW w:w="663" w:type="pct"/>
                  <w:tcBorders>
                    <w:top w:val="nil"/>
                    <w:left w:val="nil"/>
                    <w:bottom w:val="nil"/>
                    <w:right w:val="nil"/>
                  </w:tcBorders>
                  <w:shd w:val="clear" w:color="auto" w:fill="auto"/>
                  <w:noWrap/>
                  <w:vAlign w:val="bottom"/>
                  <w:hideMark/>
                </w:tcPr>
                <w:p w14:paraId="6A51F91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1.09</w:t>
                  </w:r>
                  <w:r>
                    <w:rPr>
                      <w:rFonts w:ascii="Times New Roman" w:eastAsia="Times New Roman" w:hAnsi="Times New Roman" w:cs="Times New Roman"/>
                      <w:sz w:val="22"/>
                      <w:szCs w:val="22"/>
                      <w:vertAlign w:val="superscript"/>
                      <w:lang w:eastAsia="en-ZA"/>
                    </w:rPr>
                    <w:t>bc</w:t>
                  </w:r>
                  <w:r>
                    <w:rPr>
                      <w:rFonts w:ascii="Times New Roman" w:eastAsia="Times New Roman" w:hAnsi="Times New Roman" w:cs="Times New Roman"/>
                      <w:sz w:val="22"/>
                      <w:szCs w:val="22"/>
                      <w:lang w:eastAsia="en-ZA"/>
                    </w:rPr>
                    <w:t xml:space="preserve"> ± 0.096</w:t>
                  </w:r>
                </w:p>
              </w:tc>
              <w:tc>
                <w:tcPr>
                  <w:tcW w:w="597" w:type="pct"/>
                  <w:tcBorders>
                    <w:top w:val="nil"/>
                    <w:left w:val="nil"/>
                    <w:bottom w:val="nil"/>
                    <w:right w:val="nil"/>
                  </w:tcBorders>
                  <w:shd w:val="clear" w:color="auto" w:fill="auto"/>
                  <w:noWrap/>
                  <w:vAlign w:val="bottom"/>
                  <w:hideMark/>
                </w:tcPr>
                <w:p w14:paraId="65CD02E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3.29 ± 0.415</w:t>
                  </w:r>
                </w:p>
              </w:tc>
              <w:tc>
                <w:tcPr>
                  <w:tcW w:w="597" w:type="pct"/>
                  <w:gridSpan w:val="2"/>
                  <w:tcBorders>
                    <w:top w:val="nil"/>
                    <w:left w:val="nil"/>
                    <w:bottom w:val="nil"/>
                    <w:right w:val="nil"/>
                  </w:tcBorders>
                  <w:shd w:val="clear" w:color="auto" w:fill="auto"/>
                  <w:noWrap/>
                  <w:vAlign w:val="bottom"/>
                  <w:hideMark/>
                </w:tcPr>
                <w:p w14:paraId="04F4355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7.62 ± 0.365</w:t>
                  </w:r>
                </w:p>
              </w:tc>
            </w:tr>
            <w:tr w:rsidR="00EF65F1" w14:paraId="370925A7" w14:textId="77777777">
              <w:trPr>
                <w:trHeight w:val="375"/>
                <w:jc w:val="center"/>
              </w:trPr>
              <w:tc>
                <w:tcPr>
                  <w:tcW w:w="1220" w:type="pct"/>
                  <w:tcBorders>
                    <w:top w:val="nil"/>
                    <w:left w:val="nil"/>
                    <w:bottom w:val="nil"/>
                    <w:right w:val="nil"/>
                  </w:tcBorders>
                  <w:shd w:val="clear" w:color="auto" w:fill="auto"/>
                  <w:noWrap/>
                  <w:vAlign w:val="bottom"/>
                  <w:hideMark/>
                </w:tcPr>
                <w:p w14:paraId="6D2B4E8C"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641" w:type="pct"/>
                  <w:tcBorders>
                    <w:top w:val="nil"/>
                    <w:left w:val="nil"/>
                    <w:bottom w:val="nil"/>
                    <w:right w:val="nil"/>
                  </w:tcBorders>
                  <w:shd w:val="clear" w:color="auto" w:fill="auto"/>
                  <w:noWrap/>
                  <w:vAlign w:val="bottom"/>
                  <w:hideMark/>
                </w:tcPr>
                <w:p w14:paraId="31714945"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0.002</w:t>
                  </w:r>
                </w:p>
              </w:tc>
              <w:tc>
                <w:tcPr>
                  <w:tcW w:w="641" w:type="pct"/>
                  <w:gridSpan w:val="2"/>
                  <w:tcBorders>
                    <w:top w:val="nil"/>
                    <w:left w:val="nil"/>
                    <w:bottom w:val="nil"/>
                    <w:right w:val="nil"/>
                  </w:tcBorders>
                  <w:shd w:val="clear" w:color="auto" w:fill="auto"/>
                  <w:noWrap/>
                  <w:vAlign w:val="bottom"/>
                  <w:hideMark/>
                </w:tcPr>
                <w:p w14:paraId="6214B20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0.14</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0.014</w:t>
                  </w:r>
                </w:p>
              </w:tc>
              <w:tc>
                <w:tcPr>
                  <w:tcW w:w="641" w:type="pct"/>
                  <w:tcBorders>
                    <w:top w:val="nil"/>
                    <w:left w:val="nil"/>
                    <w:bottom w:val="nil"/>
                    <w:right w:val="nil"/>
                  </w:tcBorders>
                  <w:shd w:val="clear" w:color="auto" w:fill="auto"/>
                  <w:noWrap/>
                  <w:vAlign w:val="bottom"/>
                  <w:hideMark/>
                </w:tcPr>
                <w:p w14:paraId="4EFDDDAD"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0.56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0.122</w:t>
                  </w:r>
                </w:p>
              </w:tc>
              <w:tc>
                <w:tcPr>
                  <w:tcW w:w="663" w:type="pct"/>
                  <w:tcBorders>
                    <w:top w:val="nil"/>
                    <w:left w:val="nil"/>
                    <w:bottom w:val="nil"/>
                    <w:right w:val="nil"/>
                  </w:tcBorders>
                  <w:shd w:val="clear" w:color="auto" w:fill="auto"/>
                  <w:noWrap/>
                  <w:vAlign w:val="bottom"/>
                  <w:hideMark/>
                </w:tcPr>
                <w:p w14:paraId="7C2E25B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1.33</w:t>
                  </w:r>
                  <w:r>
                    <w:rPr>
                      <w:rFonts w:ascii="Times New Roman" w:eastAsia="Times New Roman" w:hAnsi="Times New Roman" w:cs="Times New Roman"/>
                      <w:sz w:val="22"/>
                      <w:szCs w:val="22"/>
                      <w:vertAlign w:val="superscript"/>
                      <w:lang w:eastAsia="en-ZA"/>
                    </w:rPr>
                    <w:t>abc</w:t>
                  </w:r>
                  <w:r>
                    <w:rPr>
                      <w:rFonts w:ascii="Times New Roman" w:eastAsia="Times New Roman" w:hAnsi="Times New Roman" w:cs="Times New Roman"/>
                      <w:sz w:val="22"/>
                      <w:szCs w:val="22"/>
                      <w:lang w:eastAsia="en-ZA"/>
                    </w:rPr>
                    <w:t xml:space="preserve"> ± 0.125</w:t>
                  </w:r>
                </w:p>
              </w:tc>
              <w:tc>
                <w:tcPr>
                  <w:tcW w:w="597" w:type="pct"/>
                  <w:tcBorders>
                    <w:top w:val="nil"/>
                    <w:left w:val="nil"/>
                    <w:bottom w:val="nil"/>
                    <w:right w:val="nil"/>
                  </w:tcBorders>
                  <w:shd w:val="clear" w:color="auto" w:fill="auto"/>
                  <w:noWrap/>
                  <w:vAlign w:val="bottom"/>
                  <w:hideMark/>
                </w:tcPr>
                <w:p w14:paraId="1169BE9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3.39 ± 0.427</w:t>
                  </w:r>
                </w:p>
              </w:tc>
              <w:tc>
                <w:tcPr>
                  <w:tcW w:w="597" w:type="pct"/>
                  <w:gridSpan w:val="2"/>
                  <w:tcBorders>
                    <w:top w:val="nil"/>
                    <w:left w:val="nil"/>
                    <w:bottom w:val="nil"/>
                    <w:right w:val="nil"/>
                  </w:tcBorders>
                  <w:shd w:val="clear" w:color="auto" w:fill="auto"/>
                  <w:noWrap/>
                  <w:vAlign w:val="bottom"/>
                  <w:hideMark/>
                </w:tcPr>
                <w:p w14:paraId="20C169E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6.90 ± 0.876</w:t>
                  </w:r>
                </w:p>
              </w:tc>
            </w:tr>
            <w:tr w:rsidR="00EF65F1" w14:paraId="20061583" w14:textId="77777777">
              <w:trPr>
                <w:trHeight w:val="375"/>
                <w:jc w:val="center"/>
              </w:trPr>
              <w:tc>
                <w:tcPr>
                  <w:tcW w:w="1220" w:type="pct"/>
                  <w:tcBorders>
                    <w:top w:val="nil"/>
                    <w:left w:val="nil"/>
                    <w:bottom w:val="nil"/>
                    <w:right w:val="nil"/>
                  </w:tcBorders>
                  <w:shd w:val="clear" w:color="auto" w:fill="auto"/>
                  <w:noWrap/>
                  <w:vAlign w:val="bottom"/>
                  <w:hideMark/>
                </w:tcPr>
                <w:p w14:paraId="74F643D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641" w:type="pct"/>
                  <w:tcBorders>
                    <w:top w:val="nil"/>
                    <w:left w:val="nil"/>
                    <w:bottom w:val="nil"/>
                    <w:right w:val="nil"/>
                  </w:tcBorders>
                  <w:shd w:val="clear" w:color="auto" w:fill="auto"/>
                  <w:noWrap/>
                  <w:vAlign w:val="bottom"/>
                  <w:hideMark/>
                </w:tcPr>
                <w:p w14:paraId="26969170"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0.07</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0.013</w:t>
                  </w:r>
                </w:p>
              </w:tc>
              <w:tc>
                <w:tcPr>
                  <w:tcW w:w="641" w:type="pct"/>
                  <w:gridSpan w:val="2"/>
                  <w:tcBorders>
                    <w:top w:val="nil"/>
                    <w:left w:val="nil"/>
                    <w:bottom w:val="nil"/>
                    <w:right w:val="nil"/>
                  </w:tcBorders>
                  <w:shd w:val="clear" w:color="auto" w:fill="auto"/>
                  <w:noWrap/>
                  <w:vAlign w:val="bottom"/>
                  <w:hideMark/>
                </w:tcPr>
                <w:p w14:paraId="79563DD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0.14</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0.024</w:t>
                  </w:r>
                </w:p>
              </w:tc>
              <w:tc>
                <w:tcPr>
                  <w:tcW w:w="641" w:type="pct"/>
                  <w:tcBorders>
                    <w:top w:val="nil"/>
                    <w:left w:val="nil"/>
                    <w:bottom w:val="nil"/>
                    <w:right w:val="nil"/>
                  </w:tcBorders>
                  <w:shd w:val="clear" w:color="auto" w:fill="auto"/>
                  <w:noWrap/>
                  <w:vAlign w:val="bottom"/>
                  <w:hideMark/>
                </w:tcPr>
                <w:p w14:paraId="7C8F5E3B" w14:textId="77777777" w:rsidR="00EF65F1" w:rsidRDefault="00484A18">
                  <w:pPr>
                    <w:spacing w:after="0" w:line="240" w:lineRule="auto"/>
                    <w:contextualSpacing/>
                    <w:jc w:val="both"/>
                    <w:rPr>
                      <w:rFonts w:ascii="Times New Roman" w:eastAsia="Times New Roman" w:hAnsi="Times New Roman" w:cs="Times New Roman"/>
                      <w:sz w:val="22"/>
                      <w:szCs w:val="22"/>
                      <w:vertAlign w:val="superscript"/>
                      <w:lang w:eastAsia="en-ZA"/>
                    </w:rPr>
                  </w:pPr>
                  <w:r>
                    <w:rPr>
                      <w:rFonts w:ascii="Times New Roman" w:eastAsia="Times New Roman" w:hAnsi="Times New Roman" w:cs="Times New Roman"/>
                      <w:sz w:val="22"/>
                      <w:szCs w:val="22"/>
                      <w:lang w:eastAsia="en-ZA"/>
                    </w:rPr>
                    <w:t>0.62</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0.132</w:t>
                  </w:r>
                </w:p>
              </w:tc>
              <w:tc>
                <w:tcPr>
                  <w:tcW w:w="663" w:type="pct"/>
                  <w:tcBorders>
                    <w:top w:val="nil"/>
                    <w:left w:val="nil"/>
                    <w:bottom w:val="nil"/>
                    <w:right w:val="nil"/>
                  </w:tcBorders>
                  <w:shd w:val="clear" w:color="auto" w:fill="auto"/>
                  <w:noWrap/>
                  <w:vAlign w:val="bottom"/>
                  <w:hideMark/>
                </w:tcPr>
                <w:p w14:paraId="231F0AD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1.26</w:t>
                  </w:r>
                  <w:r>
                    <w:rPr>
                      <w:rFonts w:ascii="Times New Roman" w:eastAsia="Times New Roman" w:hAnsi="Times New Roman" w:cs="Times New Roman"/>
                      <w:sz w:val="22"/>
                      <w:szCs w:val="22"/>
                      <w:vertAlign w:val="superscript"/>
                      <w:lang w:eastAsia="en-ZA"/>
                    </w:rPr>
                    <w:t>abc</w:t>
                  </w:r>
                  <w:r>
                    <w:rPr>
                      <w:rFonts w:ascii="Times New Roman" w:eastAsia="Times New Roman" w:hAnsi="Times New Roman" w:cs="Times New Roman"/>
                      <w:sz w:val="22"/>
                      <w:szCs w:val="22"/>
                      <w:lang w:eastAsia="en-ZA"/>
                    </w:rPr>
                    <w:t xml:space="preserve"> ± 0.126</w:t>
                  </w:r>
                </w:p>
              </w:tc>
              <w:tc>
                <w:tcPr>
                  <w:tcW w:w="597" w:type="pct"/>
                  <w:tcBorders>
                    <w:top w:val="nil"/>
                    <w:left w:val="nil"/>
                    <w:bottom w:val="nil"/>
                    <w:right w:val="nil"/>
                  </w:tcBorders>
                  <w:shd w:val="clear" w:color="auto" w:fill="auto"/>
                  <w:noWrap/>
                  <w:vAlign w:val="bottom"/>
                  <w:hideMark/>
                </w:tcPr>
                <w:p w14:paraId="78EF113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3.20 ± 0.389</w:t>
                  </w:r>
                </w:p>
              </w:tc>
              <w:tc>
                <w:tcPr>
                  <w:tcW w:w="597" w:type="pct"/>
                  <w:gridSpan w:val="2"/>
                  <w:tcBorders>
                    <w:top w:val="nil"/>
                    <w:left w:val="nil"/>
                    <w:bottom w:val="nil"/>
                    <w:right w:val="nil"/>
                  </w:tcBorders>
                  <w:shd w:val="clear" w:color="auto" w:fill="auto"/>
                  <w:noWrap/>
                  <w:vAlign w:val="bottom"/>
                  <w:hideMark/>
                </w:tcPr>
                <w:p w14:paraId="0673B57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5.46 ± 0.912</w:t>
                  </w:r>
                </w:p>
              </w:tc>
            </w:tr>
            <w:tr w:rsidR="00EF65F1" w14:paraId="6D857159" w14:textId="77777777">
              <w:trPr>
                <w:trHeight w:val="300"/>
                <w:jc w:val="center"/>
              </w:trPr>
              <w:tc>
                <w:tcPr>
                  <w:tcW w:w="1220" w:type="pct"/>
                  <w:tcBorders>
                    <w:top w:val="nil"/>
                    <w:left w:val="nil"/>
                    <w:bottom w:val="nil"/>
                    <w:right w:val="nil"/>
                  </w:tcBorders>
                  <w:shd w:val="clear" w:color="auto" w:fill="auto"/>
                  <w:noWrap/>
                  <w:vAlign w:val="bottom"/>
                  <w:hideMark/>
                </w:tcPr>
                <w:p w14:paraId="247416A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641" w:type="pct"/>
                  <w:tcBorders>
                    <w:top w:val="nil"/>
                    <w:left w:val="nil"/>
                    <w:bottom w:val="nil"/>
                    <w:right w:val="nil"/>
                  </w:tcBorders>
                  <w:shd w:val="clear" w:color="auto" w:fill="auto"/>
                  <w:noWrap/>
                  <w:vAlign w:val="bottom"/>
                  <w:hideMark/>
                </w:tcPr>
                <w:p w14:paraId="1496239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0.003</w:t>
                  </w:r>
                </w:p>
              </w:tc>
              <w:tc>
                <w:tcPr>
                  <w:tcW w:w="641" w:type="pct"/>
                  <w:gridSpan w:val="2"/>
                  <w:tcBorders>
                    <w:top w:val="nil"/>
                    <w:left w:val="nil"/>
                    <w:bottom w:val="nil"/>
                    <w:right w:val="nil"/>
                  </w:tcBorders>
                  <w:shd w:val="clear" w:color="auto" w:fill="auto"/>
                  <w:noWrap/>
                  <w:vAlign w:val="bottom"/>
                  <w:hideMark/>
                </w:tcPr>
                <w:p w14:paraId="5EE03BA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0.004</w:t>
                  </w:r>
                </w:p>
              </w:tc>
              <w:tc>
                <w:tcPr>
                  <w:tcW w:w="641" w:type="pct"/>
                  <w:tcBorders>
                    <w:top w:val="nil"/>
                    <w:left w:val="nil"/>
                    <w:bottom w:val="nil"/>
                    <w:right w:val="nil"/>
                  </w:tcBorders>
                  <w:shd w:val="clear" w:color="auto" w:fill="auto"/>
                  <w:noWrap/>
                  <w:vAlign w:val="bottom"/>
                  <w:hideMark/>
                </w:tcPr>
                <w:p w14:paraId="5B5D9A2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0.026</w:t>
                  </w:r>
                </w:p>
              </w:tc>
              <w:tc>
                <w:tcPr>
                  <w:tcW w:w="663" w:type="pct"/>
                  <w:tcBorders>
                    <w:top w:val="nil"/>
                    <w:left w:val="nil"/>
                    <w:bottom w:val="nil"/>
                    <w:right w:val="nil"/>
                  </w:tcBorders>
                  <w:shd w:val="clear" w:color="auto" w:fill="auto"/>
                  <w:noWrap/>
                  <w:vAlign w:val="bottom"/>
                  <w:hideMark/>
                </w:tcPr>
                <w:p w14:paraId="30EEFF1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0.030</w:t>
                  </w:r>
                </w:p>
              </w:tc>
              <w:tc>
                <w:tcPr>
                  <w:tcW w:w="597" w:type="pct"/>
                  <w:tcBorders>
                    <w:top w:val="nil"/>
                    <w:left w:val="nil"/>
                    <w:bottom w:val="nil"/>
                    <w:right w:val="nil"/>
                  </w:tcBorders>
                  <w:shd w:val="clear" w:color="auto" w:fill="auto"/>
                  <w:noWrap/>
                  <w:vAlign w:val="bottom"/>
                  <w:hideMark/>
                </w:tcPr>
                <w:p w14:paraId="5BBCEF0B"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0.061</w:t>
                  </w:r>
                </w:p>
              </w:tc>
              <w:tc>
                <w:tcPr>
                  <w:tcW w:w="597" w:type="pct"/>
                  <w:gridSpan w:val="2"/>
                  <w:tcBorders>
                    <w:top w:val="nil"/>
                    <w:left w:val="nil"/>
                    <w:bottom w:val="nil"/>
                    <w:right w:val="nil"/>
                  </w:tcBorders>
                  <w:shd w:val="clear" w:color="auto" w:fill="auto"/>
                  <w:noWrap/>
                  <w:vAlign w:val="bottom"/>
                  <w:hideMark/>
                </w:tcPr>
                <w:p w14:paraId="7A2B631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0.187</w:t>
                  </w:r>
                </w:p>
              </w:tc>
            </w:tr>
            <w:tr w:rsidR="00EF65F1" w14:paraId="0F9B976A" w14:textId="77777777">
              <w:trPr>
                <w:trHeight w:val="300"/>
                <w:jc w:val="center"/>
              </w:trPr>
              <w:tc>
                <w:tcPr>
                  <w:tcW w:w="1220" w:type="pct"/>
                  <w:tcBorders>
                    <w:top w:val="nil"/>
                    <w:left w:val="nil"/>
                    <w:bottom w:val="single" w:sz="4" w:space="0" w:color="auto"/>
                    <w:right w:val="nil"/>
                  </w:tcBorders>
                  <w:shd w:val="clear" w:color="auto" w:fill="auto"/>
                  <w:noWrap/>
                  <w:vAlign w:val="bottom"/>
                  <w:hideMark/>
                </w:tcPr>
                <w:p w14:paraId="335A573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641" w:type="pct"/>
                  <w:tcBorders>
                    <w:top w:val="nil"/>
                    <w:left w:val="nil"/>
                    <w:bottom w:val="single" w:sz="4" w:space="0" w:color="auto"/>
                    <w:right w:val="nil"/>
                  </w:tcBorders>
                  <w:shd w:val="clear" w:color="auto" w:fill="auto"/>
                  <w:noWrap/>
                  <w:vAlign w:val="bottom"/>
                  <w:hideMark/>
                </w:tcPr>
                <w:p w14:paraId="2BD1E5B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0.02</w:t>
                  </w:r>
                </w:p>
              </w:tc>
              <w:tc>
                <w:tcPr>
                  <w:tcW w:w="641" w:type="pct"/>
                  <w:gridSpan w:val="2"/>
                  <w:tcBorders>
                    <w:top w:val="nil"/>
                    <w:left w:val="nil"/>
                    <w:bottom w:val="single" w:sz="4" w:space="0" w:color="auto"/>
                    <w:right w:val="nil"/>
                  </w:tcBorders>
                  <w:shd w:val="clear" w:color="auto" w:fill="auto"/>
                  <w:noWrap/>
                  <w:vAlign w:val="bottom"/>
                  <w:hideMark/>
                </w:tcPr>
                <w:p w14:paraId="2E66E23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0.002</w:t>
                  </w:r>
                </w:p>
              </w:tc>
              <w:tc>
                <w:tcPr>
                  <w:tcW w:w="641" w:type="pct"/>
                  <w:tcBorders>
                    <w:top w:val="nil"/>
                    <w:left w:val="nil"/>
                    <w:bottom w:val="single" w:sz="4" w:space="0" w:color="auto"/>
                    <w:right w:val="nil"/>
                  </w:tcBorders>
                  <w:shd w:val="clear" w:color="auto" w:fill="auto"/>
                  <w:noWrap/>
                  <w:vAlign w:val="bottom"/>
                  <w:hideMark/>
                </w:tcPr>
                <w:p w14:paraId="3C023DE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0.05</w:t>
                  </w:r>
                </w:p>
              </w:tc>
              <w:tc>
                <w:tcPr>
                  <w:tcW w:w="663" w:type="pct"/>
                  <w:tcBorders>
                    <w:top w:val="nil"/>
                    <w:left w:val="nil"/>
                    <w:bottom w:val="single" w:sz="4" w:space="0" w:color="auto"/>
                    <w:right w:val="nil"/>
                  </w:tcBorders>
                  <w:shd w:val="clear" w:color="auto" w:fill="auto"/>
                  <w:noWrap/>
                  <w:vAlign w:val="bottom"/>
                  <w:hideMark/>
                </w:tcPr>
                <w:p w14:paraId="3D0E083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0.002</w:t>
                  </w:r>
                </w:p>
              </w:tc>
              <w:tc>
                <w:tcPr>
                  <w:tcW w:w="597" w:type="pct"/>
                  <w:tcBorders>
                    <w:top w:val="nil"/>
                    <w:left w:val="nil"/>
                    <w:bottom w:val="single" w:sz="4" w:space="0" w:color="auto"/>
                    <w:right w:val="nil"/>
                  </w:tcBorders>
                  <w:shd w:val="clear" w:color="auto" w:fill="auto"/>
                  <w:noWrap/>
                  <w:vAlign w:val="bottom"/>
                  <w:hideMark/>
                </w:tcPr>
                <w:p w14:paraId="5E5EB18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0.31</w:t>
                  </w:r>
                </w:p>
              </w:tc>
              <w:tc>
                <w:tcPr>
                  <w:tcW w:w="597" w:type="pct"/>
                  <w:gridSpan w:val="2"/>
                  <w:tcBorders>
                    <w:top w:val="nil"/>
                    <w:left w:val="nil"/>
                    <w:bottom w:val="single" w:sz="4" w:space="0" w:color="auto"/>
                    <w:right w:val="nil"/>
                  </w:tcBorders>
                  <w:shd w:val="clear" w:color="auto" w:fill="auto"/>
                  <w:noWrap/>
                  <w:vAlign w:val="bottom"/>
                  <w:hideMark/>
                </w:tcPr>
                <w:p w14:paraId="71CE3A3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0.07</w:t>
                  </w:r>
                </w:p>
              </w:tc>
            </w:tr>
          </w:tbl>
          <w:p w14:paraId="5F0C6BBD" w14:textId="77777777" w:rsidR="00EF65F1" w:rsidRDefault="00EF65F1">
            <w:pPr>
              <w:spacing w:after="0" w:line="240" w:lineRule="auto"/>
              <w:ind w:firstLine="567"/>
              <w:contextualSpacing/>
              <w:jc w:val="both"/>
              <w:rPr>
                <w:rFonts w:ascii="Times New Roman" w:eastAsia="Times New Roman" w:hAnsi="Times New Roman" w:cs="Times New Roman"/>
                <w:sz w:val="22"/>
                <w:szCs w:val="22"/>
                <w:lang w:eastAsia="en-ZA"/>
              </w:rPr>
            </w:pPr>
          </w:p>
        </w:tc>
      </w:tr>
      <w:tr w:rsidR="00EF65F1" w14:paraId="72866267" w14:textId="77777777">
        <w:trPr>
          <w:trHeight w:val="511"/>
          <w:jc w:val="center"/>
        </w:trPr>
        <w:tc>
          <w:tcPr>
            <w:tcW w:w="14601" w:type="dxa"/>
            <w:tcBorders>
              <w:top w:val="nil"/>
              <w:left w:val="nil"/>
              <w:bottom w:val="nil"/>
              <w:right w:val="nil"/>
            </w:tcBorders>
            <w:shd w:val="clear" w:color="auto" w:fill="auto"/>
            <w:noWrap/>
            <w:vAlign w:val="center"/>
          </w:tcPr>
          <w:p w14:paraId="36C65A63" w14:textId="77777777" w:rsidR="00EF65F1" w:rsidRDefault="00484A18">
            <w:pPr>
              <w:spacing w:before="160"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vertAlign w:val="superscript"/>
                <w:lang w:eastAsia="en-ZA"/>
              </w:rPr>
              <w:t>abc</w:t>
            </w:r>
            <w:r>
              <w:rPr>
                <w:rFonts w:ascii="Times New Roman" w:eastAsia="Times New Roman" w:hAnsi="Times New Roman" w:cs="Times New Roman"/>
                <w:sz w:val="22"/>
                <w:szCs w:val="22"/>
                <w:lang w:eastAsia="en-ZA"/>
              </w:rPr>
              <w:t xml:space="preserve"> Within a column:  Means with different superscripts differ (P &lt; 0.05)</w:t>
            </w:r>
          </w:p>
        </w:tc>
      </w:tr>
    </w:tbl>
    <w:p w14:paraId="2879EC7A" w14:textId="77777777" w:rsidR="00EF65F1" w:rsidRDefault="00EF65F1">
      <w:pPr>
        <w:spacing w:after="0" w:line="360" w:lineRule="auto"/>
        <w:contextualSpacing/>
        <w:jc w:val="both"/>
        <w:rPr>
          <w:rFonts w:ascii="Times New Roman" w:hAnsi="Times New Roman" w:cs="Times New Roman"/>
          <w:sz w:val="22"/>
          <w:szCs w:val="22"/>
        </w:rPr>
        <w:sectPr w:rsidR="00EF65F1">
          <w:pgSz w:w="16838" w:h="11906" w:orient="landscape" w:code="9"/>
          <w:pgMar w:top="1440" w:right="1440" w:bottom="1440" w:left="1440" w:header="567" w:footer="794" w:gutter="0"/>
          <w:cols w:space="708"/>
          <w:vAlign w:val="center"/>
          <w:docGrid w:linePitch="360"/>
        </w:sectPr>
      </w:pPr>
    </w:p>
    <w:p w14:paraId="6871BCE4" w14:textId="77777777" w:rsidR="00364C97" w:rsidRDefault="00364C97" w:rsidP="00266643">
      <w:pPr>
        <w:spacing w:after="0" w:line="360" w:lineRule="auto"/>
        <w:contextualSpacing/>
        <w:jc w:val="both"/>
        <w:rPr>
          <w:rFonts w:ascii="Times New Roman" w:hAnsi="Times New Roman" w:cs="Times New Roman"/>
          <w:sz w:val="22"/>
          <w:szCs w:val="22"/>
        </w:rPr>
      </w:pPr>
      <w:r>
        <w:rPr>
          <w:rFonts w:ascii="Times New Roman" w:hAnsi="Times New Roman" w:cs="Times New Roman"/>
          <w:i/>
          <w:sz w:val="22"/>
          <w:szCs w:val="22"/>
        </w:rPr>
        <w:lastRenderedPageBreak/>
        <w:t xml:space="preserve">birrea, E. lysistemon </w:t>
      </w:r>
      <w:r>
        <w:rPr>
          <w:rFonts w:ascii="Times New Roman" w:hAnsi="Times New Roman" w:cs="Times New Roman"/>
          <w:sz w:val="22"/>
          <w:szCs w:val="22"/>
        </w:rPr>
        <w:t>and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however, this difference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was not significant (P &gt; 0.05) when compared to the negative control.  Additionally, plant extracts from </w:t>
      </w:r>
      <w:r>
        <w:rPr>
          <w:rFonts w:ascii="Times New Roman" w:hAnsi="Times New Roman" w:cs="Times New Roman"/>
          <w:i/>
          <w:sz w:val="22"/>
          <w:szCs w:val="22"/>
        </w:rPr>
        <w:t xml:space="preserve">S. birrea </w:t>
      </w:r>
      <w:r>
        <w:rPr>
          <w:rFonts w:ascii="Times New Roman" w:hAnsi="Times New Roman" w:cs="Times New Roman"/>
          <w:sz w:val="22"/>
          <w:szCs w:val="22"/>
        </w:rPr>
        <w:t>produced less (P &lt; 0.05)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after 12 hours of incubation than 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and</w:t>
      </w:r>
      <w:r>
        <w:rPr>
          <w:rFonts w:ascii="Times New Roman" w:hAnsi="Times New Roman" w:cs="Times New Roman"/>
          <w:i/>
          <w:sz w:val="22"/>
          <w:szCs w:val="22"/>
        </w:rPr>
        <w:t xml:space="preserve"> D. viscosa</w:t>
      </w:r>
      <w:r>
        <w:rPr>
          <w:rFonts w:ascii="Times New Roman" w:hAnsi="Times New Roman" w:cs="Times New Roman"/>
          <w:sz w:val="22"/>
          <w:szCs w:val="22"/>
        </w:rPr>
        <w:t>.</w:t>
      </w:r>
    </w:p>
    <w:p w14:paraId="6E6855FC" w14:textId="77777777" w:rsidR="00364C97" w:rsidRDefault="00364C97" w:rsidP="00364C97">
      <w:pPr>
        <w:spacing w:after="0" w:line="360" w:lineRule="auto"/>
        <w:ind w:firstLine="567"/>
        <w:contextualSpacing/>
        <w:jc w:val="both"/>
        <w:rPr>
          <w:rFonts w:ascii="Times New Roman" w:hAnsi="Times New Roman" w:cs="Times New Roman"/>
          <w:sz w:val="22"/>
          <w:szCs w:val="22"/>
        </w:rPr>
      </w:pPr>
    </w:p>
    <w:p w14:paraId="33B7989D" w14:textId="77777777" w:rsidR="00364C97" w:rsidRDefault="00364C97" w:rsidP="00364C97">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Akanmu and Hassen (2018) reported a significant reduction (P &lt; 0.01) in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when </w:t>
      </w:r>
      <w:r>
        <w:rPr>
          <w:rFonts w:ascii="Times New Roman" w:hAnsi="Times New Roman" w:cs="Times New Roman"/>
          <w:i/>
          <w:sz w:val="22"/>
          <w:szCs w:val="22"/>
        </w:rPr>
        <w:t xml:space="preserve">M. oleifera </w:t>
      </w:r>
      <w:r>
        <w:rPr>
          <w:rFonts w:ascii="Times New Roman" w:hAnsi="Times New Roman" w:cs="Times New Roman"/>
          <w:sz w:val="22"/>
          <w:szCs w:val="22"/>
        </w:rPr>
        <w:t>plant extracts were dosed at a level of 50 mg/kg DM.  In contrast,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by the plant extracts from </w:t>
      </w:r>
      <w:r>
        <w:rPr>
          <w:rFonts w:ascii="Times New Roman" w:hAnsi="Times New Roman" w:cs="Times New Roman"/>
          <w:i/>
          <w:sz w:val="22"/>
          <w:szCs w:val="22"/>
        </w:rPr>
        <w:t xml:space="preserve">M. oleifera </w:t>
      </w:r>
      <w:r>
        <w:rPr>
          <w:rFonts w:ascii="Times New Roman" w:hAnsi="Times New Roman" w:cs="Times New Roman"/>
          <w:sz w:val="22"/>
          <w:szCs w:val="22"/>
        </w:rPr>
        <w:t>in this study at a dose level of 50 mg/kg DM were not significantly different (P &gt; 0.05) when compared to the negative control.  However,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by the </w:t>
      </w:r>
      <w:r>
        <w:rPr>
          <w:rFonts w:ascii="Times New Roman" w:hAnsi="Times New Roman" w:cs="Times New Roman"/>
          <w:i/>
          <w:sz w:val="22"/>
          <w:szCs w:val="22"/>
        </w:rPr>
        <w:t xml:space="preserve">M. oleifera </w:t>
      </w:r>
      <w:r>
        <w:rPr>
          <w:rFonts w:ascii="Times New Roman" w:hAnsi="Times New Roman" w:cs="Times New Roman"/>
          <w:sz w:val="22"/>
          <w:szCs w:val="22"/>
        </w:rPr>
        <w:t>treatment in this study was observed to be lowered by 17 and 13% (P &gt; 0.05) after 8- and 12- hours of incubation, respectively.  Indicating that this plant species may contain some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mitigation potential.  </w:t>
      </w:r>
    </w:p>
    <w:p w14:paraId="25668073" w14:textId="77777777" w:rsidR="00364C97" w:rsidRDefault="00364C97">
      <w:pPr>
        <w:spacing w:after="0" w:line="360" w:lineRule="auto"/>
        <w:ind w:firstLine="567"/>
        <w:contextualSpacing/>
        <w:jc w:val="both"/>
        <w:rPr>
          <w:rFonts w:ascii="Times New Roman" w:hAnsi="Times New Roman" w:cs="Times New Roman"/>
          <w:sz w:val="22"/>
          <w:szCs w:val="22"/>
        </w:rPr>
      </w:pPr>
    </w:p>
    <w:p w14:paraId="685A8534"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Compared to the negative control, the positive control,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dosed at a level of 75 mg/kg DM or 15 mg/kg DM monensin, showed an ability to reduce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by &gt;10% (P &gt; 0.05) at 8- and 12-hours of incubation, indicating CH</w:t>
      </w:r>
      <w:r>
        <w:rPr>
          <w:rFonts w:ascii="Times New Roman" w:hAnsi="Times New Roman" w:cs="Times New Roman"/>
          <w:sz w:val="22"/>
          <w:szCs w:val="22"/>
          <w:vertAlign w:val="subscript"/>
        </w:rPr>
        <w:t>4</w:t>
      </w:r>
      <w:r>
        <w:rPr>
          <w:rFonts w:ascii="Times New Roman" w:hAnsi="Times New Roman" w:cs="Times New Roman"/>
          <w:sz w:val="22"/>
          <w:szCs w:val="22"/>
        </w:rPr>
        <w:t xml:space="preserve"> mitigation potential of this additive at this dose level.  This CH</w:t>
      </w:r>
      <w:r>
        <w:rPr>
          <w:rFonts w:ascii="Times New Roman" w:hAnsi="Times New Roman" w:cs="Times New Roman"/>
          <w:sz w:val="22"/>
          <w:szCs w:val="22"/>
          <w:vertAlign w:val="subscript"/>
        </w:rPr>
        <w:t>4</w:t>
      </w:r>
      <w:r>
        <w:rPr>
          <w:rFonts w:ascii="Times New Roman" w:hAnsi="Times New Roman" w:cs="Times New Roman"/>
          <w:sz w:val="22"/>
          <w:szCs w:val="22"/>
        </w:rPr>
        <w:t xml:space="preserve"> mitigation potential may be enhanced by increasing the dose level of this additive as Beauchemin </w:t>
      </w:r>
      <w:r>
        <w:rPr>
          <w:rFonts w:ascii="Times New Roman" w:hAnsi="Times New Roman" w:cs="Times New Roman"/>
          <w:i/>
          <w:sz w:val="22"/>
          <w:szCs w:val="22"/>
        </w:rPr>
        <w:t xml:space="preserve">et al </w:t>
      </w:r>
      <w:r>
        <w:rPr>
          <w:rFonts w:ascii="Times New Roman" w:hAnsi="Times New Roman" w:cs="Times New Roman"/>
          <w:sz w:val="22"/>
          <w:szCs w:val="22"/>
        </w:rPr>
        <w:t>(2008) found that a further reduction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was possible when the dose level of monensin was increased from 15 mg/kg to 20 mg/kg DM.</w:t>
      </w:r>
    </w:p>
    <w:p w14:paraId="73B51C64" w14:textId="77777777" w:rsidR="00EF65F1" w:rsidRDefault="00EF65F1">
      <w:pPr>
        <w:spacing w:after="0" w:line="360" w:lineRule="auto"/>
        <w:ind w:firstLine="567"/>
        <w:contextualSpacing/>
        <w:jc w:val="both"/>
        <w:rPr>
          <w:rFonts w:ascii="Times New Roman" w:hAnsi="Times New Roman" w:cs="Times New Roman"/>
          <w:sz w:val="22"/>
          <w:szCs w:val="22"/>
        </w:rPr>
      </w:pPr>
    </w:p>
    <w:p w14:paraId="060F15E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increasing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(mL) as rumen fermentation progresses, as observed in this study, is consistent with literature (Janssen, 2010).  The CH</w:t>
      </w:r>
      <w:r>
        <w:rPr>
          <w:rFonts w:ascii="Times New Roman" w:hAnsi="Times New Roman" w:cs="Times New Roman"/>
          <w:sz w:val="22"/>
          <w:szCs w:val="22"/>
          <w:vertAlign w:val="subscript"/>
        </w:rPr>
        <w:t xml:space="preserve">4 </w:t>
      </w:r>
      <w:r>
        <w:rPr>
          <w:rFonts w:ascii="Times New Roman" w:hAnsi="Times New Roman" w:cs="Times New Roman"/>
          <w:sz w:val="22"/>
          <w:szCs w:val="22"/>
        </w:rPr>
        <w:t>production may be influenced by fibre composition of the substrate with hemicellulose and cellulose stated to have a positive and negative influence on CH</w:t>
      </w:r>
      <w:r>
        <w:rPr>
          <w:rFonts w:ascii="Times New Roman" w:hAnsi="Times New Roman" w:cs="Times New Roman"/>
          <w:sz w:val="22"/>
          <w:szCs w:val="22"/>
          <w:vertAlign w:val="subscript"/>
        </w:rPr>
        <w:t xml:space="preserve">4 </w:t>
      </w:r>
      <w:r>
        <w:rPr>
          <w:rFonts w:ascii="Times New Roman" w:hAnsi="Times New Roman" w:cs="Times New Roman"/>
          <w:sz w:val="22"/>
          <w:szCs w:val="22"/>
        </w:rPr>
        <w:t xml:space="preserve">production respectively (Holter &amp; Young, 1992).  The high cellulose component of </w:t>
      </w:r>
      <w:r>
        <w:rPr>
          <w:rFonts w:ascii="Times New Roman" w:hAnsi="Times New Roman" w:cs="Times New Roman"/>
          <w:i/>
          <w:sz w:val="22"/>
          <w:szCs w:val="22"/>
        </w:rPr>
        <w:t xml:space="preserve">E. curvula </w:t>
      </w:r>
      <w:r>
        <w:rPr>
          <w:rFonts w:ascii="Times New Roman" w:hAnsi="Times New Roman" w:cs="Times New Roman"/>
          <w:sz w:val="22"/>
          <w:szCs w:val="22"/>
        </w:rPr>
        <w:t>hay used as the substrate in this experiment, may have contributed towards reduced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in this experiment. </w:t>
      </w:r>
    </w:p>
    <w:p w14:paraId="0BC6FB6F" w14:textId="77777777" w:rsidR="00EF65F1" w:rsidRDefault="00EF65F1">
      <w:pPr>
        <w:spacing w:after="0" w:line="360" w:lineRule="auto"/>
        <w:ind w:firstLine="567"/>
        <w:contextualSpacing/>
        <w:jc w:val="both"/>
        <w:rPr>
          <w:rFonts w:ascii="Times New Roman" w:hAnsi="Times New Roman" w:cs="Times New Roman"/>
          <w:sz w:val="22"/>
          <w:szCs w:val="22"/>
        </w:rPr>
      </w:pPr>
    </w:p>
    <w:p w14:paraId="6BA8889E"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56" w:name="_Toc2691145"/>
      <w:r>
        <w:rPr>
          <w:rFonts w:ascii="Times New Roman" w:hAnsi="Times New Roman" w:cs="Times New Roman"/>
          <w:color w:val="auto"/>
          <w:szCs w:val="22"/>
        </w:rPr>
        <w:t>Methane per unit of gas produced</w:t>
      </w:r>
      <w:bookmarkEnd w:id="156"/>
    </w:p>
    <w:p w14:paraId="3B8E178D" w14:textId="77777777" w:rsidR="00EF65F1" w:rsidRDefault="00EF65F1">
      <w:pPr>
        <w:spacing w:after="0" w:line="360" w:lineRule="auto"/>
        <w:ind w:firstLine="567"/>
        <w:contextualSpacing/>
        <w:jc w:val="both"/>
        <w:rPr>
          <w:rFonts w:ascii="Times New Roman" w:hAnsi="Times New Roman" w:cs="Times New Roman"/>
          <w:sz w:val="22"/>
          <w:szCs w:val="22"/>
        </w:rPr>
      </w:pPr>
    </w:p>
    <w:p w14:paraId="552A4354"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data presented in table 2.4 presents the proportion of methane produced per unit of gas (%) after 2, 4, 8, 12, 24 and 48 hours of incubation for the different treatments, consisting of </w:t>
      </w:r>
      <w:r>
        <w:rPr>
          <w:rFonts w:ascii="Times New Roman" w:hAnsi="Times New Roman" w:cs="Times New Roman"/>
          <w:i/>
          <w:sz w:val="22"/>
          <w:szCs w:val="22"/>
        </w:rPr>
        <w:t xml:space="preserve">E. curvula </w:t>
      </w:r>
      <w:r>
        <w:rPr>
          <w:rFonts w:ascii="Times New Roman" w:hAnsi="Times New Roman" w:cs="Times New Roman"/>
          <w:sz w:val="22"/>
          <w:szCs w:val="22"/>
        </w:rPr>
        <w:t>hay treated with seven different plant extracts and controls.</w:t>
      </w:r>
    </w:p>
    <w:p w14:paraId="5165D5D1" w14:textId="77777777" w:rsidR="00EF65F1" w:rsidRDefault="00EF65F1">
      <w:pPr>
        <w:spacing w:after="0" w:line="360" w:lineRule="auto"/>
        <w:ind w:firstLine="567"/>
        <w:contextualSpacing/>
        <w:jc w:val="both"/>
        <w:rPr>
          <w:rFonts w:ascii="Times New Roman" w:hAnsi="Times New Roman" w:cs="Times New Roman"/>
          <w:sz w:val="22"/>
          <w:szCs w:val="22"/>
        </w:rPr>
      </w:pPr>
    </w:p>
    <w:p w14:paraId="4AC886C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There were significant differences (P &lt; 0.05) between treatments in terms of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per unit of gas at 4, 12 and 48 hours of incubation.  Plant extracts from </w:t>
      </w:r>
      <w:r>
        <w:rPr>
          <w:rFonts w:ascii="Times New Roman" w:hAnsi="Times New Roman" w:cs="Times New Roman"/>
          <w:i/>
          <w:sz w:val="22"/>
          <w:szCs w:val="22"/>
        </w:rPr>
        <w:t>D. viscosa</w:t>
      </w:r>
      <w:r>
        <w:rPr>
          <w:rFonts w:ascii="Times New Roman" w:hAnsi="Times New Roman" w:cs="Times New Roman"/>
          <w:sz w:val="22"/>
          <w:szCs w:val="22"/>
        </w:rPr>
        <w:t xml:space="preserve"> significantly increased (P &lt; 0.05)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per unit of gas when compared to the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after 4 hours of incubation, however,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for this species was not </w:t>
      </w:r>
    </w:p>
    <w:p w14:paraId="09E7173A" w14:textId="77777777" w:rsidR="00EF65F1" w:rsidRDefault="00EF65F1">
      <w:pPr>
        <w:spacing w:after="0" w:line="360" w:lineRule="auto"/>
        <w:contextualSpacing/>
        <w:jc w:val="both"/>
        <w:rPr>
          <w:rFonts w:ascii="Times New Roman" w:hAnsi="Times New Roman" w:cs="Times New Roman"/>
          <w:i/>
          <w:sz w:val="22"/>
          <w:szCs w:val="22"/>
        </w:rPr>
        <w:sectPr w:rsidR="00EF65F1">
          <w:pgSz w:w="11906" w:h="16838" w:code="9"/>
          <w:pgMar w:top="1440" w:right="1440" w:bottom="1440" w:left="1440" w:header="567" w:footer="794" w:gutter="0"/>
          <w:cols w:space="708"/>
          <w:docGrid w:linePitch="360"/>
        </w:sectPr>
      </w:pPr>
      <w:bookmarkStart w:id="157" w:name="_Toc526854141"/>
    </w:p>
    <w:bookmarkEnd w:id="157"/>
    <w:p w14:paraId="0172AF84" w14:textId="77777777" w:rsidR="00EF65F1" w:rsidRDefault="00484A18">
      <w:pPr>
        <w:spacing w:after="0" w:line="360" w:lineRule="auto"/>
        <w:ind w:firstLine="567"/>
        <w:contextualSpacing/>
        <w:jc w:val="both"/>
        <w:divId w:val="528492675"/>
        <w:rPr>
          <w:rFonts w:ascii="Times New Roman" w:hAnsi="Times New Roman" w:cs="Times New Roman"/>
          <w:sz w:val="22"/>
          <w:szCs w:val="22"/>
        </w:rPr>
      </w:pPr>
      <w:r>
        <w:rPr>
          <w:vertAlign w:val="superscript"/>
          <w:lang w:eastAsia="en-ZA"/>
        </w:rPr>
        <w:lastRenderedPageBreak/>
        <w:fldChar w:fldCharType="begin"/>
      </w:r>
      <w:r>
        <w:rPr>
          <w:vertAlign w:val="superscript"/>
          <w:lang w:eastAsia="en-ZA"/>
        </w:rPr>
        <w:instrText xml:space="preserve"> LINK Excel.Sheet.12 "C:\\Users\\Jenna\\Documents\\Dissertation\\Results\\Steers Experiment 2\\CH4 TGP TABLE.xlsx" Sheet2!R1C1:R16C7 \a \f 4 \h  \* MERGEFORMAT </w:instrText>
      </w:r>
      <w:r>
        <w:rPr>
          <w:vertAlign w:val="superscript"/>
          <w:lang w:eastAsia="en-ZA"/>
        </w:rPr>
        <w:fldChar w:fldCharType="separate"/>
      </w:r>
    </w:p>
    <w:p w14:paraId="27C40B35" w14:textId="30E26E58" w:rsidR="00EF65F1" w:rsidRDefault="00484A18">
      <w:pPr>
        <w:pStyle w:val="Caption"/>
        <w:keepNext/>
        <w:jc w:val="both"/>
        <w:divId w:val="528492675"/>
        <w:rPr>
          <w:rFonts w:ascii="Times New Roman" w:hAnsi="Times New Roman" w:cs="Times New Roman"/>
          <w:i w:val="0"/>
          <w:sz w:val="24"/>
          <w:szCs w:val="24"/>
        </w:rPr>
      </w:pPr>
      <w:bookmarkStart w:id="158" w:name="_Toc2349137"/>
      <w:r>
        <w:rPr>
          <w:rFonts w:ascii="Times New Roman" w:hAnsi="Times New Roman" w:cs="Times New Roman"/>
          <w:i w:val="0"/>
          <w:color w:val="auto"/>
          <w:sz w:val="24"/>
          <w:szCs w:val="24"/>
        </w:rPr>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4</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Methane per unit of gas production (%) after 2, 4, 8, 12, 24 and 48 hours of </w:t>
      </w:r>
      <w:r>
        <w:rPr>
          <w:rFonts w:ascii="Times New Roman" w:hAnsi="Times New Roman" w:cs="Times New Roman"/>
          <w:color w:val="auto"/>
          <w:sz w:val="24"/>
          <w:szCs w:val="24"/>
        </w:rPr>
        <w:t>Eragrostis curvula</w:t>
      </w:r>
      <w:r>
        <w:rPr>
          <w:rFonts w:ascii="Times New Roman" w:hAnsi="Times New Roman" w:cs="Times New Roman"/>
          <w:i w:val="0"/>
          <w:color w:val="auto"/>
          <w:sz w:val="24"/>
          <w:szCs w:val="24"/>
        </w:rPr>
        <w:t xml:space="preserve"> hay treated with seven plant extracts at a 50 mg/kg DM dose level</w:t>
      </w:r>
      <w:bookmarkEnd w:id="158"/>
    </w:p>
    <w:tbl>
      <w:tblPr>
        <w:tblW w:w="5000" w:type="pct"/>
        <w:tblLook w:val="04A0" w:firstRow="1" w:lastRow="0" w:firstColumn="1" w:lastColumn="0" w:noHBand="0" w:noVBand="1"/>
      </w:tblPr>
      <w:tblGrid>
        <w:gridCol w:w="3102"/>
        <w:gridCol w:w="1690"/>
        <w:gridCol w:w="1842"/>
        <w:gridCol w:w="1817"/>
        <w:gridCol w:w="1842"/>
        <w:gridCol w:w="1689"/>
        <w:gridCol w:w="1976"/>
      </w:tblGrid>
      <w:tr w:rsidR="00EF65F1" w14:paraId="48D9372E" w14:textId="77777777">
        <w:trPr>
          <w:divId w:val="528492675"/>
          <w:trHeight w:val="345"/>
        </w:trPr>
        <w:tc>
          <w:tcPr>
            <w:tcW w:w="1111" w:type="pct"/>
            <w:tcBorders>
              <w:top w:val="single" w:sz="8" w:space="0" w:color="auto"/>
              <w:left w:val="nil"/>
              <w:bottom w:val="single" w:sz="8" w:space="0" w:color="auto"/>
              <w:right w:val="nil"/>
            </w:tcBorders>
            <w:shd w:val="clear" w:color="auto" w:fill="auto"/>
            <w:noWrap/>
            <w:vAlign w:val="center"/>
            <w:hideMark/>
          </w:tcPr>
          <w:p w14:paraId="26EEC932" w14:textId="77777777" w:rsidR="00EF65F1" w:rsidRDefault="00484A18">
            <w:pPr>
              <w:spacing w:after="0" w:line="360" w:lineRule="auto"/>
              <w:ind w:firstLine="567"/>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 </w:t>
            </w:r>
          </w:p>
        </w:tc>
        <w:tc>
          <w:tcPr>
            <w:tcW w:w="3889" w:type="pct"/>
            <w:gridSpan w:val="6"/>
            <w:tcBorders>
              <w:top w:val="single" w:sz="8" w:space="0" w:color="auto"/>
              <w:left w:val="nil"/>
              <w:bottom w:val="single" w:sz="8" w:space="0" w:color="auto"/>
              <w:right w:val="nil"/>
            </w:tcBorders>
            <w:shd w:val="clear" w:color="auto" w:fill="auto"/>
            <w:noWrap/>
            <w:vAlign w:val="center"/>
            <w:hideMark/>
          </w:tcPr>
          <w:p w14:paraId="31A95972" w14:textId="77777777" w:rsidR="00EF65F1" w:rsidRDefault="00484A18">
            <w:pPr>
              <w:spacing w:after="0" w:line="360" w:lineRule="auto"/>
              <w:contextualSpacing/>
              <w:jc w:val="center"/>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Mean ± SD (%)</w:t>
            </w:r>
          </w:p>
        </w:tc>
      </w:tr>
      <w:tr w:rsidR="00EF65F1" w14:paraId="57A25CDF" w14:textId="77777777" w:rsidTr="00881D67">
        <w:trPr>
          <w:divId w:val="528492675"/>
          <w:trHeight w:val="315"/>
        </w:trPr>
        <w:tc>
          <w:tcPr>
            <w:tcW w:w="1111" w:type="pct"/>
            <w:tcBorders>
              <w:top w:val="nil"/>
              <w:left w:val="nil"/>
              <w:bottom w:val="single" w:sz="8" w:space="0" w:color="auto"/>
              <w:right w:val="nil"/>
            </w:tcBorders>
            <w:shd w:val="clear" w:color="auto" w:fill="auto"/>
            <w:noWrap/>
            <w:vAlign w:val="center"/>
            <w:hideMark/>
          </w:tcPr>
          <w:p w14:paraId="5026A9DA" w14:textId="77777777" w:rsidR="00EF65F1" w:rsidRDefault="00484A18">
            <w:pPr>
              <w:spacing w:after="0" w:line="36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605" w:type="pct"/>
            <w:tcBorders>
              <w:top w:val="nil"/>
              <w:left w:val="nil"/>
              <w:bottom w:val="single" w:sz="8" w:space="0" w:color="auto"/>
              <w:right w:val="nil"/>
            </w:tcBorders>
            <w:shd w:val="clear" w:color="auto" w:fill="auto"/>
            <w:noWrap/>
            <w:vAlign w:val="center"/>
            <w:hideMark/>
          </w:tcPr>
          <w:p w14:paraId="764EF2F3"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2h</w:t>
            </w:r>
          </w:p>
        </w:tc>
        <w:tc>
          <w:tcPr>
            <w:tcW w:w="660" w:type="pct"/>
            <w:tcBorders>
              <w:top w:val="nil"/>
              <w:left w:val="nil"/>
              <w:bottom w:val="single" w:sz="8" w:space="0" w:color="auto"/>
              <w:right w:val="nil"/>
            </w:tcBorders>
            <w:shd w:val="clear" w:color="auto" w:fill="auto"/>
            <w:noWrap/>
            <w:vAlign w:val="center"/>
            <w:hideMark/>
          </w:tcPr>
          <w:p w14:paraId="4DCB3D8D"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4h</w:t>
            </w:r>
          </w:p>
        </w:tc>
        <w:tc>
          <w:tcPr>
            <w:tcW w:w="651" w:type="pct"/>
            <w:tcBorders>
              <w:top w:val="nil"/>
              <w:left w:val="nil"/>
              <w:bottom w:val="single" w:sz="8" w:space="0" w:color="auto"/>
              <w:right w:val="nil"/>
            </w:tcBorders>
            <w:shd w:val="clear" w:color="auto" w:fill="auto"/>
            <w:noWrap/>
            <w:vAlign w:val="center"/>
            <w:hideMark/>
          </w:tcPr>
          <w:p w14:paraId="09052C02"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8h</w:t>
            </w:r>
          </w:p>
        </w:tc>
        <w:tc>
          <w:tcPr>
            <w:tcW w:w="660" w:type="pct"/>
            <w:tcBorders>
              <w:top w:val="nil"/>
              <w:left w:val="nil"/>
              <w:bottom w:val="single" w:sz="8" w:space="0" w:color="auto"/>
              <w:right w:val="nil"/>
            </w:tcBorders>
            <w:shd w:val="clear" w:color="auto" w:fill="auto"/>
            <w:noWrap/>
            <w:vAlign w:val="center"/>
            <w:hideMark/>
          </w:tcPr>
          <w:p w14:paraId="2675FDC7"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12h</w:t>
            </w:r>
          </w:p>
        </w:tc>
        <w:tc>
          <w:tcPr>
            <w:tcW w:w="605" w:type="pct"/>
            <w:tcBorders>
              <w:top w:val="nil"/>
              <w:left w:val="nil"/>
              <w:bottom w:val="single" w:sz="8" w:space="0" w:color="auto"/>
              <w:right w:val="nil"/>
            </w:tcBorders>
            <w:shd w:val="clear" w:color="auto" w:fill="auto"/>
            <w:noWrap/>
            <w:vAlign w:val="center"/>
            <w:hideMark/>
          </w:tcPr>
          <w:p w14:paraId="179585D9"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24h</w:t>
            </w:r>
          </w:p>
        </w:tc>
        <w:tc>
          <w:tcPr>
            <w:tcW w:w="708" w:type="pct"/>
            <w:tcBorders>
              <w:top w:val="nil"/>
              <w:left w:val="nil"/>
              <w:bottom w:val="single" w:sz="8" w:space="0" w:color="auto"/>
              <w:right w:val="nil"/>
            </w:tcBorders>
            <w:shd w:val="clear" w:color="auto" w:fill="auto"/>
            <w:noWrap/>
            <w:vAlign w:val="center"/>
            <w:hideMark/>
          </w:tcPr>
          <w:p w14:paraId="5E3CA568" w14:textId="77777777" w:rsidR="00EF65F1" w:rsidRDefault="00484A18">
            <w:pPr>
              <w:spacing w:after="0" w:line="360" w:lineRule="auto"/>
              <w:ind w:firstLine="567"/>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48h</w:t>
            </w:r>
          </w:p>
        </w:tc>
      </w:tr>
      <w:tr w:rsidR="00EF65F1" w14:paraId="248B0AAE" w14:textId="77777777" w:rsidTr="00881D67">
        <w:trPr>
          <w:divId w:val="528492675"/>
          <w:trHeight w:val="315"/>
        </w:trPr>
        <w:tc>
          <w:tcPr>
            <w:tcW w:w="1111" w:type="pct"/>
            <w:tcBorders>
              <w:top w:val="nil"/>
              <w:left w:val="nil"/>
              <w:bottom w:val="nil"/>
              <w:right w:val="nil"/>
            </w:tcBorders>
            <w:shd w:val="clear" w:color="auto" w:fill="auto"/>
            <w:vAlign w:val="center"/>
            <w:hideMark/>
          </w:tcPr>
          <w:p w14:paraId="0AD1CBE7"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605" w:type="pct"/>
            <w:tcBorders>
              <w:top w:val="nil"/>
              <w:left w:val="nil"/>
              <w:bottom w:val="nil"/>
              <w:right w:val="nil"/>
            </w:tcBorders>
            <w:shd w:val="clear" w:color="auto" w:fill="auto"/>
            <w:noWrap/>
            <w:vAlign w:val="center"/>
            <w:hideMark/>
          </w:tcPr>
          <w:p w14:paraId="2D881E2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1.3 ± 0.30</w:t>
            </w:r>
          </w:p>
        </w:tc>
        <w:tc>
          <w:tcPr>
            <w:tcW w:w="660" w:type="pct"/>
            <w:tcBorders>
              <w:top w:val="nil"/>
              <w:left w:val="nil"/>
              <w:bottom w:val="nil"/>
              <w:right w:val="nil"/>
            </w:tcBorders>
            <w:shd w:val="clear" w:color="auto" w:fill="auto"/>
            <w:noWrap/>
            <w:vAlign w:val="center"/>
            <w:hideMark/>
          </w:tcPr>
          <w:p w14:paraId="59FAAC91"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2.0</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0.17</w:t>
            </w:r>
          </w:p>
        </w:tc>
        <w:tc>
          <w:tcPr>
            <w:tcW w:w="651" w:type="pct"/>
            <w:tcBorders>
              <w:top w:val="nil"/>
              <w:left w:val="nil"/>
              <w:bottom w:val="nil"/>
              <w:right w:val="nil"/>
            </w:tcBorders>
            <w:shd w:val="clear" w:color="auto" w:fill="auto"/>
            <w:noWrap/>
            <w:vAlign w:val="center"/>
            <w:hideMark/>
          </w:tcPr>
          <w:p w14:paraId="00BB1910"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5.1 ± 1.66</w:t>
            </w:r>
          </w:p>
        </w:tc>
        <w:tc>
          <w:tcPr>
            <w:tcW w:w="660" w:type="pct"/>
            <w:tcBorders>
              <w:top w:val="nil"/>
              <w:left w:val="nil"/>
              <w:bottom w:val="nil"/>
              <w:right w:val="nil"/>
            </w:tcBorders>
            <w:shd w:val="clear" w:color="auto" w:fill="auto"/>
            <w:noWrap/>
            <w:vAlign w:val="center"/>
            <w:hideMark/>
          </w:tcPr>
          <w:p w14:paraId="24BD1AE2"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0.86</w:t>
            </w:r>
          </w:p>
        </w:tc>
        <w:tc>
          <w:tcPr>
            <w:tcW w:w="605" w:type="pct"/>
            <w:tcBorders>
              <w:top w:val="nil"/>
              <w:left w:val="nil"/>
              <w:bottom w:val="nil"/>
              <w:right w:val="nil"/>
            </w:tcBorders>
            <w:shd w:val="clear" w:color="auto" w:fill="auto"/>
            <w:noWrap/>
            <w:vAlign w:val="center"/>
            <w:hideMark/>
          </w:tcPr>
          <w:p w14:paraId="05BD200E"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4.9 ± 0.41</w:t>
            </w:r>
          </w:p>
        </w:tc>
        <w:tc>
          <w:tcPr>
            <w:tcW w:w="708" w:type="pct"/>
            <w:tcBorders>
              <w:top w:val="nil"/>
              <w:left w:val="nil"/>
              <w:bottom w:val="nil"/>
              <w:right w:val="nil"/>
            </w:tcBorders>
            <w:shd w:val="clear" w:color="auto" w:fill="auto"/>
            <w:noWrap/>
            <w:vAlign w:val="center"/>
            <w:hideMark/>
          </w:tcPr>
          <w:p w14:paraId="438370CC"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5.3</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0.62</w:t>
            </w:r>
          </w:p>
        </w:tc>
      </w:tr>
      <w:tr w:rsidR="00EF65F1" w14:paraId="40072218" w14:textId="77777777" w:rsidTr="00881D67">
        <w:trPr>
          <w:divId w:val="528492675"/>
          <w:trHeight w:val="315"/>
        </w:trPr>
        <w:tc>
          <w:tcPr>
            <w:tcW w:w="1111" w:type="pct"/>
            <w:tcBorders>
              <w:top w:val="nil"/>
              <w:left w:val="nil"/>
              <w:bottom w:val="nil"/>
              <w:right w:val="nil"/>
            </w:tcBorders>
            <w:shd w:val="clear" w:color="auto" w:fill="auto"/>
            <w:vAlign w:val="center"/>
            <w:hideMark/>
          </w:tcPr>
          <w:p w14:paraId="052578CD" w14:textId="77777777" w:rsidR="00EF65F1" w:rsidRDefault="00484A18">
            <w:pPr>
              <w:spacing w:after="0" w:line="36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Rumensin</w:t>
            </w:r>
            <w:r>
              <w:rPr>
                <w:rFonts w:ascii="Calibri" w:eastAsia="Times New Roman" w:hAnsi="Calibri" w:cs="Calibri"/>
                <w:color w:val="000000"/>
                <w:sz w:val="22"/>
                <w:szCs w:val="22"/>
                <w:lang w:eastAsia="en-ZA"/>
              </w:rPr>
              <w:t>® 20%</w:t>
            </w:r>
          </w:p>
        </w:tc>
        <w:tc>
          <w:tcPr>
            <w:tcW w:w="605" w:type="pct"/>
            <w:tcBorders>
              <w:top w:val="nil"/>
              <w:left w:val="nil"/>
              <w:bottom w:val="nil"/>
              <w:right w:val="nil"/>
            </w:tcBorders>
            <w:shd w:val="clear" w:color="auto" w:fill="auto"/>
            <w:noWrap/>
            <w:vAlign w:val="center"/>
            <w:hideMark/>
          </w:tcPr>
          <w:p w14:paraId="0997FDC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1.2 ± 0.22</w:t>
            </w:r>
          </w:p>
        </w:tc>
        <w:tc>
          <w:tcPr>
            <w:tcW w:w="660" w:type="pct"/>
            <w:tcBorders>
              <w:top w:val="nil"/>
              <w:left w:val="nil"/>
              <w:bottom w:val="nil"/>
              <w:right w:val="nil"/>
            </w:tcBorders>
            <w:shd w:val="clear" w:color="auto" w:fill="auto"/>
            <w:noWrap/>
            <w:vAlign w:val="center"/>
            <w:hideMark/>
          </w:tcPr>
          <w:p w14:paraId="26F09D8E"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1.8</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0.25</w:t>
            </w:r>
          </w:p>
        </w:tc>
        <w:tc>
          <w:tcPr>
            <w:tcW w:w="651" w:type="pct"/>
            <w:tcBorders>
              <w:top w:val="nil"/>
              <w:left w:val="nil"/>
              <w:bottom w:val="nil"/>
              <w:right w:val="nil"/>
            </w:tcBorders>
            <w:shd w:val="clear" w:color="auto" w:fill="auto"/>
            <w:noWrap/>
            <w:vAlign w:val="center"/>
            <w:hideMark/>
          </w:tcPr>
          <w:p w14:paraId="77D922A1"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4.0 ± 1.56</w:t>
            </w:r>
          </w:p>
        </w:tc>
        <w:tc>
          <w:tcPr>
            <w:tcW w:w="660" w:type="pct"/>
            <w:tcBorders>
              <w:top w:val="nil"/>
              <w:left w:val="nil"/>
              <w:bottom w:val="nil"/>
              <w:right w:val="nil"/>
            </w:tcBorders>
            <w:shd w:val="clear" w:color="auto" w:fill="auto"/>
            <w:noWrap/>
            <w:vAlign w:val="center"/>
            <w:hideMark/>
          </w:tcPr>
          <w:p w14:paraId="601276B8"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3.9</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0.83</w:t>
            </w:r>
          </w:p>
        </w:tc>
        <w:tc>
          <w:tcPr>
            <w:tcW w:w="605" w:type="pct"/>
            <w:tcBorders>
              <w:top w:val="nil"/>
              <w:left w:val="nil"/>
              <w:bottom w:val="nil"/>
              <w:right w:val="nil"/>
            </w:tcBorders>
            <w:shd w:val="clear" w:color="auto" w:fill="auto"/>
            <w:noWrap/>
            <w:vAlign w:val="center"/>
            <w:hideMark/>
          </w:tcPr>
          <w:p w14:paraId="3F6150FA"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 ± 0.56</w:t>
            </w:r>
          </w:p>
        </w:tc>
        <w:tc>
          <w:tcPr>
            <w:tcW w:w="708" w:type="pct"/>
            <w:tcBorders>
              <w:top w:val="nil"/>
              <w:left w:val="nil"/>
              <w:bottom w:val="nil"/>
              <w:right w:val="nil"/>
            </w:tcBorders>
            <w:shd w:val="clear" w:color="auto" w:fill="auto"/>
            <w:noWrap/>
            <w:vAlign w:val="center"/>
            <w:hideMark/>
          </w:tcPr>
          <w:p w14:paraId="136C6263"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5.7</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0.39</w:t>
            </w:r>
          </w:p>
        </w:tc>
      </w:tr>
      <w:tr w:rsidR="00EF65F1" w14:paraId="522F2CF1" w14:textId="77777777" w:rsidTr="00881D67">
        <w:trPr>
          <w:divId w:val="528492675"/>
          <w:trHeight w:val="315"/>
        </w:trPr>
        <w:tc>
          <w:tcPr>
            <w:tcW w:w="1111" w:type="pct"/>
            <w:tcBorders>
              <w:top w:val="nil"/>
              <w:left w:val="nil"/>
              <w:bottom w:val="nil"/>
              <w:right w:val="nil"/>
            </w:tcBorders>
            <w:shd w:val="clear" w:color="auto" w:fill="auto"/>
            <w:vAlign w:val="center"/>
            <w:hideMark/>
          </w:tcPr>
          <w:p w14:paraId="6CB3BA0C"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605" w:type="pct"/>
            <w:tcBorders>
              <w:top w:val="nil"/>
              <w:left w:val="nil"/>
              <w:bottom w:val="nil"/>
              <w:right w:val="nil"/>
            </w:tcBorders>
            <w:shd w:val="clear" w:color="auto" w:fill="auto"/>
            <w:noWrap/>
            <w:vAlign w:val="center"/>
            <w:hideMark/>
          </w:tcPr>
          <w:p w14:paraId="45F55B91"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1.4 ± 0.24</w:t>
            </w:r>
          </w:p>
        </w:tc>
        <w:tc>
          <w:tcPr>
            <w:tcW w:w="660" w:type="pct"/>
            <w:tcBorders>
              <w:top w:val="nil"/>
              <w:left w:val="nil"/>
              <w:bottom w:val="nil"/>
              <w:right w:val="nil"/>
            </w:tcBorders>
            <w:shd w:val="clear" w:color="auto" w:fill="auto"/>
            <w:noWrap/>
            <w:vAlign w:val="center"/>
            <w:hideMark/>
          </w:tcPr>
          <w:p w14:paraId="70C6913B"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2.1</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0.21</w:t>
            </w:r>
          </w:p>
        </w:tc>
        <w:tc>
          <w:tcPr>
            <w:tcW w:w="651" w:type="pct"/>
            <w:tcBorders>
              <w:top w:val="nil"/>
              <w:left w:val="nil"/>
              <w:bottom w:val="nil"/>
              <w:right w:val="nil"/>
            </w:tcBorders>
            <w:shd w:val="clear" w:color="auto" w:fill="auto"/>
            <w:noWrap/>
            <w:vAlign w:val="center"/>
            <w:hideMark/>
          </w:tcPr>
          <w:p w14:paraId="0CBE702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4.0 ± 0.70</w:t>
            </w:r>
          </w:p>
        </w:tc>
        <w:tc>
          <w:tcPr>
            <w:tcW w:w="660" w:type="pct"/>
            <w:tcBorders>
              <w:top w:val="nil"/>
              <w:left w:val="nil"/>
              <w:bottom w:val="nil"/>
              <w:right w:val="nil"/>
            </w:tcBorders>
            <w:shd w:val="clear" w:color="auto" w:fill="auto"/>
            <w:noWrap/>
            <w:vAlign w:val="center"/>
            <w:hideMark/>
          </w:tcPr>
          <w:p w14:paraId="00E27659"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4.4</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0.72</w:t>
            </w:r>
          </w:p>
        </w:tc>
        <w:tc>
          <w:tcPr>
            <w:tcW w:w="605" w:type="pct"/>
            <w:tcBorders>
              <w:top w:val="nil"/>
              <w:left w:val="nil"/>
              <w:bottom w:val="nil"/>
              <w:right w:val="nil"/>
            </w:tcBorders>
            <w:shd w:val="clear" w:color="auto" w:fill="auto"/>
            <w:noWrap/>
            <w:vAlign w:val="center"/>
            <w:hideMark/>
          </w:tcPr>
          <w:p w14:paraId="0AE2DB73"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4.9 ± 0.46</w:t>
            </w:r>
          </w:p>
        </w:tc>
        <w:tc>
          <w:tcPr>
            <w:tcW w:w="708" w:type="pct"/>
            <w:tcBorders>
              <w:top w:val="nil"/>
              <w:left w:val="nil"/>
              <w:bottom w:val="nil"/>
              <w:right w:val="nil"/>
            </w:tcBorders>
            <w:shd w:val="clear" w:color="auto" w:fill="auto"/>
            <w:noWrap/>
            <w:vAlign w:val="center"/>
            <w:hideMark/>
          </w:tcPr>
          <w:p w14:paraId="3C097736"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5.8</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0.70</w:t>
            </w:r>
          </w:p>
        </w:tc>
      </w:tr>
      <w:tr w:rsidR="00EF65F1" w14:paraId="12C08B82"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76DC054B"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605" w:type="pct"/>
            <w:tcBorders>
              <w:top w:val="nil"/>
              <w:left w:val="nil"/>
              <w:bottom w:val="nil"/>
              <w:right w:val="nil"/>
            </w:tcBorders>
            <w:shd w:val="clear" w:color="auto" w:fill="auto"/>
            <w:noWrap/>
            <w:vAlign w:val="center"/>
            <w:hideMark/>
          </w:tcPr>
          <w:p w14:paraId="71C41617"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1.8 ± 0.28</w:t>
            </w:r>
          </w:p>
        </w:tc>
        <w:tc>
          <w:tcPr>
            <w:tcW w:w="660" w:type="pct"/>
            <w:tcBorders>
              <w:top w:val="nil"/>
              <w:left w:val="nil"/>
              <w:bottom w:val="nil"/>
              <w:right w:val="nil"/>
            </w:tcBorders>
            <w:shd w:val="clear" w:color="auto" w:fill="auto"/>
            <w:noWrap/>
            <w:vAlign w:val="center"/>
            <w:hideMark/>
          </w:tcPr>
          <w:p w14:paraId="0A905656"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2.0</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0.16</w:t>
            </w:r>
          </w:p>
        </w:tc>
        <w:tc>
          <w:tcPr>
            <w:tcW w:w="651" w:type="pct"/>
            <w:tcBorders>
              <w:top w:val="nil"/>
              <w:left w:val="nil"/>
              <w:bottom w:val="nil"/>
              <w:right w:val="nil"/>
            </w:tcBorders>
            <w:shd w:val="clear" w:color="auto" w:fill="auto"/>
            <w:noWrap/>
            <w:vAlign w:val="center"/>
            <w:hideMark/>
          </w:tcPr>
          <w:p w14:paraId="5E4CDCF5"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 ± 1.07</w:t>
            </w:r>
          </w:p>
        </w:tc>
        <w:tc>
          <w:tcPr>
            <w:tcW w:w="660" w:type="pct"/>
            <w:tcBorders>
              <w:top w:val="nil"/>
              <w:left w:val="nil"/>
              <w:bottom w:val="nil"/>
              <w:right w:val="nil"/>
            </w:tcBorders>
            <w:shd w:val="clear" w:color="auto" w:fill="auto"/>
            <w:noWrap/>
            <w:vAlign w:val="center"/>
            <w:hideMark/>
          </w:tcPr>
          <w:p w14:paraId="45C59A4A"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0.71</w:t>
            </w:r>
          </w:p>
        </w:tc>
        <w:tc>
          <w:tcPr>
            <w:tcW w:w="605" w:type="pct"/>
            <w:tcBorders>
              <w:top w:val="nil"/>
              <w:left w:val="nil"/>
              <w:bottom w:val="nil"/>
              <w:right w:val="nil"/>
            </w:tcBorders>
            <w:shd w:val="clear" w:color="auto" w:fill="auto"/>
            <w:noWrap/>
            <w:vAlign w:val="center"/>
            <w:hideMark/>
          </w:tcPr>
          <w:p w14:paraId="48BCE951"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5.0 ± 0.36</w:t>
            </w:r>
          </w:p>
        </w:tc>
        <w:tc>
          <w:tcPr>
            <w:tcW w:w="708" w:type="pct"/>
            <w:tcBorders>
              <w:top w:val="nil"/>
              <w:left w:val="nil"/>
              <w:bottom w:val="nil"/>
              <w:right w:val="nil"/>
            </w:tcBorders>
            <w:shd w:val="clear" w:color="auto" w:fill="auto"/>
            <w:noWrap/>
            <w:vAlign w:val="center"/>
            <w:hideMark/>
          </w:tcPr>
          <w:p w14:paraId="124F9980"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6.5</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0.59</w:t>
            </w:r>
          </w:p>
        </w:tc>
      </w:tr>
      <w:tr w:rsidR="00EF65F1" w14:paraId="1C36BF2A"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7FB4C30E"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605" w:type="pct"/>
            <w:tcBorders>
              <w:top w:val="nil"/>
              <w:left w:val="nil"/>
              <w:bottom w:val="nil"/>
              <w:right w:val="nil"/>
            </w:tcBorders>
            <w:shd w:val="clear" w:color="auto" w:fill="auto"/>
            <w:noWrap/>
            <w:vAlign w:val="center"/>
            <w:hideMark/>
          </w:tcPr>
          <w:p w14:paraId="54ABDF3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1.4 ± 0.12</w:t>
            </w:r>
          </w:p>
        </w:tc>
        <w:tc>
          <w:tcPr>
            <w:tcW w:w="660" w:type="pct"/>
            <w:tcBorders>
              <w:top w:val="nil"/>
              <w:left w:val="nil"/>
              <w:bottom w:val="nil"/>
              <w:right w:val="nil"/>
            </w:tcBorders>
            <w:shd w:val="clear" w:color="auto" w:fill="auto"/>
            <w:noWrap/>
            <w:vAlign w:val="center"/>
            <w:hideMark/>
          </w:tcPr>
          <w:p w14:paraId="609EB61D"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2.3</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0.37</w:t>
            </w:r>
          </w:p>
        </w:tc>
        <w:tc>
          <w:tcPr>
            <w:tcW w:w="651" w:type="pct"/>
            <w:tcBorders>
              <w:top w:val="nil"/>
              <w:left w:val="nil"/>
              <w:bottom w:val="nil"/>
              <w:right w:val="nil"/>
            </w:tcBorders>
            <w:shd w:val="clear" w:color="auto" w:fill="auto"/>
            <w:noWrap/>
            <w:vAlign w:val="center"/>
            <w:hideMark/>
          </w:tcPr>
          <w:p w14:paraId="43BD69C6"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 ± 0.95</w:t>
            </w:r>
          </w:p>
        </w:tc>
        <w:tc>
          <w:tcPr>
            <w:tcW w:w="660" w:type="pct"/>
            <w:tcBorders>
              <w:top w:val="nil"/>
              <w:left w:val="nil"/>
              <w:bottom w:val="nil"/>
              <w:right w:val="nil"/>
            </w:tcBorders>
            <w:shd w:val="clear" w:color="auto" w:fill="auto"/>
            <w:noWrap/>
            <w:vAlign w:val="center"/>
            <w:hideMark/>
          </w:tcPr>
          <w:p w14:paraId="548FB8B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5.1</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0.55</w:t>
            </w:r>
          </w:p>
        </w:tc>
        <w:tc>
          <w:tcPr>
            <w:tcW w:w="605" w:type="pct"/>
            <w:tcBorders>
              <w:top w:val="nil"/>
              <w:left w:val="nil"/>
              <w:bottom w:val="nil"/>
              <w:right w:val="nil"/>
            </w:tcBorders>
            <w:shd w:val="clear" w:color="auto" w:fill="auto"/>
            <w:noWrap/>
            <w:vAlign w:val="center"/>
            <w:hideMark/>
          </w:tcPr>
          <w:p w14:paraId="28ADC12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5.2 ± 0.58</w:t>
            </w:r>
          </w:p>
        </w:tc>
        <w:tc>
          <w:tcPr>
            <w:tcW w:w="708" w:type="pct"/>
            <w:tcBorders>
              <w:top w:val="nil"/>
              <w:left w:val="nil"/>
              <w:bottom w:val="nil"/>
              <w:right w:val="nil"/>
            </w:tcBorders>
            <w:shd w:val="clear" w:color="auto" w:fill="auto"/>
            <w:noWrap/>
            <w:vAlign w:val="center"/>
            <w:hideMark/>
          </w:tcPr>
          <w:p w14:paraId="2CD90237"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0.44</w:t>
            </w:r>
          </w:p>
        </w:tc>
      </w:tr>
      <w:tr w:rsidR="00EF65F1" w14:paraId="1B3465D6"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7B507729"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605" w:type="pct"/>
            <w:tcBorders>
              <w:top w:val="nil"/>
              <w:left w:val="nil"/>
              <w:bottom w:val="nil"/>
              <w:right w:val="nil"/>
            </w:tcBorders>
            <w:shd w:val="clear" w:color="auto" w:fill="auto"/>
            <w:noWrap/>
            <w:vAlign w:val="center"/>
            <w:hideMark/>
          </w:tcPr>
          <w:p w14:paraId="58F855FB"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1.4 ± 0.15</w:t>
            </w:r>
          </w:p>
        </w:tc>
        <w:tc>
          <w:tcPr>
            <w:tcW w:w="660" w:type="pct"/>
            <w:tcBorders>
              <w:top w:val="nil"/>
              <w:left w:val="nil"/>
              <w:bottom w:val="nil"/>
              <w:right w:val="nil"/>
            </w:tcBorders>
            <w:shd w:val="clear" w:color="auto" w:fill="auto"/>
            <w:noWrap/>
            <w:vAlign w:val="center"/>
            <w:hideMark/>
          </w:tcPr>
          <w:p w14:paraId="4A076236"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2.0</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0.09</w:t>
            </w:r>
          </w:p>
        </w:tc>
        <w:tc>
          <w:tcPr>
            <w:tcW w:w="651" w:type="pct"/>
            <w:tcBorders>
              <w:top w:val="nil"/>
              <w:left w:val="nil"/>
              <w:bottom w:val="nil"/>
              <w:right w:val="nil"/>
            </w:tcBorders>
            <w:shd w:val="clear" w:color="auto" w:fill="auto"/>
            <w:noWrap/>
            <w:vAlign w:val="center"/>
            <w:hideMark/>
          </w:tcPr>
          <w:p w14:paraId="184F9E4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4.9 ± 1.79</w:t>
            </w:r>
          </w:p>
        </w:tc>
        <w:tc>
          <w:tcPr>
            <w:tcW w:w="660" w:type="pct"/>
            <w:tcBorders>
              <w:top w:val="nil"/>
              <w:left w:val="nil"/>
              <w:bottom w:val="nil"/>
              <w:right w:val="nil"/>
            </w:tcBorders>
            <w:shd w:val="clear" w:color="auto" w:fill="auto"/>
            <w:noWrap/>
            <w:vAlign w:val="center"/>
            <w:hideMark/>
          </w:tcPr>
          <w:p w14:paraId="417758B7"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4.1</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0.50</w:t>
            </w:r>
          </w:p>
        </w:tc>
        <w:tc>
          <w:tcPr>
            <w:tcW w:w="605" w:type="pct"/>
            <w:tcBorders>
              <w:top w:val="nil"/>
              <w:left w:val="nil"/>
              <w:bottom w:val="nil"/>
              <w:right w:val="nil"/>
            </w:tcBorders>
            <w:shd w:val="clear" w:color="auto" w:fill="auto"/>
            <w:noWrap/>
            <w:vAlign w:val="center"/>
            <w:hideMark/>
          </w:tcPr>
          <w:p w14:paraId="1A933F4C"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4.9 ± 0.51</w:t>
            </w:r>
          </w:p>
        </w:tc>
        <w:tc>
          <w:tcPr>
            <w:tcW w:w="708" w:type="pct"/>
            <w:tcBorders>
              <w:top w:val="nil"/>
              <w:left w:val="nil"/>
              <w:bottom w:val="nil"/>
              <w:right w:val="nil"/>
            </w:tcBorders>
            <w:shd w:val="clear" w:color="auto" w:fill="auto"/>
            <w:noWrap/>
            <w:vAlign w:val="center"/>
            <w:hideMark/>
          </w:tcPr>
          <w:p w14:paraId="1DEFFFC8"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1.02</w:t>
            </w:r>
          </w:p>
        </w:tc>
      </w:tr>
      <w:tr w:rsidR="00EF65F1" w14:paraId="2A13D5F5"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443395D6"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605" w:type="pct"/>
            <w:tcBorders>
              <w:top w:val="nil"/>
              <w:left w:val="nil"/>
              <w:bottom w:val="nil"/>
              <w:right w:val="nil"/>
            </w:tcBorders>
            <w:shd w:val="clear" w:color="auto" w:fill="auto"/>
            <w:noWrap/>
            <w:vAlign w:val="center"/>
            <w:hideMark/>
          </w:tcPr>
          <w:p w14:paraId="0A081D72"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1.5 ± 0.18</w:t>
            </w:r>
          </w:p>
        </w:tc>
        <w:tc>
          <w:tcPr>
            <w:tcW w:w="660" w:type="pct"/>
            <w:tcBorders>
              <w:top w:val="nil"/>
              <w:left w:val="nil"/>
              <w:bottom w:val="nil"/>
              <w:right w:val="nil"/>
            </w:tcBorders>
            <w:shd w:val="clear" w:color="auto" w:fill="auto"/>
            <w:noWrap/>
            <w:vAlign w:val="center"/>
            <w:hideMark/>
          </w:tcPr>
          <w:p w14:paraId="745E44B3"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0.15</w:t>
            </w:r>
          </w:p>
        </w:tc>
        <w:tc>
          <w:tcPr>
            <w:tcW w:w="651" w:type="pct"/>
            <w:tcBorders>
              <w:top w:val="nil"/>
              <w:left w:val="nil"/>
              <w:bottom w:val="nil"/>
              <w:right w:val="nil"/>
            </w:tcBorders>
            <w:shd w:val="clear" w:color="auto" w:fill="auto"/>
            <w:noWrap/>
            <w:vAlign w:val="center"/>
            <w:hideMark/>
          </w:tcPr>
          <w:p w14:paraId="5F7E8042"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4.1 ± 1.06</w:t>
            </w:r>
          </w:p>
        </w:tc>
        <w:tc>
          <w:tcPr>
            <w:tcW w:w="660" w:type="pct"/>
            <w:tcBorders>
              <w:top w:val="nil"/>
              <w:left w:val="nil"/>
              <w:bottom w:val="nil"/>
              <w:right w:val="nil"/>
            </w:tcBorders>
            <w:shd w:val="clear" w:color="auto" w:fill="auto"/>
            <w:noWrap/>
            <w:vAlign w:val="center"/>
            <w:hideMark/>
          </w:tcPr>
          <w:p w14:paraId="130B6049"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3.9</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0.56</w:t>
            </w:r>
          </w:p>
        </w:tc>
        <w:tc>
          <w:tcPr>
            <w:tcW w:w="605" w:type="pct"/>
            <w:tcBorders>
              <w:top w:val="nil"/>
              <w:left w:val="nil"/>
              <w:bottom w:val="nil"/>
              <w:right w:val="nil"/>
            </w:tcBorders>
            <w:shd w:val="clear" w:color="auto" w:fill="auto"/>
            <w:noWrap/>
            <w:vAlign w:val="center"/>
            <w:hideMark/>
          </w:tcPr>
          <w:p w14:paraId="3679911C"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4.7 ± 0.31</w:t>
            </w:r>
          </w:p>
        </w:tc>
        <w:tc>
          <w:tcPr>
            <w:tcW w:w="708" w:type="pct"/>
            <w:tcBorders>
              <w:top w:val="nil"/>
              <w:left w:val="nil"/>
              <w:bottom w:val="nil"/>
              <w:right w:val="nil"/>
            </w:tcBorders>
            <w:shd w:val="clear" w:color="auto" w:fill="auto"/>
            <w:noWrap/>
            <w:vAlign w:val="center"/>
            <w:hideMark/>
          </w:tcPr>
          <w:p w14:paraId="70C0A8AD"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5.3</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0.85</w:t>
            </w:r>
          </w:p>
        </w:tc>
      </w:tr>
      <w:tr w:rsidR="00EF65F1" w14:paraId="0B347B14"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5603DB10"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605" w:type="pct"/>
            <w:tcBorders>
              <w:top w:val="nil"/>
              <w:left w:val="nil"/>
              <w:bottom w:val="nil"/>
              <w:right w:val="nil"/>
            </w:tcBorders>
            <w:shd w:val="clear" w:color="auto" w:fill="auto"/>
            <w:noWrap/>
            <w:vAlign w:val="center"/>
            <w:hideMark/>
          </w:tcPr>
          <w:p w14:paraId="6CF7E47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1.5 ± 0.25</w:t>
            </w:r>
          </w:p>
        </w:tc>
        <w:tc>
          <w:tcPr>
            <w:tcW w:w="660" w:type="pct"/>
            <w:tcBorders>
              <w:top w:val="nil"/>
              <w:left w:val="nil"/>
              <w:bottom w:val="nil"/>
              <w:right w:val="nil"/>
            </w:tcBorders>
            <w:shd w:val="clear" w:color="auto" w:fill="auto"/>
            <w:noWrap/>
            <w:vAlign w:val="center"/>
            <w:hideMark/>
          </w:tcPr>
          <w:p w14:paraId="7D0428B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0.18</w:t>
            </w:r>
          </w:p>
        </w:tc>
        <w:tc>
          <w:tcPr>
            <w:tcW w:w="651" w:type="pct"/>
            <w:tcBorders>
              <w:top w:val="nil"/>
              <w:left w:val="nil"/>
              <w:bottom w:val="nil"/>
              <w:right w:val="nil"/>
            </w:tcBorders>
            <w:shd w:val="clear" w:color="auto" w:fill="auto"/>
            <w:noWrap/>
            <w:vAlign w:val="center"/>
            <w:hideMark/>
          </w:tcPr>
          <w:p w14:paraId="239A7741"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4.1 ± 0.96</w:t>
            </w:r>
          </w:p>
        </w:tc>
        <w:tc>
          <w:tcPr>
            <w:tcW w:w="660" w:type="pct"/>
            <w:tcBorders>
              <w:top w:val="nil"/>
              <w:left w:val="nil"/>
              <w:bottom w:val="nil"/>
              <w:right w:val="nil"/>
            </w:tcBorders>
            <w:shd w:val="clear" w:color="auto" w:fill="auto"/>
            <w:noWrap/>
            <w:vAlign w:val="center"/>
            <w:hideMark/>
          </w:tcPr>
          <w:p w14:paraId="77DDC7C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4.0</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0.78</w:t>
            </w:r>
          </w:p>
        </w:tc>
        <w:tc>
          <w:tcPr>
            <w:tcW w:w="605" w:type="pct"/>
            <w:tcBorders>
              <w:top w:val="nil"/>
              <w:left w:val="nil"/>
              <w:bottom w:val="nil"/>
              <w:right w:val="nil"/>
            </w:tcBorders>
            <w:shd w:val="clear" w:color="auto" w:fill="auto"/>
            <w:noWrap/>
            <w:vAlign w:val="center"/>
            <w:hideMark/>
          </w:tcPr>
          <w:p w14:paraId="1247502E"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 ± 0.60</w:t>
            </w:r>
          </w:p>
        </w:tc>
        <w:tc>
          <w:tcPr>
            <w:tcW w:w="708" w:type="pct"/>
            <w:tcBorders>
              <w:top w:val="nil"/>
              <w:left w:val="nil"/>
              <w:bottom w:val="nil"/>
              <w:right w:val="nil"/>
            </w:tcBorders>
            <w:shd w:val="clear" w:color="auto" w:fill="auto"/>
            <w:noWrap/>
            <w:vAlign w:val="center"/>
            <w:hideMark/>
          </w:tcPr>
          <w:p w14:paraId="54DBB17A"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6.3</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0.37</w:t>
            </w:r>
          </w:p>
        </w:tc>
      </w:tr>
      <w:tr w:rsidR="00EF65F1" w14:paraId="75C2FF10"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77625500"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605" w:type="pct"/>
            <w:tcBorders>
              <w:top w:val="nil"/>
              <w:left w:val="nil"/>
              <w:bottom w:val="nil"/>
              <w:right w:val="nil"/>
            </w:tcBorders>
            <w:shd w:val="clear" w:color="auto" w:fill="auto"/>
            <w:noWrap/>
            <w:vAlign w:val="center"/>
            <w:hideMark/>
          </w:tcPr>
          <w:p w14:paraId="1263DDA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1.5 ± 0.03</w:t>
            </w:r>
          </w:p>
        </w:tc>
        <w:tc>
          <w:tcPr>
            <w:tcW w:w="660" w:type="pct"/>
            <w:tcBorders>
              <w:top w:val="nil"/>
              <w:left w:val="nil"/>
              <w:bottom w:val="nil"/>
              <w:right w:val="nil"/>
            </w:tcBorders>
            <w:shd w:val="clear" w:color="auto" w:fill="auto"/>
            <w:noWrap/>
            <w:vAlign w:val="center"/>
            <w:hideMark/>
          </w:tcPr>
          <w:p w14:paraId="1C3C3FA5"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1.9</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0.13</w:t>
            </w:r>
          </w:p>
        </w:tc>
        <w:tc>
          <w:tcPr>
            <w:tcW w:w="651" w:type="pct"/>
            <w:tcBorders>
              <w:top w:val="nil"/>
              <w:left w:val="nil"/>
              <w:bottom w:val="nil"/>
              <w:right w:val="nil"/>
            </w:tcBorders>
            <w:shd w:val="clear" w:color="auto" w:fill="auto"/>
            <w:noWrap/>
            <w:vAlign w:val="center"/>
            <w:hideMark/>
          </w:tcPr>
          <w:p w14:paraId="4E6251D7"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3.8 ± 1.21</w:t>
            </w:r>
          </w:p>
        </w:tc>
        <w:tc>
          <w:tcPr>
            <w:tcW w:w="660" w:type="pct"/>
            <w:tcBorders>
              <w:top w:val="nil"/>
              <w:left w:val="nil"/>
              <w:bottom w:val="nil"/>
              <w:right w:val="nil"/>
            </w:tcBorders>
            <w:shd w:val="clear" w:color="auto" w:fill="auto"/>
            <w:noWrap/>
            <w:vAlign w:val="center"/>
            <w:hideMark/>
          </w:tcPr>
          <w:p w14:paraId="2CEA8816"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0.91</w:t>
            </w:r>
          </w:p>
        </w:tc>
        <w:tc>
          <w:tcPr>
            <w:tcW w:w="605" w:type="pct"/>
            <w:tcBorders>
              <w:top w:val="nil"/>
              <w:left w:val="nil"/>
              <w:bottom w:val="nil"/>
              <w:right w:val="nil"/>
            </w:tcBorders>
            <w:shd w:val="clear" w:color="auto" w:fill="auto"/>
            <w:noWrap/>
            <w:vAlign w:val="center"/>
            <w:hideMark/>
          </w:tcPr>
          <w:p w14:paraId="3C738BCF"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 ± 0.49</w:t>
            </w:r>
          </w:p>
        </w:tc>
        <w:tc>
          <w:tcPr>
            <w:tcW w:w="708" w:type="pct"/>
            <w:tcBorders>
              <w:top w:val="nil"/>
              <w:left w:val="nil"/>
              <w:bottom w:val="nil"/>
              <w:right w:val="nil"/>
            </w:tcBorders>
            <w:shd w:val="clear" w:color="auto" w:fill="auto"/>
            <w:noWrap/>
            <w:vAlign w:val="center"/>
            <w:hideMark/>
          </w:tcPr>
          <w:p w14:paraId="37C7598B"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0.72</w:t>
            </w:r>
          </w:p>
        </w:tc>
      </w:tr>
      <w:tr w:rsidR="00EF65F1" w14:paraId="29CC0331" w14:textId="77777777" w:rsidTr="00881D67">
        <w:trPr>
          <w:divId w:val="528492675"/>
          <w:trHeight w:val="315"/>
        </w:trPr>
        <w:tc>
          <w:tcPr>
            <w:tcW w:w="1111" w:type="pct"/>
            <w:tcBorders>
              <w:top w:val="nil"/>
              <w:left w:val="nil"/>
              <w:bottom w:val="nil"/>
              <w:right w:val="nil"/>
            </w:tcBorders>
            <w:shd w:val="clear" w:color="auto" w:fill="auto"/>
            <w:noWrap/>
            <w:vAlign w:val="center"/>
            <w:hideMark/>
          </w:tcPr>
          <w:p w14:paraId="54BFF349" w14:textId="77777777" w:rsidR="00EF65F1" w:rsidRDefault="00484A18">
            <w:pPr>
              <w:spacing w:after="0" w:line="36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605" w:type="pct"/>
            <w:tcBorders>
              <w:top w:val="nil"/>
              <w:left w:val="nil"/>
              <w:bottom w:val="nil"/>
              <w:right w:val="nil"/>
            </w:tcBorders>
            <w:shd w:val="clear" w:color="auto" w:fill="auto"/>
            <w:noWrap/>
            <w:vAlign w:val="center"/>
            <w:hideMark/>
          </w:tcPr>
          <w:p w14:paraId="62E515B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1.5 ± 0.38</w:t>
            </w:r>
          </w:p>
        </w:tc>
        <w:tc>
          <w:tcPr>
            <w:tcW w:w="660" w:type="pct"/>
            <w:tcBorders>
              <w:top w:val="nil"/>
              <w:left w:val="nil"/>
              <w:bottom w:val="nil"/>
              <w:right w:val="nil"/>
            </w:tcBorders>
            <w:shd w:val="clear" w:color="auto" w:fill="auto"/>
            <w:noWrap/>
            <w:vAlign w:val="center"/>
            <w:hideMark/>
          </w:tcPr>
          <w:p w14:paraId="097E8099"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0.17</w:t>
            </w:r>
          </w:p>
        </w:tc>
        <w:tc>
          <w:tcPr>
            <w:tcW w:w="651" w:type="pct"/>
            <w:tcBorders>
              <w:top w:val="nil"/>
              <w:left w:val="nil"/>
              <w:bottom w:val="nil"/>
              <w:right w:val="nil"/>
            </w:tcBorders>
            <w:shd w:val="clear" w:color="auto" w:fill="auto"/>
            <w:noWrap/>
            <w:vAlign w:val="center"/>
            <w:hideMark/>
          </w:tcPr>
          <w:p w14:paraId="551817C4"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3.6 ± 0.74</w:t>
            </w:r>
          </w:p>
        </w:tc>
        <w:tc>
          <w:tcPr>
            <w:tcW w:w="660" w:type="pct"/>
            <w:tcBorders>
              <w:top w:val="nil"/>
              <w:left w:val="nil"/>
              <w:bottom w:val="nil"/>
              <w:right w:val="nil"/>
            </w:tcBorders>
            <w:shd w:val="clear" w:color="auto" w:fill="auto"/>
            <w:noWrap/>
            <w:vAlign w:val="center"/>
            <w:hideMark/>
          </w:tcPr>
          <w:p w14:paraId="18549E29"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4.0</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0.00</w:t>
            </w:r>
          </w:p>
        </w:tc>
        <w:tc>
          <w:tcPr>
            <w:tcW w:w="605" w:type="pct"/>
            <w:tcBorders>
              <w:top w:val="nil"/>
              <w:left w:val="nil"/>
              <w:bottom w:val="nil"/>
              <w:right w:val="nil"/>
            </w:tcBorders>
            <w:shd w:val="clear" w:color="auto" w:fill="auto"/>
            <w:noWrap/>
            <w:vAlign w:val="center"/>
            <w:hideMark/>
          </w:tcPr>
          <w:p w14:paraId="01444A37"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4.4 ± 0.62</w:t>
            </w:r>
          </w:p>
        </w:tc>
        <w:tc>
          <w:tcPr>
            <w:tcW w:w="708" w:type="pct"/>
            <w:tcBorders>
              <w:top w:val="nil"/>
              <w:left w:val="nil"/>
              <w:bottom w:val="nil"/>
              <w:right w:val="nil"/>
            </w:tcBorders>
            <w:shd w:val="clear" w:color="auto" w:fill="auto"/>
            <w:noWrap/>
            <w:vAlign w:val="center"/>
            <w:hideMark/>
          </w:tcPr>
          <w:p w14:paraId="33DFBFC0" w14:textId="77777777" w:rsidR="00EF65F1" w:rsidRDefault="00484A18">
            <w:pPr>
              <w:spacing w:after="0" w:line="360" w:lineRule="auto"/>
              <w:ind w:firstLine="567"/>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4.4</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0.75</w:t>
            </w:r>
          </w:p>
        </w:tc>
      </w:tr>
      <w:tr w:rsidR="00EF65F1" w14:paraId="52C6A3D9" w14:textId="77777777" w:rsidTr="00881D67">
        <w:trPr>
          <w:divId w:val="528492675"/>
          <w:trHeight w:val="300"/>
        </w:trPr>
        <w:tc>
          <w:tcPr>
            <w:tcW w:w="1111" w:type="pct"/>
            <w:tcBorders>
              <w:top w:val="nil"/>
              <w:left w:val="nil"/>
              <w:bottom w:val="nil"/>
              <w:right w:val="nil"/>
            </w:tcBorders>
            <w:shd w:val="clear" w:color="auto" w:fill="auto"/>
            <w:noWrap/>
            <w:vAlign w:val="center"/>
            <w:hideMark/>
          </w:tcPr>
          <w:p w14:paraId="12A336FF" w14:textId="77777777" w:rsidR="00EF65F1" w:rsidRDefault="00484A18">
            <w:pPr>
              <w:spacing w:after="0" w:line="36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605" w:type="pct"/>
            <w:tcBorders>
              <w:top w:val="nil"/>
              <w:left w:val="nil"/>
              <w:bottom w:val="nil"/>
              <w:right w:val="nil"/>
            </w:tcBorders>
            <w:shd w:val="clear" w:color="auto" w:fill="auto"/>
            <w:noWrap/>
            <w:vAlign w:val="center"/>
            <w:hideMark/>
          </w:tcPr>
          <w:p w14:paraId="1A819BB5"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w:t>
            </w:r>
          </w:p>
        </w:tc>
        <w:tc>
          <w:tcPr>
            <w:tcW w:w="660" w:type="pct"/>
            <w:tcBorders>
              <w:top w:val="nil"/>
              <w:left w:val="nil"/>
              <w:bottom w:val="nil"/>
              <w:right w:val="nil"/>
            </w:tcBorders>
            <w:shd w:val="clear" w:color="auto" w:fill="auto"/>
            <w:noWrap/>
            <w:vAlign w:val="center"/>
            <w:hideMark/>
          </w:tcPr>
          <w:p w14:paraId="793F4063"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w:t>
            </w:r>
          </w:p>
        </w:tc>
        <w:tc>
          <w:tcPr>
            <w:tcW w:w="651" w:type="pct"/>
            <w:tcBorders>
              <w:top w:val="nil"/>
              <w:left w:val="nil"/>
              <w:bottom w:val="nil"/>
              <w:right w:val="nil"/>
            </w:tcBorders>
            <w:shd w:val="clear" w:color="auto" w:fill="auto"/>
            <w:noWrap/>
            <w:vAlign w:val="center"/>
            <w:hideMark/>
          </w:tcPr>
          <w:p w14:paraId="0A95FF0E"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0.21</w:t>
            </w:r>
          </w:p>
        </w:tc>
        <w:tc>
          <w:tcPr>
            <w:tcW w:w="660" w:type="pct"/>
            <w:tcBorders>
              <w:top w:val="nil"/>
              <w:left w:val="nil"/>
              <w:bottom w:val="nil"/>
              <w:right w:val="nil"/>
            </w:tcBorders>
            <w:shd w:val="clear" w:color="auto" w:fill="auto"/>
            <w:noWrap/>
            <w:vAlign w:val="center"/>
            <w:hideMark/>
          </w:tcPr>
          <w:p w14:paraId="3766794E"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0.13</w:t>
            </w:r>
          </w:p>
        </w:tc>
        <w:tc>
          <w:tcPr>
            <w:tcW w:w="605" w:type="pct"/>
            <w:tcBorders>
              <w:top w:val="nil"/>
              <w:left w:val="nil"/>
              <w:bottom w:val="nil"/>
              <w:right w:val="nil"/>
            </w:tcBorders>
            <w:shd w:val="clear" w:color="auto" w:fill="auto"/>
            <w:noWrap/>
            <w:vAlign w:val="center"/>
            <w:hideMark/>
          </w:tcPr>
          <w:p w14:paraId="7148682B"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0.08</w:t>
            </w:r>
          </w:p>
        </w:tc>
        <w:tc>
          <w:tcPr>
            <w:tcW w:w="708" w:type="pct"/>
            <w:tcBorders>
              <w:top w:val="nil"/>
              <w:left w:val="nil"/>
              <w:bottom w:val="nil"/>
              <w:right w:val="nil"/>
            </w:tcBorders>
            <w:shd w:val="clear" w:color="auto" w:fill="auto"/>
            <w:noWrap/>
            <w:vAlign w:val="center"/>
            <w:hideMark/>
          </w:tcPr>
          <w:p w14:paraId="01D13ABA"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0.14</w:t>
            </w:r>
          </w:p>
        </w:tc>
      </w:tr>
      <w:tr w:rsidR="00EF65F1" w14:paraId="081B9AFF" w14:textId="77777777" w:rsidTr="00881D67">
        <w:trPr>
          <w:divId w:val="528492675"/>
          <w:trHeight w:val="315"/>
        </w:trPr>
        <w:tc>
          <w:tcPr>
            <w:tcW w:w="1111" w:type="pct"/>
            <w:tcBorders>
              <w:top w:val="nil"/>
              <w:left w:val="nil"/>
              <w:bottom w:val="single" w:sz="8" w:space="0" w:color="auto"/>
              <w:right w:val="nil"/>
            </w:tcBorders>
            <w:shd w:val="clear" w:color="auto" w:fill="auto"/>
            <w:noWrap/>
            <w:vAlign w:val="center"/>
            <w:hideMark/>
          </w:tcPr>
          <w:p w14:paraId="2988911B" w14:textId="77777777" w:rsidR="00EF65F1" w:rsidRDefault="00484A18">
            <w:pPr>
              <w:spacing w:after="0" w:line="36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605" w:type="pct"/>
            <w:tcBorders>
              <w:top w:val="nil"/>
              <w:left w:val="nil"/>
              <w:bottom w:val="single" w:sz="8" w:space="0" w:color="auto"/>
              <w:right w:val="nil"/>
            </w:tcBorders>
            <w:shd w:val="clear" w:color="auto" w:fill="auto"/>
            <w:noWrap/>
            <w:vAlign w:val="center"/>
            <w:hideMark/>
          </w:tcPr>
          <w:p w14:paraId="7733780C"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0.22</w:t>
            </w:r>
          </w:p>
        </w:tc>
        <w:tc>
          <w:tcPr>
            <w:tcW w:w="660" w:type="pct"/>
            <w:tcBorders>
              <w:top w:val="nil"/>
              <w:left w:val="nil"/>
              <w:bottom w:val="single" w:sz="8" w:space="0" w:color="auto"/>
              <w:right w:val="nil"/>
            </w:tcBorders>
            <w:shd w:val="clear" w:color="auto" w:fill="auto"/>
            <w:noWrap/>
            <w:vAlign w:val="center"/>
            <w:hideMark/>
          </w:tcPr>
          <w:p w14:paraId="0C9149E4"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0.05</w:t>
            </w:r>
          </w:p>
        </w:tc>
        <w:tc>
          <w:tcPr>
            <w:tcW w:w="651" w:type="pct"/>
            <w:tcBorders>
              <w:top w:val="nil"/>
              <w:left w:val="nil"/>
              <w:bottom w:val="single" w:sz="8" w:space="0" w:color="auto"/>
              <w:right w:val="nil"/>
            </w:tcBorders>
            <w:shd w:val="clear" w:color="auto" w:fill="auto"/>
            <w:noWrap/>
            <w:vAlign w:val="center"/>
            <w:hideMark/>
          </w:tcPr>
          <w:p w14:paraId="3CCC681A"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0.06</w:t>
            </w:r>
          </w:p>
        </w:tc>
        <w:tc>
          <w:tcPr>
            <w:tcW w:w="660" w:type="pct"/>
            <w:tcBorders>
              <w:top w:val="nil"/>
              <w:left w:val="nil"/>
              <w:bottom w:val="single" w:sz="8" w:space="0" w:color="auto"/>
              <w:right w:val="nil"/>
            </w:tcBorders>
            <w:shd w:val="clear" w:color="auto" w:fill="auto"/>
            <w:noWrap/>
            <w:vAlign w:val="center"/>
            <w:hideMark/>
          </w:tcPr>
          <w:p w14:paraId="08C270BC"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0.008</w:t>
            </w:r>
          </w:p>
        </w:tc>
        <w:tc>
          <w:tcPr>
            <w:tcW w:w="605" w:type="pct"/>
            <w:tcBorders>
              <w:top w:val="nil"/>
              <w:left w:val="nil"/>
              <w:bottom w:val="single" w:sz="8" w:space="0" w:color="auto"/>
              <w:right w:val="nil"/>
            </w:tcBorders>
            <w:shd w:val="clear" w:color="auto" w:fill="auto"/>
            <w:noWrap/>
            <w:vAlign w:val="center"/>
            <w:hideMark/>
          </w:tcPr>
          <w:p w14:paraId="266B941F"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0.14</w:t>
            </w:r>
          </w:p>
        </w:tc>
        <w:tc>
          <w:tcPr>
            <w:tcW w:w="708" w:type="pct"/>
            <w:tcBorders>
              <w:top w:val="nil"/>
              <w:left w:val="nil"/>
              <w:bottom w:val="single" w:sz="8" w:space="0" w:color="auto"/>
              <w:right w:val="nil"/>
            </w:tcBorders>
            <w:shd w:val="clear" w:color="auto" w:fill="auto"/>
            <w:noWrap/>
            <w:vAlign w:val="center"/>
            <w:hideMark/>
          </w:tcPr>
          <w:p w14:paraId="081E291B" w14:textId="77777777" w:rsidR="00EF65F1" w:rsidRDefault="00484A18">
            <w:pPr>
              <w:spacing w:after="0" w:line="360" w:lineRule="auto"/>
              <w:ind w:firstLine="567"/>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w:t>
            </w:r>
          </w:p>
        </w:tc>
      </w:tr>
    </w:tbl>
    <w:p w14:paraId="2615E63B" w14:textId="77777777" w:rsidR="00EF65F1" w:rsidRDefault="00484A18">
      <w:pPr>
        <w:spacing w:before="160" w:after="0" w:line="360" w:lineRule="auto"/>
        <w:contextualSpacing/>
        <w:jc w:val="both"/>
        <w:rPr>
          <w:rFonts w:ascii="Times New Roman" w:eastAsia="Times New Roman" w:hAnsi="Times New Roman" w:cs="Times New Roman"/>
          <w:color w:val="000000"/>
          <w:sz w:val="22"/>
          <w:szCs w:val="22"/>
          <w:lang w:eastAsia="en-ZA"/>
        </w:rPr>
        <w:sectPr w:rsidR="00EF65F1">
          <w:pgSz w:w="16838" w:h="11906" w:orient="landscape" w:code="9"/>
          <w:pgMar w:top="1440" w:right="1440" w:bottom="1440" w:left="1440" w:header="567" w:footer="794" w:gutter="0"/>
          <w:cols w:space="708"/>
          <w:vAlign w:val="center"/>
          <w:docGrid w:linePitch="360"/>
        </w:sectPr>
      </w:pPr>
      <w:r>
        <w:rPr>
          <w:rFonts w:ascii="Times New Roman" w:eastAsia="Times New Roman" w:hAnsi="Times New Roman" w:cs="Times New Roman"/>
          <w:color w:val="000000"/>
          <w:sz w:val="22"/>
          <w:szCs w:val="22"/>
          <w:vertAlign w:val="superscript"/>
          <w:lang w:eastAsia="en-ZA"/>
        </w:rPr>
        <w:fldChar w:fldCharType="end"/>
      </w:r>
      <w:r>
        <w:rPr>
          <w:rFonts w:ascii="Times New Roman" w:eastAsia="Times New Roman" w:hAnsi="Times New Roman" w:cs="Times New Roman"/>
          <w:color w:val="000000"/>
          <w:sz w:val="22"/>
          <w:szCs w:val="22"/>
          <w:vertAlign w:val="superscript"/>
          <w:lang w:eastAsia="en-ZA"/>
        </w:rPr>
        <w:t xml:space="preserve">ab </w:t>
      </w:r>
      <w:r>
        <w:rPr>
          <w:rFonts w:ascii="Times New Roman" w:eastAsia="Times New Roman" w:hAnsi="Times New Roman" w:cs="Times New Roman"/>
          <w:color w:val="000000"/>
          <w:sz w:val="22"/>
          <w:szCs w:val="22"/>
          <w:lang w:eastAsia="en-ZA"/>
        </w:rPr>
        <w:t>Within a column: Means with different superscripts differ (P &lt; 0.05)</w:t>
      </w:r>
    </w:p>
    <w:p w14:paraId="312E24C0" w14:textId="77777777" w:rsidR="00EF65F1" w:rsidRDefault="00364C97" w:rsidP="00364C97">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lastRenderedPageBreak/>
        <w:t>significantly different (P &gt; 0.05) when compared to the negative control.  After 12 hours of incubation,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and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and </w:t>
      </w:r>
      <w:r>
        <w:rPr>
          <w:rFonts w:ascii="Times New Roman" w:hAnsi="Times New Roman" w:cs="Times New Roman"/>
          <w:i/>
          <w:sz w:val="22"/>
          <w:szCs w:val="22"/>
        </w:rPr>
        <w:t xml:space="preserve">S. birrea </w:t>
      </w:r>
      <w:r>
        <w:rPr>
          <w:rFonts w:ascii="Times New Roman" w:hAnsi="Times New Roman" w:cs="Times New Roman"/>
          <w:sz w:val="22"/>
          <w:szCs w:val="22"/>
        </w:rPr>
        <w:t>produced a significantly lower (P &lt; 0.05)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when compared to plant extracts from </w:t>
      </w:r>
      <w:r>
        <w:rPr>
          <w:rFonts w:ascii="Times New Roman" w:hAnsi="Times New Roman" w:cs="Times New Roman"/>
          <w:i/>
          <w:sz w:val="22"/>
          <w:szCs w:val="22"/>
        </w:rPr>
        <w:t>D. viscosa</w:t>
      </w:r>
      <w:r>
        <w:rPr>
          <w:rFonts w:ascii="Times New Roman" w:hAnsi="Times New Roman" w:cs="Times New Roman"/>
          <w:sz w:val="22"/>
          <w:szCs w:val="22"/>
        </w:rPr>
        <w:t>,</w:t>
      </w:r>
      <w:r>
        <w:rPr>
          <w:rFonts w:ascii="Times New Roman" w:hAnsi="Times New Roman" w:cs="Times New Roman"/>
          <w:i/>
          <w:sz w:val="22"/>
          <w:szCs w:val="22"/>
        </w:rPr>
        <w:t xml:space="preserve"> </w:t>
      </w:r>
      <w:r>
        <w:rPr>
          <w:rFonts w:ascii="Times New Roman" w:hAnsi="Times New Roman" w:cs="Times New Roman"/>
          <w:sz w:val="22"/>
          <w:szCs w:val="22"/>
        </w:rPr>
        <w:t xml:space="preserve">but these differences were not significantly different (P &gt; 0.05) when compared to the negative control.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produced a lower proportion (P &lt; 0.05)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produced after 48 hours of incubation compared to plant extracts from </w:t>
      </w:r>
      <w:r>
        <w:rPr>
          <w:rFonts w:ascii="Times New Roman" w:hAnsi="Times New Roman" w:cs="Times New Roman"/>
          <w:i/>
          <w:sz w:val="22"/>
          <w:szCs w:val="22"/>
        </w:rPr>
        <w:t xml:space="preserve">C. erythrophyllum, S. birrea </w:t>
      </w:r>
      <w:r>
        <w:rPr>
          <w:rFonts w:ascii="Times New Roman" w:hAnsi="Times New Roman" w:cs="Times New Roman"/>
          <w:sz w:val="22"/>
          <w:szCs w:val="22"/>
        </w:rPr>
        <w:t xml:space="preserve">and </w:t>
      </w:r>
      <w:r>
        <w:rPr>
          <w:rFonts w:ascii="Times New Roman" w:hAnsi="Times New Roman" w:cs="Times New Roman"/>
          <w:i/>
          <w:sz w:val="22"/>
          <w:szCs w:val="22"/>
        </w:rPr>
        <w:t xml:space="preserve">E. lysistemon, </w:t>
      </w:r>
      <w:r>
        <w:rPr>
          <w:rFonts w:ascii="Times New Roman" w:hAnsi="Times New Roman" w:cs="Times New Roman"/>
          <w:sz w:val="22"/>
          <w:szCs w:val="22"/>
        </w:rPr>
        <w:t xml:space="preserve">however, these differences were also not significantly different (P &gt; 0.05) when compared to the negative control.  Generally,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appear to have consistently reduced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when compared to some of the treatments at 4-, 8-, 12-, 24- and 48-hour incubation intervals.  According to Janssen (2010) a reduction of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per unit of gas during fermentation may result due to less H</w:t>
      </w:r>
      <w:r>
        <w:rPr>
          <w:rFonts w:ascii="Times New Roman" w:hAnsi="Times New Roman" w:cs="Times New Roman"/>
          <w:sz w:val="22"/>
          <w:szCs w:val="22"/>
          <w:vertAlign w:val="subscript"/>
        </w:rPr>
        <w:t>2</w:t>
      </w:r>
      <w:r>
        <w:rPr>
          <w:rFonts w:ascii="Times New Roman" w:hAnsi="Times New Roman" w:cs="Times New Roman"/>
          <w:sz w:val="22"/>
          <w:szCs w:val="22"/>
        </w:rPr>
        <w:t xml:space="preserve"> production per unit of feed fermented.  Reduced CH</w:t>
      </w:r>
      <w:r>
        <w:rPr>
          <w:rFonts w:ascii="Times New Roman" w:hAnsi="Times New Roman" w:cs="Times New Roman"/>
          <w:sz w:val="22"/>
          <w:szCs w:val="22"/>
          <w:vertAlign w:val="subscript"/>
        </w:rPr>
        <w:t xml:space="preserve">4 </w:t>
      </w:r>
      <w:r>
        <w:rPr>
          <w:rFonts w:ascii="Times New Roman" w:hAnsi="Times New Roman" w:cs="Times New Roman"/>
          <w:sz w:val="22"/>
          <w:szCs w:val="22"/>
        </w:rPr>
        <w:t>to TGP ratios indicate lower acetate production, which in turn means more energy is available for the animal due to increased efficiency of fermentation and reduced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w:t>
      </w:r>
      <w:r w:rsidR="00484A18">
        <w:rPr>
          <w:rFonts w:ascii="Times New Roman" w:hAnsi="Times New Roman" w:cs="Times New Roman"/>
          <w:sz w:val="22"/>
          <w:szCs w:val="22"/>
        </w:rPr>
        <w:t xml:space="preserve">produced (Du Toit </w:t>
      </w:r>
      <w:r w:rsidR="00484A18">
        <w:rPr>
          <w:rFonts w:ascii="Times New Roman" w:hAnsi="Times New Roman" w:cs="Times New Roman"/>
          <w:i/>
          <w:sz w:val="22"/>
          <w:szCs w:val="22"/>
        </w:rPr>
        <w:t>et al.</w:t>
      </w:r>
      <w:r w:rsidR="00484A18">
        <w:rPr>
          <w:rFonts w:ascii="Times New Roman" w:hAnsi="Times New Roman" w:cs="Times New Roman"/>
          <w:sz w:val="22"/>
          <w:szCs w:val="22"/>
        </w:rPr>
        <w:t xml:space="preserve">, 2018).  Therefore, plant extracts such as </w:t>
      </w:r>
      <w:r w:rsidR="00484A18">
        <w:rPr>
          <w:rFonts w:ascii="Times New Roman" w:hAnsi="Times New Roman" w:cs="Times New Roman"/>
          <w:i/>
          <w:sz w:val="22"/>
          <w:szCs w:val="22"/>
        </w:rPr>
        <w:t xml:space="preserve">H. lucida </w:t>
      </w:r>
      <w:r w:rsidR="00484A18">
        <w:rPr>
          <w:rFonts w:ascii="Times New Roman" w:hAnsi="Times New Roman" w:cs="Times New Roman"/>
          <w:sz w:val="22"/>
          <w:szCs w:val="22"/>
        </w:rPr>
        <w:t>that show a lower proportion of CH</w:t>
      </w:r>
      <w:r w:rsidR="00484A18">
        <w:rPr>
          <w:rFonts w:ascii="Times New Roman" w:hAnsi="Times New Roman" w:cs="Times New Roman"/>
          <w:sz w:val="22"/>
          <w:szCs w:val="22"/>
          <w:vertAlign w:val="subscript"/>
        </w:rPr>
        <w:t xml:space="preserve">4 </w:t>
      </w:r>
      <w:r w:rsidR="00484A18">
        <w:rPr>
          <w:rFonts w:ascii="Times New Roman" w:hAnsi="Times New Roman" w:cs="Times New Roman"/>
          <w:sz w:val="22"/>
          <w:szCs w:val="22"/>
        </w:rPr>
        <w:t>per unit of gas produced can potentially be screened for the further optimization studies as CH</w:t>
      </w:r>
      <w:r w:rsidR="00484A18">
        <w:rPr>
          <w:rFonts w:ascii="Times New Roman" w:hAnsi="Times New Roman" w:cs="Times New Roman"/>
          <w:sz w:val="22"/>
          <w:szCs w:val="22"/>
          <w:vertAlign w:val="subscript"/>
        </w:rPr>
        <w:t>4</w:t>
      </w:r>
      <w:r w:rsidR="00484A18">
        <w:rPr>
          <w:rFonts w:ascii="Times New Roman" w:hAnsi="Times New Roman" w:cs="Times New Roman"/>
          <w:sz w:val="22"/>
          <w:szCs w:val="22"/>
        </w:rPr>
        <w:t xml:space="preserve"> reduction additives in the livestock industry.</w:t>
      </w:r>
    </w:p>
    <w:p w14:paraId="52449FE2" w14:textId="77777777" w:rsidR="00EF65F1" w:rsidRDefault="00EF65F1">
      <w:pPr>
        <w:spacing w:after="0" w:line="360" w:lineRule="auto"/>
        <w:ind w:firstLine="567"/>
        <w:contextualSpacing/>
        <w:jc w:val="both"/>
        <w:rPr>
          <w:rFonts w:ascii="Times New Roman" w:hAnsi="Times New Roman" w:cs="Times New Roman"/>
          <w:sz w:val="22"/>
          <w:szCs w:val="22"/>
        </w:rPr>
      </w:pPr>
    </w:p>
    <w:p w14:paraId="2DB67B8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produced for all treatments in this study were within the range of 4.42 to 5.2% and 4.42 to 6.45% after 24 and 48 hours of incubation, respectively.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produced by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after 24 hours of incubation in this study is within the range of 2.5 to 7.5% reported by Du Toit </w:t>
      </w:r>
      <w:r>
        <w:rPr>
          <w:rFonts w:ascii="Times New Roman" w:hAnsi="Times New Roman" w:cs="Times New Roman"/>
          <w:i/>
          <w:sz w:val="22"/>
          <w:szCs w:val="22"/>
        </w:rPr>
        <w:t xml:space="preserve">et al </w:t>
      </w:r>
      <w:r>
        <w:rPr>
          <w:rFonts w:ascii="Times New Roman" w:hAnsi="Times New Roman" w:cs="Times New Roman"/>
          <w:sz w:val="22"/>
          <w:szCs w:val="22"/>
        </w:rPr>
        <w:t>(2018) for sub-tropical grass species.  However, in this study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gas produced after 48 hours of incubation was slightly below the range reported by Gemeda and Hassen (2014) and Du Toit </w:t>
      </w:r>
      <w:r>
        <w:rPr>
          <w:rFonts w:ascii="Times New Roman" w:hAnsi="Times New Roman" w:cs="Times New Roman"/>
          <w:i/>
          <w:sz w:val="22"/>
          <w:szCs w:val="22"/>
        </w:rPr>
        <w:t xml:space="preserve">et al </w:t>
      </w:r>
      <w:r>
        <w:rPr>
          <w:rFonts w:ascii="Times New Roman" w:hAnsi="Times New Roman" w:cs="Times New Roman"/>
          <w:sz w:val="22"/>
          <w:szCs w:val="22"/>
        </w:rPr>
        <w:t>(2018), 6.41-11.77%, for grass species, and this variation is associated to the lower net CH</w:t>
      </w:r>
      <w:r>
        <w:rPr>
          <w:rFonts w:ascii="Times New Roman" w:hAnsi="Times New Roman" w:cs="Times New Roman"/>
          <w:sz w:val="22"/>
          <w:szCs w:val="22"/>
          <w:vertAlign w:val="subscript"/>
        </w:rPr>
        <w:t>4</w:t>
      </w:r>
      <w:r>
        <w:rPr>
          <w:rFonts w:ascii="Times New Roman" w:hAnsi="Times New Roman" w:cs="Times New Roman"/>
          <w:sz w:val="22"/>
          <w:szCs w:val="22"/>
        </w:rPr>
        <w:t xml:space="preserve"> values recorded in this study.</w:t>
      </w:r>
    </w:p>
    <w:p w14:paraId="4CAE4030" w14:textId="77777777" w:rsidR="00EF65F1" w:rsidRDefault="00EF65F1">
      <w:pPr>
        <w:spacing w:after="0" w:line="360" w:lineRule="auto"/>
        <w:ind w:firstLine="567"/>
        <w:contextualSpacing/>
        <w:jc w:val="both"/>
        <w:rPr>
          <w:rFonts w:ascii="Times New Roman" w:hAnsi="Times New Roman" w:cs="Times New Roman"/>
          <w:sz w:val="22"/>
          <w:szCs w:val="22"/>
        </w:rPr>
      </w:pPr>
    </w:p>
    <w:p w14:paraId="53E15039"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reduction in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in conjunction with an increased rate of gas produced per hour noted by some of the plant extracts in this study, was consistent with the findings of Janssen (2010) who found that an increased rate of digestion might have led to a reduction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feed.  The rate and extent of feed degradation is primarily influenced by the bacterial species in the rumen (Miron </w:t>
      </w:r>
      <w:r>
        <w:rPr>
          <w:rFonts w:ascii="Times New Roman" w:hAnsi="Times New Roman" w:cs="Times New Roman"/>
          <w:i/>
          <w:sz w:val="22"/>
          <w:szCs w:val="22"/>
        </w:rPr>
        <w:t>et al.</w:t>
      </w:r>
      <w:r>
        <w:rPr>
          <w:rFonts w:ascii="Times New Roman" w:hAnsi="Times New Roman" w:cs="Times New Roman"/>
          <w:sz w:val="22"/>
          <w:szCs w:val="22"/>
        </w:rPr>
        <w:t xml:space="preserve">, 2001).  Thus, the secondary compounds found in some of the plant extracts used in this study, may have influenced the composition and/or the activity of certain ruminal bacterial species, including the cellulolytic bacteria, due to their medicinal properties (Soltan </w:t>
      </w:r>
      <w:r>
        <w:rPr>
          <w:rFonts w:ascii="Times New Roman" w:hAnsi="Times New Roman" w:cs="Times New Roman"/>
          <w:i/>
          <w:sz w:val="22"/>
          <w:szCs w:val="22"/>
        </w:rPr>
        <w:t>et al.</w:t>
      </w:r>
      <w:r>
        <w:rPr>
          <w:rFonts w:ascii="Times New Roman" w:hAnsi="Times New Roman" w:cs="Times New Roman"/>
          <w:sz w:val="22"/>
          <w:szCs w:val="22"/>
        </w:rPr>
        <w:t xml:space="preserve">, 2018), which may have increased the rate of digestion of the fibrous components of the hay.  </w:t>
      </w:r>
    </w:p>
    <w:p w14:paraId="05CF6BEF" w14:textId="77777777" w:rsidR="00EF65F1" w:rsidRDefault="00EF65F1">
      <w:pPr>
        <w:spacing w:after="0" w:line="360" w:lineRule="auto"/>
        <w:ind w:firstLine="567"/>
        <w:contextualSpacing/>
        <w:jc w:val="both"/>
        <w:rPr>
          <w:rFonts w:ascii="Times New Roman" w:hAnsi="Times New Roman" w:cs="Times New Roman"/>
          <w:sz w:val="22"/>
          <w:szCs w:val="22"/>
        </w:rPr>
      </w:pPr>
    </w:p>
    <w:p w14:paraId="016C5F68" w14:textId="77777777" w:rsidR="00364C97" w:rsidRDefault="00364C97">
      <w:pPr>
        <w:spacing w:after="0" w:line="360" w:lineRule="auto"/>
        <w:ind w:firstLine="567"/>
        <w:contextualSpacing/>
        <w:jc w:val="both"/>
        <w:rPr>
          <w:rFonts w:ascii="Times New Roman" w:hAnsi="Times New Roman" w:cs="Times New Roman"/>
          <w:sz w:val="22"/>
          <w:szCs w:val="22"/>
        </w:rPr>
      </w:pPr>
    </w:p>
    <w:p w14:paraId="3594D95F" w14:textId="77777777" w:rsidR="00364C97" w:rsidRDefault="00364C97">
      <w:pPr>
        <w:spacing w:after="0" w:line="360" w:lineRule="auto"/>
        <w:ind w:firstLine="567"/>
        <w:contextualSpacing/>
        <w:jc w:val="both"/>
        <w:rPr>
          <w:rFonts w:ascii="Times New Roman" w:hAnsi="Times New Roman" w:cs="Times New Roman"/>
          <w:sz w:val="22"/>
          <w:szCs w:val="22"/>
        </w:rPr>
      </w:pPr>
    </w:p>
    <w:p w14:paraId="2A63DB05"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59" w:name="_Toc2691146"/>
      <w:r>
        <w:rPr>
          <w:rFonts w:ascii="Times New Roman" w:hAnsi="Times New Roman" w:cs="Times New Roman"/>
          <w:i/>
          <w:color w:val="auto"/>
          <w:szCs w:val="22"/>
        </w:rPr>
        <w:lastRenderedPageBreak/>
        <w:t xml:space="preserve">In vitro </w:t>
      </w:r>
      <w:r>
        <w:rPr>
          <w:rFonts w:ascii="Times New Roman" w:hAnsi="Times New Roman" w:cs="Times New Roman"/>
          <w:color w:val="auto"/>
          <w:szCs w:val="22"/>
        </w:rPr>
        <w:t>organic matter digestibility</w:t>
      </w:r>
      <w:bookmarkEnd w:id="159"/>
    </w:p>
    <w:p w14:paraId="53D61506" w14:textId="77777777" w:rsidR="00EF65F1" w:rsidRDefault="00EF65F1">
      <w:pPr>
        <w:spacing w:after="0" w:line="360" w:lineRule="auto"/>
        <w:ind w:firstLine="567"/>
        <w:contextualSpacing/>
        <w:jc w:val="both"/>
        <w:rPr>
          <w:rFonts w:ascii="Times New Roman" w:hAnsi="Times New Roman" w:cs="Times New Roman"/>
          <w:sz w:val="22"/>
          <w:szCs w:val="22"/>
        </w:rPr>
      </w:pPr>
    </w:p>
    <w:p w14:paraId="56F1689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organic matter digestibility (IVOMD) values of </w:t>
      </w:r>
      <w:r>
        <w:rPr>
          <w:rFonts w:ascii="Times New Roman" w:hAnsi="Times New Roman" w:cs="Times New Roman"/>
          <w:i/>
          <w:sz w:val="22"/>
          <w:szCs w:val="22"/>
        </w:rPr>
        <w:t xml:space="preserve">E. curvula </w:t>
      </w:r>
      <w:r>
        <w:rPr>
          <w:rFonts w:ascii="Times New Roman" w:hAnsi="Times New Roman" w:cs="Times New Roman"/>
          <w:sz w:val="22"/>
          <w:szCs w:val="22"/>
        </w:rPr>
        <w:t>hay</w:t>
      </w:r>
      <w:r>
        <w:rPr>
          <w:rFonts w:ascii="Times New Roman" w:hAnsi="Times New Roman" w:cs="Times New Roman"/>
          <w:i/>
          <w:sz w:val="22"/>
          <w:szCs w:val="22"/>
        </w:rPr>
        <w:t xml:space="preserve"> </w:t>
      </w:r>
      <w:r>
        <w:rPr>
          <w:rFonts w:ascii="Times New Roman" w:hAnsi="Times New Roman" w:cs="Times New Roman"/>
          <w:sz w:val="22"/>
          <w:szCs w:val="22"/>
        </w:rPr>
        <w:t xml:space="preserve">treated with seven different plant extracts at a dose level of 50 mg/kg DM are shown table 2.5.  Generally, there were no significant differences (P &gt; 0.05) between the treatments in terms of IVOMD.  In contrast, Medjekal </w:t>
      </w:r>
      <w:r>
        <w:rPr>
          <w:rFonts w:ascii="Times New Roman" w:hAnsi="Times New Roman" w:cs="Times New Roman"/>
          <w:i/>
          <w:sz w:val="22"/>
          <w:szCs w:val="22"/>
        </w:rPr>
        <w:t>et al</w:t>
      </w:r>
      <w:r>
        <w:rPr>
          <w:rFonts w:ascii="Times New Roman" w:hAnsi="Times New Roman" w:cs="Times New Roman"/>
          <w:sz w:val="22"/>
          <w:szCs w:val="22"/>
        </w:rPr>
        <w:t xml:space="preserve"> (2017) showed that when added as an additive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monensin decreased digestibility of the substrate, 0.3371 g/g DM, compared to the control, 0.5741 g/g DM, and has been attributed to a reduction in NDF digestibility due to the inhibition of the cellulolytic bacteria </w:t>
      </w:r>
      <w:r>
        <w:rPr>
          <w:rFonts w:ascii="Times New Roman" w:hAnsi="Times New Roman" w:cs="Times New Roman"/>
          <w:i/>
          <w:sz w:val="22"/>
          <w:szCs w:val="22"/>
        </w:rPr>
        <w:t xml:space="preserve">Butyrivibrio fibrisolvens </w:t>
      </w:r>
      <w:r>
        <w:rPr>
          <w:rFonts w:ascii="Times New Roman" w:hAnsi="Times New Roman" w:cs="Times New Roman"/>
          <w:sz w:val="22"/>
          <w:szCs w:val="22"/>
        </w:rPr>
        <w:t xml:space="preserve">and </w:t>
      </w:r>
      <w:r>
        <w:rPr>
          <w:rFonts w:ascii="Times New Roman" w:hAnsi="Times New Roman" w:cs="Times New Roman"/>
          <w:i/>
          <w:sz w:val="22"/>
          <w:szCs w:val="22"/>
        </w:rPr>
        <w:t>Ruminococcus cellulolytic</w:t>
      </w:r>
      <w:r>
        <w:rPr>
          <w:rFonts w:ascii="Times New Roman" w:hAnsi="Times New Roman" w:cs="Times New Roman"/>
          <w:sz w:val="22"/>
          <w:szCs w:val="22"/>
        </w:rPr>
        <w:t xml:space="preserve"> which are sensitive to the ionophore (Medjekal </w:t>
      </w:r>
      <w:r>
        <w:rPr>
          <w:rFonts w:ascii="Times New Roman" w:hAnsi="Times New Roman" w:cs="Times New Roman"/>
          <w:i/>
          <w:sz w:val="22"/>
          <w:szCs w:val="22"/>
        </w:rPr>
        <w:t>et al.</w:t>
      </w:r>
      <w:r>
        <w:rPr>
          <w:rFonts w:ascii="Times New Roman" w:hAnsi="Times New Roman" w:cs="Times New Roman"/>
          <w:sz w:val="22"/>
          <w:szCs w:val="22"/>
        </w:rPr>
        <w:t>, 2017).  Therefore, IVOMD (P &gt; 0.05) value observed in this study with supplementation of Rumensin</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is not in agreement with literature.  Thus, plant extracts tested in this study will not alter the proportion of digestible nutrients available to the ruminant from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however, due to an increased rate of passage associated with supplementation with extracts from </w:t>
      </w:r>
      <w:r>
        <w:rPr>
          <w:rFonts w:ascii="Times New Roman" w:hAnsi="Times New Roman" w:cs="Times New Roman"/>
          <w:i/>
          <w:sz w:val="22"/>
          <w:szCs w:val="22"/>
        </w:rPr>
        <w:t xml:space="preserve">C. erythrophyllum, S. chirindensis </w:t>
      </w:r>
      <w:r>
        <w:rPr>
          <w:rFonts w:ascii="Times New Roman" w:hAnsi="Times New Roman" w:cs="Times New Roman"/>
          <w:sz w:val="22"/>
          <w:szCs w:val="22"/>
        </w:rPr>
        <w:t xml:space="preserve">and </w:t>
      </w:r>
      <w:r>
        <w:rPr>
          <w:rFonts w:ascii="Times New Roman" w:hAnsi="Times New Roman" w:cs="Times New Roman"/>
          <w:i/>
          <w:sz w:val="22"/>
          <w:szCs w:val="22"/>
        </w:rPr>
        <w:t>H. lucida</w:t>
      </w:r>
      <w:r>
        <w:rPr>
          <w:rFonts w:ascii="Times New Roman" w:hAnsi="Times New Roman" w:cs="Times New Roman"/>
          <w:sz w:val="22"/>
          <w:szCs w:val="22"/>
        </w:rPr>
        <w:t xml:space="preserve"> the proportion of each VFA produced might change, likely resulting in an increased volume of propionate which is beneficial to the ruminant in terms of energy supply. </w:t>
      </w:r>
    </w:p>
    <w:p w14:paraId="0646216E" w14:textId="77777777" w:rsidR="00EF65F1" w:rsidRDefault="00EF65F1">
      <w:pPr>
        <w:spacing w:after="0" w:line="360" w:lineRule="auto"/>
        <w:ind w:firstLine="567"/>
        <w:contextualSpacing/>
        <w:jc w:val="both"/>
        <w:rPr>
          <w:rFonts w:ascii="Times New Roman" w:hAnsi="Times New Roman" w:cs="Times New Roman"/>
          <w:sz w:val="22"/>
          <w:szCs w:val="22"/>
        </w:rPr>
      </w:pPr>
    </w:p>
    <w:p w14:paraId="4B7D31C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 this study, the IVOMD value determined for the negative control which consisted of </w:t>
      </w:r>
      <w:r>
        <w:rPr>
          <w:rFonts w:ascii="Times New Roman" w:hAnsi="Times New Roman" w:cs="Times New Roman"/>
          <w:i/>
          <w:sz w:val="22"/>
          <w:szCs w:val="22"/>
        </w:rPr>
        <w:t xml:space="preserve">E. curvula </w:t>
      </w:r>
      <w:r>
        <w:rPr>
          <w:rFonts w:ascii="Times New Roman" w:hAnsi="Times New Roman" w:cs="Times New Roman"/>
          <w:sz w:val="22"/>
          <w:szCs w:val="22"/>
        </w:rPr>
        <w:t>hay without any additive was 562.3 g/kg DM, and</w:t>
      </w:r>
      <w:r>
        <w:rPr>
          <w:rFonts w:ascii="Times New Roman" w:hAnsi="Times New Roman" w:cs="Times New Roman"/>
          <w:i/>
          <w:sz w:val="22"/>
          <w:szCs w:val="22"/>
        </w:rPr>
        <w:t xml:space="preserve"> </w:t>
      </w:r>
      <w:r>
        <w:rPr>
          <w:rFonts w:ascii="Times New Roman" w:hAnsi="Times New Roman" w:cs="Times New Roman"/>
          <w:sz w:val="22"/>
          <w:szCs w:val="22"/>
        </w:rPr>
        <w:t xml:space="preserve">this value is within the range of the OM digestibility value reported for this species by Gemeda and Hassen (2014), determined </w:t>
      </w:r>
      <w:r>
        <w:rPr>
          <w:rFonts w:ascii="Times New Roman" w:hAnsi="Times New Roman" w:cs="Times New Roman"/>
          <w:i/>
          <w:sz w:val="22"/>
          <w:szCs w:val="22"/>
        </w:rPr>
        <w:t>in vitro</w:t>
      </w:r>
      <w:r>
        <w:rPr>
          <w:rFonts w:ascii="Times New Roman" w:hAnsi="Times New Roman" w:cs="Times New Roman"/>
          <w:sz w:val="22"/>
          <w:szCs w:val="22"/>
        </w:rPr>
        <w:t xml:space="preserve">, of 557.9 g/kg DM, while Kriek and Meissner (1989) reported an </w:t>
      </w:r>
      <w:r>
        <w:rPr>
          <w:rFonts w:ascii="Times New Roman" w:hAnsi="Times New Roman" w:cs="Times New Roman"/>
          <w:i/>
          <w:sz w:val="22"/>
          <w:szCs w:val="22"/>
        </w:rPr>
        <w:t xml:space="preserve">in vivo </w:t>
      </w:r>
      <w:r>
        <w:rPr>
          <w:rFonts w:ascii="Times New Roman" w:hAnsi="Times New Roman" w:cs="Times New Roman"/>
          <w:sz w:val="22"/>
          <w:szCs w:val="22"/>
        </w:rPr>
        <w:t>OM digestibility value of 650 g/kg DM.</w:t>
      </w:r>
    </w:p>
    <w:p w14:paraId="1CEAAD2E" w14:textId="77777777" w:rsidR="00EF65F1" w:rsidRDefault="00EF65F1">
      <w:pPr>
        <w:spacing w:after="0" w:line="360" w:lineRule="auto"/>
        <w:ind w:firstLine="567"/>
        <w:contextualSpacing/>
        <w:jc w:val="both"/>
        <w:rPr>
          <w:rFonts w:ascii="Times New Roman" w:hAnsi="Times New Roman" w:cs="Times New Roman"/>
          <w:sz w:val="22"/>
          <w:szCs w:val="22"/>
        </w:rPr>
      </w:pPr>
    </w:p>
    <w:p w14:paraId="72027F0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Akanmu and Hassen (2018) reported that plant extracts from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increased (P &lt; 0.01) the IVOMD of the substrate when tested at a 50 mg/kg DM dose level.  In contrast, plant extracts from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in this study showed no effect on (P &gt; 0.05) IVOMD when compared to the negative control.  Digestibility values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treated with plant extracts screened in this study have not been reported elsewhere in literature, therefore, no comparison to other IVOMD values for these plant extract additives can be performed, as the effects of these plant extracts on digestibility might be species and dose specific. </w:t>
      </w:r>
    </w:p>
    <w:p w14:paraId="64D0D82F" w14:textId="77777777" w:rsidR="00EF65F1" w:rsidRDefault="00EF65F1">
      <w:pPr>
        <w:ind w:firstLine="567"/>
        <w:jc w:val="both"/>
        <w:rPr>
          <w:lang w:val="en-GB"/>
        </w:rPr>
      </w:pPr>
    </w:p>
    <w:p w14:paraId="3B026169" w14:textId="77777777" w:rsidR="00364C97" w:rsidRDefault="00364C97">
      <w:pPr>
        <w:ind w:firstLine="567"/>
        <w:jc w:val="both"/>
        <w:rPr>
          <w:lang w:val="en-GB"/>
        </w:rPr>
      </w:pPr>
    </w:p>
    <w:p w14:paraId="655FC6EB" w14:textId="77777777" w:rsidR="00364C97" w:rsidRDefault="00364C97">
      <w:pPr>
        <w:ind w:firstLine="567"/>
        <w:jc w:val="both"/>
        <w:rPr>
          <w:lang w:val="en-GB"/>
        </w:rPr>
      </w:pPr>
    </w:p>
    <w:p w14:paraId="265F140B" w14:textId="77777777" w:rsidR="00364C97" w:rsidRDefault="00364C97">
      <w:pPr>
        <w:ind w:firstLine="567"/>
        <w:jc w:val="both"/>
        <w:rPr>
          <w:lang w:val="en-GB"/>
        </w:rPr>
      </w:pPr>
    </w:p>
    <w:p w14:paraId="2890A857" w14:textId="77777777" w:rsidR="00364C97" w:rsidRDefault="00364C97">
      <w:pPr>
        <w:ind w:firstLine="567"/>
        <w:jc w:val="both"/>
        <w:rPr>
          <w:lang w:val="en-GB"/>
        </w:rPr>
      </w:pPr>
    </w:p>
    <w:p w14:paraId="5096C9E0" w14:textId="77777777" w:rsidR="00364C97" w:rsidRDefault="00364C97">
      <w:pPr>
        <w:ind w:firstLine="567"/>
        <w:jc w:val="both"/>
        <w:rPr>
          <w:lang w:val="en-GB"/>
        </w:rPr>
      </w:pPr>
    </w:p>
    <w:p w14:paraId="43CB8006" w14:textId="5872304D" w:rsidR="00EF65F1" w:rsidRDefault="00484A18">
      <w:pPr>
        <w:pStyle w:val="Caption"/>
        <w:keepNext/>
        <w:spacing w:after="160"/>
        <w:contextualSpacing/>
        <w:jc w:val="both"/>
        <w:rPr>
          <w:rFonts w:ascii="Times New Roman" w:hAnsi="Times New Roman" w:cs="Times New Roman"/>
          <w:i w:val="0"/>
          <w:color w:val="auto"/>
          <w:sz w:val="24"/>
          <w:szCs w:val="22"/>
        </w:rPr>
      </w:pPr>
      <w:bookmarkStart w:id="160" w:name="_Toc2349138"/>
      <w:r>
        <w:rPr>
          <w:rFonts w:ascii="Times New Roman" w:hAnsi="Times New Roman" w:cs="Times New Roman"/>
          <w:i w:val="0"/>
          <w:color w:val="auto"/>
          <w:sz w:val="24"/>
          <w:szCs w:val="22"/>
        </w:rPr>
        <w:lastRenderedPageBreak/>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5</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IVOMD (g/kg DM)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 treated with seven plant extracts at a 50 mg/kg DM dose level</w:t>
      </w:r>
      <w:bookmarkEnd w:id="160"/>
    </w:p>
    <w:p w14:paraId="70FB445D" w14:textId="77777777" w:rsidR="00EF65F1" w:rsidRDefault="00EF65F1">
      <w:pPr>
        <w:rPr>
          <w:lang w:val="en-GB"/>
        </w:rPr>
      </w:pP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12"/>
        <w:gridCol w:w="3204"/>
      </w:tblGrid>
      <w:tr w:rsidR="00EF65F1" w14:paraId="6FC9410D" w14:textId="77777777" w:rsidTr="00364C97">
        <w:tc>
          <w:tcPr>
            <w:tcW w:w="5812" w:type="dxa"/>
            <w:tcBorders>
              <w:top w:val="single" w:sz="4" w:space="0" w:color="auto"/>
              <w:bottom w:val="single" w:sz="4" w:space="0" w:color="auto"/>
            </w:tcBorders>
          </w:tcPr>
          <w:p w14:paraId="727A89FC" w14:textId="77777777" w:rsidR="00EF65F1" w:rsidRDefault="00484A18">
            <w:r>
              <w:t>Treatment</w:t>
            </w:r>
          </w:p>
        </w:tc>
        <w:tc>
          <w:tcPr>
            <w:tcW w:w="3204" w:type="dxa"/>
            <w:tcBorders>
              <w:top w:val="single" w:sz="4" w:space="0" w:color="auto"/>
              <w:bottom w:val="single" w:sz="4" w:space="0" w:color="auto"/>
            </w:tcBorders>
          </w:tcPr>
          <w:p w14:paraId="620C7F75" w14:textId="77777777" w:rsidR="00EF65F1" w:rsidRDefault="00484A18">
            <w:r>
              <w:t xml:space="preserve">Mean ± SE </w:t>
            </w:r>
          </w:p>
          <w:p w14:paraId="14828F89" w14:textId="77777777" w:rsidR="00EF65F1" w:rsidRDefault="00484A18">
            <w:r>
              <w:t>(g/kg DM)</w:t>
            </w:r>
          </w:p>
        </w:tc>
      </w:tr>
      <w:tr w:rsidR="00EF65F1" w14:paraId="7EFEDD98" w14:textId="77777777" w:rsidTr="00364C97">
        <w:tc>
          <w:tcPr>
            <w:tcW w:w="5812" w:type="dxa"/>
            <w:vAlign w:val="center"/>
          </w:tcPr>
          <w:p w14:paraId="16D1781A"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Eragrostis curvula</w:t>
            </w:r>
          </w:p>
        </w:tc>
        <w:tc>
          <w:tcPr>
            <w:tcW w:w="3204" w:type="dxa"/>
            <w:vAlign w:val="bottom"/>
          </w:tcPr>
          <w:p w14:paraId="7CF931F7"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562.3 ± 7.53</w:t>
            </w:r>
          </w:p>
        </w:tc>
      </w:tr>
      <w:tr w:rsidR="00EF65F1" w14:paraId="7AC2DA67" w14:textId="77777777" w:rsidTr="00364C97">
        <w:tc>
          <w:tcPr>
            <w:tcW w:w="5812" w:type="dxa"/>
            <w:vAlign w:val="center"/>
          </w:tcPr>
          <w:p w14:paraId="1287FCA5"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hAnsi="Times New Roman" w:cs="Times New Roman"/>
              </w:rPr>
              <w:t>Rumensin</w:t>
            </w:r>
            <w:r>
              <w:rPr>
                <w:rFonts w:ascii="Times New Roman" w:hAnsi="Times New Roman" w:cs="Times New Roman"/>
                <w:vertAlign w:val="superscript"/>
              </w:rPr>
              <w:t>®</w:t>
            </w:r>
            <w:r>
              <w:rPr>
                <w:rFonts w:ascii="Times New Roman" w:hAnsi="Times New Roman" w:cs="Times New Roman"/>
              </w:rPr>
              <w:t xml:space="preserve"> 20%</w:t>
            </w:r>
          </w:p>
        </w:tc>
        <w:tc>
          <w:tcPr>
            <w:tcW w:w="3204" w:type="dxa"/>
            <w:vAlign w:val="bottom"/>
          </w:tcPr>
          <w:p w14:paraId="05F3F321"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542.2 ± 2.98</w:t>
            </w:r>
          </w:p>
        </w:tc>
      </w:tr>
      <w:tr w:rsidR="00EF65F1" w14:paraId="63F930ED" w14:textId="77777777" w:rsidTr="00364C97">
        <w:tc>
          <w:tcPr>
            <w:tcW w:w="5812" w:type="dxa"/>
            <w:vAlign w:val="center"/>
          </w:tcPr>
          <w:p w14:paraId="2041A212"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Moringa oleifera</w:t>
            </w:r>
          </w:p>
        </w:tc>
        <w:tc>
          <w:tcPr>
            <w:tcW w:w="3204" w:type="dxa"/>
            <w:vAlign w:val="bottom"/>
          </w:tcPr>
          <w:p w14:paraId="10F361BC"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559.4 ± 0.44</w:t>
            </w:r>
          </w:p>
        </w:tc>
      </w:tr>
      <w:tr w:rsidR="00EF65F1" w14:paraId="5EE7C203" w14:textId="77777777" w:rsidTr="00364C97">
        <w:tc>
          <w:tcPr>
            <w:tcW w:w="5812" w:type="dxa"/>
            <w:vAlign w:val="center"/>
          </w:tcPr>
          <w:p w14:paraId="69D6E6D0"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Combretum erythrophyllum</w:t>
            </w:r>
          </w:p>
        </w:tc>
        <w:tc>
          <w:tcPr>
            <w:tcW w:w="3204" w:type="dxa"/>
            <w:vAlign w:val="bottom"/>
          </w:tcPr>
          <w:p w14:paraId="746196EC"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560.1 ± 2.53</w:t>
            </w:r>
          </w:p>
        </w:tc>
      </w:tr>
      <w:tr w:rsidR="00EF65F1" w14:paraId="547A0B05" w14:textId="77777777" w:rsidTr="00364C97">
        <w:tc>
          <w:tcPr>
            <w:tcW w:w="5812" w:type="dxa"/>
            <w:vAlign w:val="center"/>
          </w:tcPr>
          <w:p w14:paraId="7C0AC4AD"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Dodonaea viscosa</w:t>
            </w:r>
          </w:p>
        </w:tc>
        <w:tc>
          <w:tcPr>
            <w:tcW w:w="3204" w:type="dxa"/>
            <w:vAlign w:val="bottom"/>
          </w:tcPr>
          <w:p w14:paraId="44282E03"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558.3 ± 3.48</w:t>
            </w:r>
          </w:p>
        </w:tc>
      </w:tr>
      <w:tr w:rsidR="00EF65F1" w14:paraId="45351026" w14:textId="77777777" w:rsidTr="00364C97">
        <w:tc>
          <w:tcPr>
            <w:tcW w:w="5812" w:type="dxa"/>
            <w:vAlign w:val="center"/>
          </w:tcPr>
          <w:p w14:paraId="6905A82A"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Heteropyxis natalensis</w:t>
            </w:r>
          </w:p>
        </w:tc>
        <w:tc>
          <w:tcPr>
            <w:tcW w:w="3204" w:type="dxa"/>
            <w:vAlign w:val="bottom"/>
          </w:tcPr>
          <w:p w14:paraId="19113BEF"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553.8 ± 19.11</w:t>
            </w:r>
          </w:p>
        </w:tc>
      </w:tr>
      <w:tr w:rsidR="00EF65F1" w14:paraId="2885C22C" w14:textId="77777777" w:rsidTr="00364C97">
        <w:tc>
          <w:tcPr>
            <w:tcW w:w="5812" w:type="dxa"/>
            <w:vAlign w:val="center"/>
          </w:tcPr>
          <w:p w14:paraId="1FB950DB"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Sclerocarya birrea</w:t>
            </w:r>
          </w:p>
        </w:tc>
        <w:tc>
          <w:tcPr>
            <w:tcW w:w="3204" w:type="dxa"/>
            <w:vAlign w:val="bottom"/>
          </w:tcPr>
          <w:p w14:paraId="235FAD3D"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571.1 ± 4.87</w:t>
            </w:r>
          </w:p>
        </w:tc>
      </w:tr>
      <w:tr w:rsidR="00EF65F1" w14:paraId="50E3563B" w14:textId="77777777" w:rsidTr="00364C97">
        <w:tc>
          <w:tcPr>
            <w:tcW w:w="5812" w:type="dxa"/>
            <w:vAlign w:val="center"/>
          </w:tcPr>
          <w:p w14:paraId="2E76D0A0"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Erythrina lysistemon</w:t>
            </w:r>
          </w:p>
        </w:tc>
        <w:tc>
          <w:tcPr>
            <w:tcW w:w="3204" w:type="dxa"/>
            <w:vAlign w:val="bottom"/>
          </w:tcPr>
          <w:p w14:paraId="1F2E5E46"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556.8 ± 11.7</w:t>
            </w:r>
          </w:p>
        </w:tc>
      </w:tr>
      <w:tr w:rsidR="00EF65F1" w14:paraId="6A0C5C4E" w14:textId="77777777" w:rsidTr="00364C97">
        <w:tc>
          <w:tcPr>
            <w:tcW w:w="5812" w:type="dxa"/>
            <w:vAlign w:val="center"/>
          </w:tcPr>
          <w:p w14:paraId="3C6FF51E"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Searsia chirindensis</w:t>
            </w:r>
          </w:p>
        </w:tc>
        <w:tc>
          <w:tcPr>
            <w:tcW w:w="3204" w:type="dxa"/>
            <w:vAlign w:val="bottom"/>
          </w:tcPr>
          <w:p w14:paraId="2E1B5804"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558.1 ± 11.88</w:t>
            </w:r>
          </w:p>
        </w:tc>
      </w:tr>
      <w:tr w:rsidR="00EF65F1" w14:paraId="7B704395" w14:textId="77777777" w:rsidTr="00364C97">
        <w:tc>
          <w:tcPr>
            <w:tcW w:w="5812" w:type="dxa"/>
            <w:vAlign w:val="center"/>
          </w:tcPr>
          <w:p w14:paraId="773E07C8" w14:textId="77777777" w:rsidR="00EF65F1" w:rsidRDefault="00484A18">
            <w:pPr>
              <w:contextualSpacing/>
              <w:jc w:val="both"/>
              <w:rPr>
                <w:rFonts w:ascii="Times New Roman" w:eastAsia="Times New Roman" w:hAnsi="Times New Roman" w:cs="Times New Roman"/>
                <w:i/>
                <w:color w:val="000000"/>
                <w:lang w:eastAsia="en-ZA"/>
              </w:rPr>
            </w:pPr>
            <w:r>
              <w:rPr>
                <w:rFonts w:ascii="Times New Roman" w:eastAsia="Times New Roman" w:hAnsi="Times New Roman" w:cs="Times New Roman"/>
                <w:i/>
                <w:color w:val="000000"/>
                <w:lang w:eastAsia="en-ZA"/>
              </w:rPr>
              <w:t>Halleria lucida</w:t>
            </w:r>
          </w:p>
        </w:tc>
        <w:tc>
          <w:tcPr>
            <w:tcW w:w="3204" w:type="dxa"/>
            <w:vAlign w:val="bottom"/>
          </w:tcPr>
          <w:p w14:paraId="21BD6FA1"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557.4 ± 6.57</w:t>
            </w:r>
          </w:p>
        </w:tc>
      </w:tr>
      <w:tr w:rsidR="00EF65F1" w14:paraId="7B43A3E1" w14:textId="77777777" w:rsidTr="00364C97">
        <w:tc>
          <w:tcPr>
            <w:tcW w:w="5812" w:type="dxa"/>
            <w:vAlign w:val="center"/>
          </w:tcPr>
          <w:p w14:paraId="1CDDB201"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SEM</w:t>
            </w:r>
          </w:p>
        </w:tc>
        <w:tc>
          <w:tcPr>
            <w:tcW w:w="3204" w:type="dxa"/>
            <w:vAlign w:val="bottom"/>
          </w:tcPr>
          <w:p w14:paraId="0002820C"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2.58</w:t>
            </w:r>
          </w:p>
        </w:tc>
      </w:tr>
      <w:tr w:rsidR="00EF65F1" w14:paraId="16CD0986" w14:textId="77777777" w:rsidTr="00364C97">
        <w:tc>
          <w:tcPr>
            <w:tcW w:w="5812" w:type="dxa"/>
            <w:vAlign w:val="center"/>
          </w:tcPr>
          <w:p w14:paraId="6CF2DE4E"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P-value</w:t>
            </w:r>
          </w:p>
        </w:tc>
        <w:tc>
          <w:tcPr>
            <w:tcW w:w="3204" w:type="dxa"/>
            <w:vAlign w:val="bottom"/>
          </w:tcPr>
          <w:p w14:paraId="3C474FCC" w14:textId="77777777" w:rsidR="00EF65F1" w:rsidRDefault="00484A18">
            <w:pPr>
              <w:contextualSpacing/>
              <w:jc w:val="both"/>
              <w:rPr>
                <w:rFonts w:ascii="Times New Roman" w:eastAsia="Times New Roman" w:hAnsi="Times New Roman" w:cs="Times New Roman"/>
                <w:color w:val="000000"/>
                <w:lang w:eastAsia="en-ZA"/>
              </w:rPr>
            </w:pPr>
            <w:r>
              <w:rPr>
                <w:rFonts w:ascii="Times New Roman" w:eastAsia="Times New Roman" w:hAnsi="Times New Roman" w:cs="Times New Roman"/>
                <w:color w:val="000000"/>
                <w:lang w:eastAsia="en-ZA"/>
              </w:rPr>
              <w:t>0.6</w:t>
            </w:r>
          </w:p>
        </w:tc>
      </w:tr>
    </w:tbl>
    <w:p w14:paraId="52F306F0" w14:textId="77777777" w:rsidR="00EF65F1" w:rsidRDefault="00EF65F1">
      <w:pPr>
        <w:spacing w:after="0" w:line="360" w:lineRule="auto"/>
        <w:ind w:firstLine="567"/>
        <w:contextualSpacing/>
        <w:jc w:val="both"/>
        <w:rPr>
          <w:rFonts w:ascii="Times New Roman" w:hAnsi="Times New Roman" w:cs="Times New Roman"/>
          <w:sz w:val="22"/>
          <w:szCs w:val="22"/>
        </w:rPr>
      </w:pPr>
    </w:p>
    <w:p w14:paraId="505DF3F0"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61" w:name="_Toc2691147"/>
      <w:r>
        <w:rPr>
          <w:rFonts w:ascii="Times New Roman" w:hAnsi="Times New Roman" w:cs="Times New Roman"/>
          <w:color w:val="auto"/>
          <w:szCs w:val="22"/>
        </w:rPr>
        <w:t>Relationship between CH</w:t>
      </w:r>
      <w:r>
        <w:rPr>
          <w:rFonts w:ascii="Times New Roman" w:hAnsi="Times New Roman" w:cs="Times New Roman"/>
          <w:color w:val="auto"/>
          <w:szCs w:val="22"/>
          <w:vertAlign w:val="subscript"/>
        </w:rPr>
        <w:t>4</w:t>
      </w:r>
      <w:r>
        <w:rPr>
          <w:rFonts w:ascii="Times New Roman" w:hAnsi="Times New Roman" w:cs="Times New Roman"/>
          <w:color w:val="auto"/>
          <w:szCs w:val="22"/>
        </w:rPr>
        <w:t>: TGP versus digestibility response</w:t>
      </w:r>
      <w:bookmarkEnd w:id="161"/>
    </w:p>
    <w:p w14:paraId="3F64145B" w14:textId="77777777" w:rsidR="00EF65F1" w:rsidRDefault="00EF65F1">
      <w:pPr>
        <w:spacing w:after="0" w:line="360" w:lineRule="auto"/>
        <w:ind w:firstLine="567"/>
        <w:contextualSpacing/>
        <w:jc w:val="both"/>
        <w:rPr>
          <w:rFonts w:ascii="Times New Roman" w:hAnsi="Times New Roman" w:cs="Times New Roman"/>
          <w:sz w:val="22"/>
          <w:szCs w:val="22"/>
        </w:rPr>
      </w:pPr>
    </w:p>
    <w:p w14:paraId="7D6DBC8C" w14:textId="77777777" w:rsidR="00364C97" w:rsidRDefault="00484A18" w:rsidP="00364C97">
      <w:pPr>
        <w:spacing w:after="0" w:line="360" w:lineRule="auto"/>
        <w:contextualSpacing/>
        <w:jc w:val="both"/>
        <w:rPr>
          <w:rFonts w:ascii="Times New Roman" w:hAnsi="Times New Roman" w:cs="Times New Roman"/>
          <w:szCs w:val="20"/>
        </w:rPr>
      </w:pPr>
      <w:r>
        <w:rPr>
          <w:rFonts w:ascii="Times New Roman" w:hAnsi="Times New Roman" w:cs="Times New Roman"/>
          <w:sz w:val="22"/>
          <w:szCs w:val="22"/>
        </w:rPr>
        <w:t>Figure 2.14 depicts the 48- hour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proportion to total gas production (TGP) versus IVOMD for the treatments tested in this study.  Plant extracts from </w:t>
      </w:r>
      <w:r>
        <w:rPr>
          <w:rFonts w:ascii="Times New Roman" w:hAnsi="Times New Roman" w:cs="Times New Roman"/>
          <w:i/>
          <w:sz w:val="22"/>
          <w:szCs w:val="22"/>
        </w:rPr>
        <w:t xml:space="preserve">S. birrea </w:t>
      </w:r>
      <w:r>
        <w:rPr>
          <w:rFonts w:ascii="Times New Roman" w:hAnsi="Times New Roman" w:cs="Times New Roman"/>
          <w:sz w:val="22"/>
          <w:szCs w:val="22"/>
        </w:rPr>
        <w:t xml:space="preserve">may hold potential to improve the energy utilisation of hays such as </w:t>
      </w:r>
      <w:r>
        <w:rPr>
          <w:rFonts w:ascii="Times New Roman" w:hAnsi="Times New Roman" w:cs="Times New Roman"/>
          <w:i/>
          <w:sz w:val="22"/>
          <w:szCs w:val="22"/>
        </w:rPr>
        <w:t>E. curvula</w:t>
      </w:r>
      <w:r>
        <w:rPr>
          <w:rFonts w:ascii="Times New Roman" w:hAnsi="Times New Roman" w:cs="Times New Roman"/>
          <w:sz w:val="22"/>
          <w:szCs w:val="22"/>
        </w:rPr>
        <w:t>, as the IVOMD value was higher (P &gt; 0.05) with the use of plant extract from this species at a 50 mg/kg DM dose level, without a corresponding increase in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indicating more potential energy available for utilisation by the ruminant.  This figure illustrates that the majority of plant extracts tested in this study at a dose level of 50 mg/kg DM did not reduce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TGP after 48 hours.  Only </w:t>
      </w:r>
      <w:r>
        <w:rPr>
          <w:rFonts w:ascii="Times New Roman" w:hAnsi="Times New Roman" w:cs="Times New Roman"/>
          <w:i/>
          <w:sz w:val="22"/>
          <w:szCs w:val="22"/>
        </w:rPr>
        <w:t xml:space="preserve">H. lucida </w:t>
      </w:r>
      <w:r>
        <w:rPr>
          <w:rFonts w:ascii="Times New Roman" w:hAnsi="Times New Roman" w:cs="Times New Roman"/>
          <w:sz w:val="22"/>
          <w:szCs w:val="22"/>
        </w:rPr>
        <w:t xml:space="preserve">plant extract </w:t>
      </w:r>
      <w:r w:rsidR="00364C97">
        <w:rPr>
          <w:rFonts w:ascii="Times New Roman" w:hAnsi="Times New Roman" w:cs="Times New Roman"/>
          <w:sz w:val="22"/>
          <w:szCs w:val="22"/>
        </w:rPr>
        <w:t>showed a reduction, though this was also coupled with a slight reduction in the IVOMD when compared to the negative control.</w:t>
      </w:r>
    </w:p>
    <w:p w14:paraId="75E750B9" w14:textId="77777777" w:rsidR="00EF65F1" w:rsidRDefault="00EF65F1">
      <w:pPr>
        <w:spacing w:after="0" w:line="360" w:lineRule="auto"/>
        <w:ind w:firstLine="567"/>
        <w:contextualSpacing/>
        <w:jc w:val="both"/>
        <w:rPr>
          <w:rFonts w:ascii="Times New Roman" w:hAnsi="Times New Roman" w:cs="Times New Roman"/>
          <w:sz w:val="22"/>
          <w:szCs w:val="22"/>
        </w:rPr>
      </w:pPr>
    </w:p>
    <w:p w14:paraId="4610D1CD" w14:textId="77777777" w:rsidR="00364C97" w:rsidRDefault="00364C97">
      <w:pPr>
        <w:spacing w:after="0" w:line="360" w:lineRule="auto"/>
        <w:ind w:firstLine="567"/>
        <w:contextualSpacing/>
        <w:jc w:val="both"/>
        <w:rPr>
          <w:rFonts w:ascii="Times New Roman" w:hAnsi="Times New Roman" w:cs="Times New Roman"/>
          <w:sz w:val="22"/>
          <w:szCs w:val="22"/>
        </w:rPr>
      </w:pPr>
    </w:p>
    <w:p w14:paraId="0E4D8469" w14:textId="77777777" w:rsidR="00364C97" w:rsidRDefault="00364C97">
      <w:pPr>
        <w:spacing w:after="0" w:line="360" w:lineRule="auto"/>
        <w:ind w:firstLine="567"/>
        <w:contextualSpacing/>
        <w:jc w:val="both"/>
        <w:rPr>
          <w:rFonts w:ascii="Times New Roman" w:hAnsi="Times New Roman" w:cs="Times New Roman"/>
          <w:sz w:val="22"/>
          <w:szCs w:val="22"/>
        </w:rPr>
      </w:pPr>
    </w:p>
    <w:p w14:paraId="4EDD68F1" w14:textId="77777777" w:rsidR="00EF65F1" w:rsidRDefault="00EF65F1">
      <w:pPr>
        <w:spacing w:after="0" w:line="360" w:lineRule="auto"/>
        <w:ind w:firstLine="567"/>
        <w:contextualSpacing/>
        <w:jc w:val="both"/>
        <w:rPr>
          <w:rFonts w:ascii="Times New Roman" w:hAnsi="Times New Roman" w:cs="Times New Roman"/>
          <w:sz w:val="22"/>
          <w:szCs w:val="22"/>
        </w:rPr>
      </w:pPr>
    </w:p>
    <w:p w14:paraId="1F0FB341" w14:textId="77777777" w:rsidR="00EF65F1" w:rsidRDefault="00484A18">
      <w:pPr>
        <w:spacing w:after="0" w:line="360" w:lineRule="auto"/>
        <w:contextualSpacing/>
        <w:rPr>
          <w:rFonts w:ascii="Times New Roman" w:hAnsi="Times New Roman" w:cs="Times New Roman"/>
          <w:i/>
          <w:sz w:val="22"/>
          <w:szCs w:val="22"/>
        </w:rPr>
      </w:pPr>
      <w:r>
        <w:rPr>
          <w:rFonts w:ascii="Times New Roman" w:hAnsi="Times New Roman" w:cs="Times New Roman"/>
          <w:noProof/>
          <w:sz w:val="22"/>
          <w:szCs w:val="22"/>
          <w:lang w:eastAsia="en-ZA"/>
        </w:rPr>
        <w:lastRenderedPageBreak/>
        <w:drawing>
          <wp:inline distT="0" distB="0" distL="0" distR="0" wp14:anchorId="660F7665" wp14:editId="7A3DDE93">
            <wp:extent cx="5731510" cy="2924628"/>
            <wp:effectExtent l="0" t="0" r="2540" b="9525"/>
            <wp:docPr id="11" name="Chart 11">
              <a:extLst xmlns:a="http://schemas.openxmlformats.org/drawingml/2006/main">
                <a:ext uri="{FF2B5EF4-FFF2-40B4-BE49-F238E27FC236}">
                  <a16:creationId xmlns:a16="http://schemas.microsoft.com/office/drawing/2014/main" id="{C0DA7660-8479-4BBF-B92D-46D4E49C55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85C85F4" w14:textId="77777777" w:rsidR="00EF65F1" w:rsidRDefault="00EF65F1">
      <w:pPr>
        <w:keepNext/>
        <w:spacing w:after="0" w:line="360" w:lineRule="auto"/>
        <w:contextualSpacing/>
        <w:jc w:val="both"/>
        <w:rPr>
          <w:rFonts w:ascii="Times New Roman" w:hAnsi="Times New Roman" w:cs="Times New Roman"/>
          <w:sz w:val="22"/>
          <w:szCs w:val="22"/>
        </w:rPr>
      </w:pPr>
      <w:bookmarkStart w:id="162" w:name="_Toc530512575"/>
      <w:bookmarkStart w:id="163" w:name="_Toc2349044"/>
    </w:p>
    <w:p w14:paraId="508BA41A" w14:textId="385E2D63" w:rsidR="00EF65F1" w:rsidRDefault="00484A18">
      <w:pPr>
        <w:keepNext/>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t xml:space="preserve">Figure </w:t>
      </w:r>
      <w:r>
        <w:rPr>
          <w:rFonts w:ascii="Times New Roman" w:hAnsi="Times New Roman" w:cs="Times New Roman"/>
          <w:sz w:val="22"/>
          <w:szCs w:val="22"/>
        </w:rPr>
        <w:fldChar w:fldCharType="begin"/>
      </w:r>
      <w:r>
        <w:rPr>
          <w:rFonts w:ascii="Times New Roman" w:hAnsi="Times New Roman" w:cs="Times New Roman"/>
          <w:sz w:val="22"/>
          <w:szCs w:val="22"/>
        </w:rPr>
        <w:instrText xml:space="preserve"> STYLEREF 1 \s </w:instrText>
      </w:r>
      <w:r>
        <w:rPr>
          <w:rFonts w:ascii="Times New Roman" w:hAnsi="Times New Roman" w:cs="Times New Roman"/>
          <w:sz w:val="22"/>
          <w:szCs w:val="22"/>
        </w:rPr>
        <w:fldChar w:fldCharType="separate"/>
      </w:r>
      <w:r w:rsidR="00E604B8">
        <w:rPr>
          <w:rFonts w:ascii="Times New Roman" w:hAnsi="Times New Roman" w:cs="Times New Roman"/>
          <w:noProof/>
          <w:sz w:val="22"/>
          <w:szCs w:val="22"/>
        </w:rPr>
        <w:t>2</w:t>
      </w:r>
      <w:r>
        <w:rPr>
          <w:rFonts w:ascii="Times New Roman" w:hAnsi="Times New Roman" w:cs="Times New Roman"/>
          <w:sz w:val="22"/>
          <w:szCs w:val="22"/>
        </w:rPr>
        <w:fldChar w:fldCharType="end"/>
      </w:r>
      <w:r>
        <w:rPr>
          <w:rFonts w:ascii="Times New Roman" w:hAnsi="Times New Roman" w:cs="Times New Roman"/>
          <w:sz w:val="22"/>
          <w:szCs w:val="22"/>
        </w:rPr>
        <w:t>.</w:t>
      </w:r>
      <w:r>
        <w:rPr>
          <w:rFonts w:ascii="Times New Roman" w:hAnsi="Times New Roman" w:cs="Times New Roman"/>
          <w:sz w:val="22"/>
          <w:szCs w:val="22"/>
        </w:rPr>
        <w:fldChar w:fldCharType="begin"/>
      </w:r>
      <w:r>
        <w:rPr>
          <w:rFonts w:ascii="Times New Roman" w:hAnsi="Times New Roman" w:cs="Times New Roman"/>
          <w:sz w:val="22"/>
          <w:szCs w:val="22"/>
        </w:rPr>
        <w:instrText xml:space="preserve"> SEQ Figure \* ARABIC \s 1 </w:instrText>
      </w:r>
      <w:r>
        <w:rPr>
          <w:rFonts w:ascii="Times New Roman" w:hAnsi="Times New Roman" w:cs="Times New Roman"/>
          <w:sz w:val="22"/>
          <w:szCs w:val="22"/>
        </w:rPr>
        <w:fldChar w:fldCharType="separate"/>
      </w:r>
      <w:r w:rsidR="00E604B8">
        <w:rPr>
          <w:rFonts w:ascii="Times New Roman" w:hAnsi="Times New Roman" w:cs="Times New Roman"/>
          <w:noProof/>
          <w:sz w:val="22"/>
          <w:szCs w:val="22"/>
        </w:rPr>
        <w:t>14</w:t>
      </w:r>
      <w:r>
        <w:rPr>
          <w:rFonts w:ascii="Times New Roman" w:hAnsi="Times New Roman" w:cs="Times New Roman"/>
          <w:sz w:val="22"/>
          <w:szCs w:val="22"/>
        </w:rPr>
        <w:fldChar w:fldCharType="end"/>
      </w:r>
      <w:r>
        <w:rPr>
          <w:rFonts w:ascii="Times New Roman" w:hAnsi="Times New Roman" w:cs="Times New Roman"/>
          <w:sz w:val="22"/>
          <w:szCs w:val="22"/>
        </w:rPr>
        <w:t xml:space="preserve"> Relationship between CH4: TGP vs. IVOMD for </w:t>
      </w:r>
      <w:r>
        <w:rPr>
          <w:rFonts w:ascii="Times New Roman" w:hAnsi="Times New Roman" w:cs="Times New Roman"/>
          <w:i/>
          <w:sz w:val="22"/>
          <w:szCs w:val="22"/>
        </w:rPr>
        <w:t>Eragrostis curvula</w:t>
      </w:r>
      <w:r>
        <w:rPr>
          <w:rFonts w:ascii="Times New Roman" w:hAnsi="Times New Roman" w:cs="Times New Roman"/>
          <w:sz w:val="22"/>
          <w:szCs w:val="22"/>
        </w:rPr>
        <w:t xml:space="preserve"> hay treated with seven plant extracts at a 50 mg/</w:t>
      </w:r>
      <w:bookmarkEnd w:id="162"/>
      <w:r>
        <w:rPr>
          <w:rFonts w:ascii="Times New Roman" w:hAnsi="Times New Roman" w:cs="Times New Roman"/>
          <w:sz w:val="22"/>
          <w:szCs w:val="22"/>
        </w:rPr>
        <w:t>kg DM dose level</w:t>
      </w:r>
      <w:bookmarkEnd w:id="163"/>
    </w:p>
    <w:p w14:paraId="182357B5" w14:textId="77777777" w:rsidR="00EF65F1" w:rsidRDefault="00484A18">
      <w:pPr>
        <w:spacing w:after="0" w:line="240" w:lineRule="auto"/>
        <w:contextualSpacing/>
        <w:jc w:val="both"/>
        <w:rPr>
          <w:rFonts w:ascii="Times New Roman" w:hAnsi="Times New Roman" w:cs="Times New Roman"/>
          <w:i/>
          <w:szCs w:val="20"/>
        </w:rPr>
      </w:pPr>
      <w:r>
        <w:rPr>
          <w:rFonts w:ascii="Times New Roman" w:hAnsi="Times New Roman" w:cs="Times New Roman"/>
          <w:szCs w:val="20"/>
        </w:rPr>
        <w:t xml:space="preserve">EC: </w:t>
      </w:r>
      <w:r>
        <w:rPr>
          <w:rFonts w:ascii="Times New Roman" w:hAnsi="Times New Roman" w:cs="Times New Roman"/>
          <w:i/>
          <w:szCs w:val="20"/>
        </w:rPr>
        <w:t>Eragrostis curvula</w:t>
      </w:r>
      <w:r>
        <w:rPr>
          <w:rFonts w:ascii="Times New Roman" w:hAnsi="Times New Roman" w:cs="Times New Roman"/>
          <w:szCs w:val="20"/>
        </w:rPr>
        <w:t>; RUM: Rumensin</w:t>
      </w:r>
      <w:r>
        <w:rPr>
          <w:rFonts w:ascii="Times New Roman" w:hAnsi="Times New Roman" w:cs="Times New Roman"/>
          <w:szCs w:val="20"/>
          <w:vertAlign w:val="superscript"/>
        </w:rPr>
        <w:t>®</w:t>
      </w:r>
      <w:r>
        <w:rPr>
          <w:rFonts w:ascii="Times New Roman" w:hAnsi="Times New Roman" w:cs="Times New Roman"/>
          <w:szCs w:val="20"/>
        </w:rPr>
        <w:t xml:space="preserve"> 20%; MO- </w:t>
      </w:r>
      <w:r>
        <w:rPr>
          <w:rFonts w:ascii="Times New Roman" w:hAnsi="Times New Roman" w:cs="Times New Roman"/>
          <w:i/>
          <w:szCs w:val="20"/>
        </w:rPr>
        <w:t xml:space="preserve">Moringa oleifera; </w:t>
      </w:r>
      <w:r>
        <w:rPr>
          <w:rFonts w:ascii="Times New Roman" w:hAnsi="Times New Roman" w:cs="Times New Roman"/>
          <w:szCs w:val="20"/>
        </w:rPr>
        <w:t xml:space="preserve">CE: </w:t>
      </w:r>
      <w:r>
        <w:rPr>
          <w:rFonts w:ascii="Times New Roman" w:hAnsi="Times New Roman" w:cs="Times New Roman"/>
          <w:i/>
          <w:szCs w:val="20"/>
        </w:rPr>
        <w:t>Combretum erythrophyllum</w:t>
      </w:r>
      <w:r>
        <w:rPr>
          <w:rFonts w:ascii="Times New Roman" w:hAnsi="Times New Roman" w:cs="Times New Roman"/>
          <w:szCs w:val="20"/>
        </w:rPr>
        <w:t xml:space="preserve">; DV: </w:t>
      </w:r>
      <w:r>
        <w:rPr>
          <w:rFonts w:ascii="Times New Roman" w:hAnsi="Times New Roman" w:cs="Times New Roman"/>
          <w:i/>
          <w:szCs w:val="20"/>
        </w:rPr>
        <w:t>Dodonaea viscosa</w:t>
      </w:r>
      <w:r>
        <w:rPr>
          <w:rFonts w:ascii="Times New Roman" w:hAnsi="Times New Roman" w:cs="Times New Roman"/>
          <w:szCs w:val="20"/>
        </w:rPr>
        <w:t xml:space="preserve">; HN: </w:t>
      </w:r>
      <w:r>
        <w:rPr>
          <w:rFonts w:ascii="Times New Roman" w:hAnsi="Times New Roman" w:cs="Times New Roman"/>
          <w:i/>
          <w:szCs w:val="20"/>
        </w:rPr>
        <w:t>Heteropyxis natalensis</w:t>
      </w:r>
      <w:r>
        <w:rPr>
          <w:rFonts w:ascii="Times New Roman" w:hAnsi="Times New Roman" w:cs="Times New Roman"/>
          <w:szCs w:val="20"/>
        </w:rPr>
        <w:t xml:space="preserve">; SB: </w:t>
      </w:r>
      <w:r>
        <w:rPr>
          <w:rFonts w:ascii="Times New Roman" w:hAnsi="Times New Roman" w:cs="Times New Roman"/>
          <w:i/>
          <w:szCs w:val="20"/>
        </w:rPr>
        <w:t>Sclerocarya birrea</w:t>
      </w:r>
      <w:r>
        <w:rPr>
          <w:rFonts w:ascii="Times New Roman" w:hAnsi="Times New Roman" w:cs="Times New Roman"/>
          <w:szCs w:val="20"/>
        </w:rPr>
        <w:t xml:space="preserve">; EL: </w:t>
      </w:r>
      <w:r>
        <w:rPr>
          <w:rFonts w:ascii="Times New Roman" w:hAnsi="Times New Roman" w:cs="Times New Roman"/>
          <w:i/>
          <w:szCs w:val="20"/>
        </w:rPr>
        <w:t>Erythrina lysistemon</w:t>
      </w:r>
      <w:r>
        <w:rPr>
          <w:rFonts w:ascii="Times New Roman" w:hAnsi="Times New Roman" w:cs="Times New Roman"/>
          <w:szCs w:val="20"/>
        </w:rPr>
        <w:t xml:space="preserve">; SC: </w:t>
      </w:r>
      <w:r>
        <w:rPr>
          <w:rFonts w:ascii="Times New Roman" w:hAnsi="Times New Roman" w:cs="Times New Roman"/>
          <w:i/>
          <w:szCs w:val="20"/>
        </w:rPr>
        <w:t>Searsia chirindensis</w:t>
      </w:r>
      <w:r>
        <w:rPr>
          <w:rFonts w:ascii="Times New Roman" w:hAnsi="Times New Roman" w:cs="Times New Roman"/>
          <w:szCs w:val="20"/>
        </w:rPr>
        <w:t xml:space="preserve">; HL: </w:t>
      </w:r>
      <w:r>
        <w:rPr>
          <w:rFonts w:ascii="Times New Roman" w:hAnsi="Times New Roman" w:cs="Times New Roman"/>
          <w:i/>
          <w:szCs w:val="20"/>
        </w:rPr>
        <w:t>Halleria lucida</w:t>
      </w:r>
    </w:p>
    <w:p w14:paraId="1EE88190" w14:textId="77777777" w:rsidR="00EF65F1" w:rsidRDefault="00EF65F1">
      <w:pPr>
        <w:spacing w:after="0" w:line="240" w:lineRule="auto"/>
        <w:contextualSpacing/>
        <w:jc w:val="both"/>
        <w:rPr>
          <w:rFonts w:ascii="Times New Roman" w:hAnsi="Times New Roman" w:cs="Times New Roman"/>
          <w:i/>
          <w:szCs w:val="20"/>
        </w:rPr>
      </w:pPr>
    </w:p>
    <w:p w14:paraId="58BF3DBD" w14:textId="77777777" w:rsidR="00EF65F1" w:rsidRDefault="00EF65F1">
      <w:pPr>
        <w:spacing w:after="0" w:line="240" w:lineRule="auto"/>
        <w:contextualSpacing/>
        <w:jc w:val="both"/>
        <w:rPr>
          <w:rFonts w:ascii="Times New Roman" w:hAnsi="Times New Roman" w:cs="Times New Roman"/>
          <w:i/>
          <w:szCs w:val="20"/>
        </w:rPr>
      </w:pPr>
    </w:p>
    <w:p w14:paraId="3BB05FFD"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64" w:name="_Toc2691148"/>
      <w:r>
        <w:rPr>
          <w:rFonts w:ascii="Times New Roman" w:hAnsi="Times New Roman" w:cs="Times New Roman"/>
          <w:b/>
          <w:color w:val="auto"/>
          <w:sz w:val="24"/>
          <w:szCs w:val="24"/>
        </w:rPr>
        <w:t>Conclusion</w:t>
      </w:r>
      <w:bookmarkEnd w:id="164"/>
    </w:p>
    <w:p w14:paraId="785F4F10" w14:textId="77777777" w:rsidR="00EF65F1" w:rsidRDefault="00EF65F1">
      <w:pPr>
        <w:spacing w:after="0" w:line="360" w:lineRule="auto"/>
        <w:ind w:firstLine="567"/>
        <w:contextualSpacing/>
        <w:jc w:val="both"/>
        <w:rPr>
          <w:rFonts w:ascii="Times New Roman" w:hAnsi="Times New Roman" w:cs="Times New Roman"/>
          <w:sz w:val="22"/>
          <w:szCs w:val="22"/>
        </w:rPr>
      </w:pPr>
    </w:p>
    <w:p w14:paraId="7B691710"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seven plant extracts tested at a 50 mg/kg DM dose level in this study have shown variation in terms of their effect on gas, methane, digestion and rate of gas production.  Although the plant extracts tested in this study generally increased the volume of gas produced when compared to the negative control, this trait is particularly prominent when plant extracts from </w:t>
      </w:r>
      <w:r>
        <w:rPr>
          <w:rFonts w:ascii="Times New Roman" w:hAnsi="Times New Roman" w:cs="Times New Roman"/>
          <w:i/>
          <w:sz w:val="22"/>
          <w:szCs w:val="22"/>
        </w:rPr>
        <w:t>H. lucida</w:t>
      </w:r>
      <w:r>
        <w:rPr>
          <w:rFonts w:ascii="Times New Roman" w:hAnsi="Times New Roman" w:cs="Times New Roman"/>
          <w:sz w:val="22"/>
          <w:szCs w:val="22"/>
        </w:rPr>
        <w:t xml:space="preserve"> were used.  The addition of </w:t>
      </w:r>
      <w:r>
        <w:rPr>
          <w:rFonts w:ascii="Times New Roman" w:hAnsi="Times New Roman" w:cs="Times New Roman"/>
          <w:i/>
          <w:sz w:val="22"/>
          <w:szCs w:val="22"/>
        </w:rPr>
        <w:t>H. lucida</w:t>
      </w:r>
      <w:r>
        <w:rPr>
          <w:rFonts w:ascii="Times New Roman" w:hAnsi="Times New Roman" w:cs="Times New Roman"/>
          <w:sz w:val="22"/>
          <w:szCs w:val="22"/>
        </w:rPr>
        <w:t xml:space="preserve"> plant extracts at a 50 mg/kg DM dose level led to a significant increase (P &lt; 0.05) the volume of gas produced especially in the earlier incubation periods.  In conjunction with the increased rate of gas production,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generally reduced (P &gt; 0.05) 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gas produced.  In addition, plant extracts from the species </w:t>
      </w:r>
      <w:r>
        <w:rPr>
          <w:rFonts w:ascii="Times New Roman" w:hAnsi="Times New Roman" w:cs="Times New Roman"/>
          <w:i/>
          <w:sz w:val="22"/>
          <w:szCs w:val="22"/>
        </w:rPr>
        <w:t xml:space="preserve">C. erythrophyllum </w:t>
      </w:r>
      <w:r>
        <w:rPr>
          <w:rFonts w:ascii="Times New Roman" w:hAnsi="Times New Roman" w:cs="Times New Roman"/>
          <w:sz w:val="22"/>
          <w:szCs w:val="22"/>
        </w:rPr>
        <w:t xml:space="preserve">and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tested in this study, also increased (P &lt; 0.05) the rate of gas production but to a lesser extent than plant extracts from </w:t>
      </w:r>
      <w:r>
        <w:rPr>
          <w:rFonts w:ascii="Times New Roman" w:hAnsi="Times New Roman" w:cs="Times New Roman"/>
          <w:i/>
          <w:sz w:val="22"/>
          <w:szCs w:val="22"/>
        </w:rPr>
        <w:t xml:space="preserve">H. lucida.  </w:t>
      </w:r>
      <w:r>
        <w:rPr>
          <w:rFonts w:ascii="Times New Roman" w:hAnsi="Times New Roman" w:cs="Times New Roman"/>
          <w:sz w:val="22"/>
          <w:szCs w:val="22"/>
        </w:rPr>
        <w:t xml:space="preserve"> </w:t>
      </w:r>
    </w:p>
    <w:p w14:paraId="09A6C391" w14:textId="77777777" w:rsidR="00EF65F1" w:rsidRDefault="00EF65F1">
      <w:pPr>
        <w:spacing w:after="0" w:line="360" w:lineRule="auto"/>
        <w:ind w:firstLine="567"/>
        <w:contextualSpacing/>
        <w:jc w:val="both"/>
        <w:rPr>
          <w:rFonts w:ascii="Times New Roman" w:hAnsi="Times New Roman" w:cs="Times New Roman"/>
          <w:sz w:val="22"/>
          <w:szCs w:val="22"/>
        </w:rPr>
      </w:pPr>
    </w:p>
    <w:p w14:paraId="5DA943CD" w14:textId="77777777" w:rsidR="00EF65F1" w:rsidRDefault="00484A18">
      <w:pPr>
        <w:spacing w:line="360" w:lineRule="auto"/>
        <w:ind w:firstLine="567"/>
        <w:jc w:val="both"/>
        <w:rPr>
          <w:rFonts w:ascii="Times New Roman" w:hAnsi="Times New Roman" w:cs="Times New Roman"/>
          <w:sz w:val="22"/>
          <w:szCs w:val="22"/>
        </w:rPr>
      </w:pPr>
      <w:r>
        <w:rPr>
          <w:rFonts w:ascii="Times New Roman" w:hAnsi="Times New Roman" w:cs="Times New Roman"/>
          <w:sz w:val="22"/>
          <w:szCs w:val="22"/>
        </w:rPr>
        <w:t>Generally, compared to the negative control rumen fermentation characteristics were not significantly improved when plant extracts from</w:t>
      </w:r>
      <w:r>
        <w:rPr>
          <w:rFonts w:ascii="Times New Roman" w:hAnsi="Times New Roman" w:cs="Times New Roman"/>
          <w:i/>
          <w:sz w:val="22"/>
          <w:szCs w:val="22"/>
        </w:rPr>
        <w:t xml:space="preserve"> D. viscosa, H. natalensis, S. birrea </w:t>
      </w:r>
      <w:r>
        <w:rPr>
          <w:rFonts w:ascii="Times New Roman" w:hAnsi="Times New Roman" w:cs="Times New Roman"/>
          <w:sz w:val="22"/>
          <w:szCs w:val="22"/>
        </w:rPr>
        <w:t>and</w:t>
      </w:r>
      <w:r>
        <w:rPr>
          <w:rFonts w:ascii="Times New Roman" w:hAnsi="Times New Roman" w:cs="Times New Roman"/>
          <w:i/>
          <w:sz w:val="22"/>
          <w:szCs w:val="22"/>
        </w:rPr>
        <w:t xml:space="preserve"> E. lysistemon </w:t>
      </w:r>
      <w:r>
        <w:rPr>
          <w:rFonts w:ascii="Times New Roman" w:hAnsi="Times New Roman" w:cs="Times New Roman"/>
          <w:sz w:val="22"/>
          <w:szCs w:val="22"/>
        </w:rPr>
        <w:t>are used at a dose level of 50 mg/kg DM.</w:t>
      </w:r>
      <w:r>
        <w:t xml:space="preserve">  </w:t>
      </w:r>
      <w:r>
        <w:rPr>
          <w:rFonts w:ascii="Times New Roman" w:hAnsi="Times New Roman" w:cs="Times New Roman"/>
          <w:sz w:val="22"/>
          <w:szCs w:val="22"/>
        </w:rPr>
        <w:t xml:space="preserve">However, supplementation with plant extracts from </w:t>
      </w:r>
      <w:r>
        <w:rPr>
          <w:rFonts w:ascii="Times New Roman" w:hAnsi="Times New Roman" w:cs="Times New Roman"/>
          <w:i/>
          <w:sz w:val="22"/>
          <w:szCs w:val="22"/>
        </w:rPr>
        <w:t xml:space="preserve">H. lucida, C. erythrophyllum </w:t>
      </w:r>
      <w:r>
        <w:rPr>
          <w:rFonts w:ascii="Times New Roman" w:hAnsi="Times New Roman" w:cs="Times New Roman"/>
          <w:sz w:val="22"/>
          <w:szCs w:val="22"/>
        </w:rPr>
        <w:t xml:space="preserve">and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at a 50 mg/kg DM dose level may be potentially beneficial as rumen modifiers to ruminants by improving the proportion of available energy from the ruminant diet.  </w:t>
      </w:r>
      <w:r>
        <w:rPr>
          <w:rFonts w:ascii="Times New Roman" w:hAnsi="Times New Roman" w:cs="Times New Roman"/>
          <w:sz w:val="22"/>
          <w:szCs w:val="22"/>
        </w:rPr>
        <w:lastRenderedPageBreak/>
        <w:t xml:space="preserve">However, further testing of plant extracts from </w:t>
      </w:r>
      <w:r>
        <w:rPr>
          <w:rFonts w:ascii="Times New Roman" w:hAnsi="Times New Roman" w:cs="Times New Roman"/>
          <w:i/>
          <w:sz w:val="22"/>
          <w:szCs w:val="22"/>
        </w:rPr>
        <w:t xml:space="preserve">H. lucida, C. erythrophyllum </w:t>
      </w:r>
      <w:r>
        <w:rPr>
          <w:rFonts w:ascii="Times New Roman" w:hAnsi="Times New Roman" w:cs="Times New Roman"/>
          <w:sz w:val="22"/>
          <w:szCs w:val="22"/>
        </w:rPr>
        <w:t xml:space="preserve">and </w:t>
      </w:r>
      <w:r>
        <w:rPr>
          <w:rFonts w:ascii="Times New Roman" w:hAnsi="Times New Roman" w:cs="Times New Roman"/>
          <w:i/>
          <w:sz w:val="22"/>
          <w:szCs w:val="22"/>
        </w:rPr>
        <w:t>S. chirindensis</w:t>
      </w:r>
      <w:r>
        <w:rPr>
          <w:rFonts w:ascii="Times New Roman" w:hAnsi="Times New Roman" w:cs="Times New Roman"/>
          <w:sz w:val="22"/>
          <w:szCs w:val="22"/>
        </w:rPr>
        <w:t xml:space="preserve"> at multiple dose levels in the range of 50 mg/kg DM is recommended to fully elude their optimal dose level and/or potential as feed additives in ruminants.</w:t>
      </w:r>
    </w:p>
    <w:p w14:paraId="419AFD2B" w14:textId="77777777" w:rsidR="00EF65F1" w:rsidRDefault="00484A18">
      <w:pPr>
        <w:rPr>
          <w:rFonts w:ascii="Times New Roman" w:hAnsi="Times New Roman" w:cs="Times New Roman"/>
          <w:sz w:val="22"/>
          <w:szCs w:val="22"/>
        </w:rPr>
      </w:pPr>
      <w:r>
        <w:rPr>
          <w:rFonts w:ascii="Times New Roman" w:hAnsi="Times New Roman" w:cs="Times New Roman"/>
          <w:sz w:val="22"/>
          <w:szCs w:val="22"/>
        </w:rPr>
        <w:br w:type="page"/>
      </w:r>
    </w:p>
    <w:p w14:paraId="71EF3176" w14:textId="77777777" w:rsidR="00EF65F1" w:rsidRDefault="00EF65F1">
      <w:pPr>
        <w:ind w:firstLine="567"/>
        <w:jc w:val="both"/>
      </w:pPr>
    </w:p>
    <w:p w14:paraId="004969B7" w14:textId="77777777" w:rsidR="00EF65F1" w:rsidRDefault="00EF65F1">
      <w:pPr>
        <w:ind w:firstLine="567"/>
        <w:sectPr w:rsidR="00EF65F1">
          <w:pgSz w:w="11906" w:h="16838"/>
          <w:pgMar w:top="1440" w:right="1440" w:bottom="1440" w:left="1440" w:header="708" w:footer="708" w:gutter="0"/>
          <w:cols w:space="708"/>
          <w:docGrid w:linePitch="360"/>
        </w:sectPr>
      </w:pPr>
    </w:p>
    <w:p w14:paraId="1B69500C" w14:textId="77777777" w:rsidR="00EF65F1" w:rsidRDefault="00484A18">
      <w:pPr>
        <w:pStyle w:val="Heading1"/>
        <w:spacing w:before="0" w:line="360" w:lineRule="auto"/>
        <w:contextualSpacing/>
        <w:jc w:val="center"/>
        <w:rPr>
          <w:rFonts w:ascii="Times New Roman" w:hAnsi="Times New Roman" w:cs="Times New Roman"/>
          <w:b/>
          <w:color w:val="auto"/>
          <w:sz w:val="28"/>
          <w:szCs w:val="28"/>
        </w:rPr>
      </w:pPr>
      <w:bookmarkStart w:id="165" w:name="_Toc2691149"/>
      <w:r>
        <w:rPr>
          <w:rFonts w:ascii="Times New Roman" w:hAnsi="Times New Roman" w:cs="Times New Roman"/>
          <w:b/>
          <w:i/>
          <w:color w:val="auto"/>
          <w:sz w:val="28"/>
          <w:szCs w:val="28"/>
        </w:rPr>
        <w:t>In vitro</w:t>
      </w:r>
      <w:r>
        <w:rPr>
          <w:rFonts w:ascii="Times New Roman" w:hAnsi="Times New Roman" w:cs="Times New Roman"/>
          <w:b/>
          <w:color w:val="auto"/>
          <w:sz w:val="28"/>
          <w:szCs w:val="28"/>
        </w:rPr>
        <w:t xml:space="preserve"> rumen fermentation characteristics of </w:t>
      </w:r>
      <w:r>
        <w:rPr>
          <w:rFonts w:ascii="Times New Roman" w:hAnsi="Times New Roman" w:cs="Times New Roman"/>
          <w:b/>
          <w:i/>
          <w:color w:val="auto"/>
          <w:sz w:val="28"/>
          <w:szCs w:val="28"/>
        </w:rPr>
        <w:t>Eragrostis curvula</w:t>
      </w:r>
      <w:r>
        <w:rPr>
          <w:rFonts w:ascii="Times New Roman" w:hAnsi="Times New Roman" w:cs="Times New Roman"/>
          <w:b/>
          <w:color w:val="auto"/>
          <w:sz w:val="28"/>
          <w:szCs w:val="28"/>
        </w:rPr>
        <w:t xml:space="preserve"> hay supplemented with seven different plant extract additives tested at higher dose levels</w:t>
      </w:r>
      <w:bookmarkEnd w:id="165"/>
      <w:r>
        <w:rPr>
          <w:rFonts w:ascii="Times New Roman" w:hAnsi="Times New Roman" w:cs="Times New Roman"/>
          <w:b/>
          <w:color w:val="auto"/>
          <w:sz w:val="28"/>
          <w:szCs w:val="28"/>
        </w:rPr>
        <w:t xml:space="preserve"> </w:t>
      </w:r>
    </w:p>
    <w:p w14:paraId="3230A98A" w14:textId="77777777" w:rsidR="00EF65F1" w:rsidRDefault="00EF65F1">
      <w:pPr>
        <w:spacing w:after="0" w:line="360" w:lineRule="auto"/>
        <w:contextualSpacing/>
        <w:rPr>
          <w:rFonts w:ascii="Times New Roman" w:hAnsi="Times New Roman" w:cs="Times New Roman"/>
          <w:sz w:val="22"/>
          <w:szCs w:val="22"/>
        </w:rPr>
      </w:pPr>
    </w:p>
    <w:p w14:paraId="0FE4D872"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66" w:name="_Toc2691150"/>
      <w:r>
        <w:rPr>
          <w:rFonts w:ascii="Times New Roman" w:hAnsi="Times New Roman" w:cs="Times New Roman"/>
          <w:b/>
          <w:color w:val="auto"/>
          <w:sz w:val="24"/>
          <w:szCs w:val="24"/>
        </w:rPr>
        <w:t>Abstract</w:t>
      </w:r>
      <w:bookmarkEnd w:id="166"/>
    </w:p>
    <w:p w14:paraId="59504190" w14:textId="77777777" w:rsidR="00EF65F1" w:rsidRDefault="00EF65F1">
      <w:pPr>
        <w:spacing w:after="0" w:line="360" w:lineRule="auto"/>
        <w:ind w:firstLine="567"/>
        <w:contextualSpacing/>
        <w:jc w:val="both"/>
        <w:rPr>
          <w:rFonts w:ascii="Times New Roman" w:hAnsi="Times New Roman" w:cs="Times New Roman"/>
          <w:sz w:val="22"/>
          <w:szCs w:val="22"/>
        </w:rPr>
      </w:pPr>
    </w:p>
    <w:p w14:paraId="76F01B55"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i/>
          <w:sz w:val="22"/>
          <w:szCs w:val="22"/>
        </w:rPr>
        <w:t xml:space="preserve">In vitro </w:t>
      </w:r>
      <w:r>
        <w:rPr>
          <w:rFonts w:ascii="Times New Roman" w:hAnsi="Times New Roman" w:cs="Times New Roman"/>
          <w:sz w:val="22"/>
          <w:szCs w:val="22"/>
        </w:rPr>
        <w:t>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digestibility values were determined to evaluate the potential effects of plant extracts from seven South African plant species for their ability to modulate rumen fermentation parameters when used as an additive with </w:t>
      </w:r>
      <w:r>
        <w:rPr>
          <w:rFonts w:ascii="Times New Roman" w:hAnsi="Times New Roman" w:cs="Times New Roman"/>
          <w:i/>
          <w:sz w:val="22"/>
          <w:szCs w:val="22"/>
        </w:rPr>
        <w:t xml:space="preserve">Eragrostis curvula </w:t>
      </w:r>
      <w:r>
        <w:rPr>
          <w:rFonts w:ascii="Times New Roman" w:hAnsi="Times New Roman" w:cs="Times New Roman"/>
          <w:sz w:val="22"/>
          <w:szCs w:val="22"/>
        </w:rPr>
        <w:t>hay</w:t>
      </w:r>
      <w:r>
        <w:rPr>
          <w:rFonts w:ascii="Times New Roman" w:hAnsi="Times New Roman" w:cs="Times New Roman"/>
          <w:i/>
          <w:sz w:val="22"/>
          <w:szCs w:val="22"/>
        </w:rPr>
        <w:t xml:space="preserve">.  </w:t>
      </w:r>
      <w:r>
        <w:rPr>
          <w:rFonts w:ascii="Times New Roman" w:hAnsi="Times New Roman" w:cs="Times New Roman"/>
          <w:sz w:val="22"/>
          <w:szCs w:val="22"/>
        </w:rPr>
        <w:t xml:space="preserve">The plant species studied were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In this study, the plant extracts were evaluated at two higher dose levels of 300 and 600 mg/kg DM.  Poulcox</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sodium) at a dose level of 50 mg/kg DM, and plant extracts from </w:t>
      </w:r>
      <w:r>
        <w:rPr>
          <w:rFonts w:ascii="Times New Roman" w:hAnsi="Times New Roman" w:cs="Times New Roman"/>
          <w:i/>
          <w:sz w:val="22"/>
          <w:szCs w:val="22"/>
        </w:rPr>
        <w:t>Moringa oleifera</w:t>
      </w:r>
      <w:r>
        <w:rPr>
          <w:rFonts w:ascii="Times New Roman" w:hAnsi="Times New Roman" w:cs="Times New Roman"/>
          <w:sz w:val="22"/>
          <w:szCs w:val="22"/>
        </w:rPr>
        <w:t xml:space="preserve"> dosed at 300 and 600 mg/kg DM were included as positive controls.  Four mL of plant extract solution for each species were added to 400 mg </w:t>
      </w:r>
      <w:r>
        <w:rPr>
          <w:rFonts w:ascii="Times New Roman" w:hAnsi="Times New Roman" w:cs="Times New Roman"/>
          <w:i/>
          <w:sz w:val="22"/>
          <w:szCs w:val="22"/>
        </w:rPr>
        <w:t xml:space="preserve">E. curvula </w:t>
      </w:r>
      <w:r>
        <w:rPr>
          <w:rFonts w:ascii="Times New Roman" w:hAnsi="Times New Roman" w:cs="Times New Roman"/>
          <w:sz w:val="22"/>
          <w:szCs w:val="22"/>
        </w:rPr>
        <w:t>hay and incubated with 40 mL rumen buffered solution at 39°C for 48 hours. The volume of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at 2, 4, 8, 12, 24 and 48 hours of</w:t>
      </w:r>
      <w:r>
        <w:rPr>
          <w:rFonts w:ascii="Times New Roman" w:hAnsi="Times New Roman" w:cs="Times New Roman"/>
          <w:i/>
          <w:sz w:val="22"/>
          <w:szCs w:val="22"/>
        </w:rPr>
        <w:t xml:space="preserve"> </w:t>
      </w:r>
      <w:r>
        <w:rPr>
          <w:rFonts w:ascii="Times New Roman" w:hAnsi="Times New Roman" w:cs="Times New Roman"/>
          <w:sz w:val="22"/>
          <w:szCs w:val="22"/>
        </w:rPr>
        <w:t xml:space="preserve">incubation were recorded. Plant extracts at both dose levels were also evaluated for their effect on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organic matter digestibility and rate of gas production per hour (mL gas/hour).  Compared to the negative control, plant extracts from </w:t>
      </w:r>
      <w:r>
        <w:rPr>
          <w:rFonts w:ascii="Times New Roman" w:hAnsi="Times New Roman" w:cs="Times New Roman"/>
          <w:i/>
          <w:sz w:val="22"/>
          <w:szCs w:val="22"/>
        </w:rPr>
        <w:t xml:space="preserve">E. lysistemon </w:t>
      </w:r>
      <w:r>
        <w:rPr>
          <w:rFonts w:ascii="Times New Roman" w:hAnsi="Times New Roman" w:cs="Times New Roman"/>
          <w:sz w:val="22"/>
          <w:szCs w:val="22"/>
        </w:rPr>
        <w:t xml:space="preserve">decreased (P &lt; 0.05) the volume of gas produced after 4 hours of incubation at both 300 and 600 mg/kg DM dose levels.  While plant extracts from </w:t>
      </w:r>
      <w:r>
        <w:rPr>
          <w:rFonts w:ascii="Times New Roman" w:hAnsi="Times New Roman" w:cs="Times New Roman"/>
          <w:i/>
          <w:sz w:val="22"/>
          <w:szCs w:val="22"/>
        </w:rPr>
        <w:t>S. chirindensis</w:t>
      </w:r>
      <w:r>
        <w:rPr>
          <w:rFonts w:ascii="Times New Roman" w:hAnsi="Times New Roman" w:cs="Times New Roman"/>
          <w:sz w:val="22"/>
          <w:szCs w:val="22"/>
        </w:rPr>
        <w:t xml:space="preserve"> increased the volume of gas produced (P &lt; 0.05) when used at a 300 mg/kg DM dose level for the 4-, 8-, and 12- hours of incubation and at a 600 mg/kg DM dose level at 8- and 12 hours of incubation.  In this study, the plant extract treatments differed significantly (P &lt; 0.05) to each other in terms of the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produced at some incubation intervals, however, these differences were not significant (P &gt; 0.05) when compared to the negative control.  The IVOMD values were not significantly (P &gt; 0.05) affected by the plant extract treatments at 300 or 600 mg/kg DM dose levels.  Compared to the negative control rumen fermentation characteristics were not improved when plant extracts from</w:t>
      </w:r>
      <w:r>
        <w:rPr>
          <w:rFonts w:ascii="Times New Roman" w:hAnsi="Times New Roman" w:cs="Times New Roman"/>
          <w:i/>
          <w:sz w:val="22"/>
          <w:szCs w:val="22"/>
        </w:rPr>
        <w:t xml:space="preserve"> C. erythrophyllum, D. viscosa, H. natalensis, S. birrea, H. lucida, E. lysistemon </w:t>
      </w:r>
      <w:r>
        <w:rPr>
          <w:rFonts w:ascii="Times New Roman" w:hAnsi="Times New Roman" w:cs="Times New Roman"/>
          <w:sz w:val="22"/>
          <w:szCs w:val="22"/>
        </w:rPr>
        <w:t xml:space="preserve">and </w:t>
      </w:r>
      <w:r>
        <w:rPr>
          <w:rFonts w:ascii="Times New Roman" w:hAnsi="Times New Roman" w:cs="Times New Roman"/>
          <w:i/>
          <w:sz w:val="22"/>
          <w:szCs w:val="22"/>
        </w:rPr>
        <w:t xml:space="preserve">M. oleifera </w:t>
      </w:r>
      <w:r>
        <w:rPr>
          <w:rFonts w:ascii="Times New Roman" w:hAnsi="Times New Roman" w:cs="Times New Roman"/>
          <w:sz w:val="22"/>
          <w:szCs w:val="22"/>
        </w:rPr>
        <w:t xml:space="preserve">where used at a 300 or 600 mg/kg DM dose levels.  However, plant extracts from </w:t>
      </w:r>
      <w:r>
        <w:rPr>
          <w:rFonts w:ascii="Times New Roman" w:hAnsi="Times New Roman" w:cs="Times New Roman"/>
          <w:i/>
          <w:sz w:val="22"/>
          <w:szCs w:val="22"/>
        </w:rPr>
        <w:t>S. chirindensis</w:t>
      </w:r>
      <w:r>
        <w:rPr>
          <w:rFonts w:ascii="Times New Roman" w:hAnsi="Times New Roman" w:cs="Times New Roman"/>
          <w:sz w:val="22"/>
          <w:szCs w:val="22"/>
        </w:rPr>
        <w:t xml:space="preserve"> did have a notable effect on the volume of gas produced and may be potentially beneficial as rumen modifiers to ruminants by improving the proportion of available energy from the ruminant diet.   </w:t>
      </w:r>
    </w:p>
    <w:p w14:paraId="74558CE7" w14:textId="77777777" w:rsidR="00EF65F1" w:rsidRDefault="00EF65F1">
      <w:pPr>
        <w:spacing w:after="0" w:line="360" w:lineRule="auto"/>
        <w:ind w:firstLine="567"/>
        <w:contextualSpacing/>
        <w:jc w:val="both"/>
        <w:rPr>
          <w:rFonts w:ascii="Times New Roman" w:hAnsi="Times New Roman" w:cs="Times New Roman"/>
          <w:sz w:val="22"/>
          <w:szCs w:val="22"/>
        </w:rPr>
      </w:pPr>
    </w:p>
    <w:p w14:paraId="110B7208"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b/>
          <w:sz w:val="22"/>
          <w:szCs w:val="22"/>
        </w:rPr>
        <w:t>Keywords</w:t>
      </w:r>
      <w:r>
        <w:rPr>
          <w:rFonts w:ascii="Times New Roman" w:hAnsi="Times New Roman" w:cs="Times New Roman"/>
          <w:sz w:val="22"/>
          <w:szCs w:val="22"/>
        </w:rPr>
        <w:t xml:space="preserve">: plant extracts, rumen fermentation, </w:t>
      </w:r>
      <w:r>
        <w:rPr>
          <w:rFonts w:ascii="Times New Roman" w:hAnsi="Times New Roman" w:cs="Times New Roman"/>
          <w:i/>
          <w:sz w:val="22"/>
          <w:szCs w:val="22"/>
        </w:rPr>
        <w:t>in vitro</w:t>
      </w:r>
      <w:r>
        <w:rPr>
          <w:rFonts w:ascii="Times New Roman" w:hAnsi="Times New Roman" w:cs="Times New Roman"/>
          <w:sz w:val="22"/>
          <w:szCs w:val="22"/>
        </w:rPr>
        <w:t>, dose</w:t>
      </w:r>
    </w:p>
    <w:p w14:paraId="7F2256F9" w14:textId="77777777" w:rsidR="00EF65F1" w:rsidRDefault="00EF65F1">
      <w:pPr>
        <w:spacing w:after="0" w:line="360" w:lineRule="auto"/>
        <w:ind w:firstLine="567"/>
        <w:contextualSpacing/>
        <w:jc w:val="both"/>
        <w:rPr>
          <w:rFonts w:ascii="Times New Roman" w:hAnsi="Times New Roman" w:cs="Times New Roman"/>
          <w:sz w:val="22"/>
          <w:szCs w:val="22"/>
        </w:rPr>
      </w:pPr>
    </w:p>
    <w:p w14:paraId="636F85E4" w14:textId="77777777" w:rsidR="00EF65F1" w:rsidRDefault="00EF65F1">
      <w:pPr>
        <w:spacing w:after="0" w:line="360" w:lineRule="auto"/>
        <w:ind w:firstLine="567"/>
        <w:contextualSpacing/>
        <w:jc w:val="both"/>
        <w:rPr>
          <w:rFonts w:ascii="Times New Roman" w:hAnsi="Times New Roman" w:cs="Times New Roman"/>
          <w:sz w:val="22"/>
          <w:szCs w:val="22"/>
        </w:rPr>
      </w:pPr>
    </w:p>
    <w:p w14:paraId="48706A59" w14:textId="77777777" w:rsidR="00EF65F1" w:rsidRDefault="00EF65F1">
      <w:pPr>
        <w:spacing w:after="0" w:line="360" w:lineRule="auto"/>
        <w:ind w:firstLine="567"/>
        <w:contextualSpacing/>
        <w:jc w:val="both"/>
        <w:rPr>
          <w:rFonts w:ascii="Times New Roman" w:hAnsi="Times New Roman" w:cs="Times New Roman"/>
          <w:sz w:val="22"/>
          <w:szCs w:val="22"/>
        </w:rPr>
      </w:pPr>
    </w:p>
    <w:p w14:paraId="1BACAF1A"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67" w:name="_Toc2691151"/>
      <w:r>
        <w:rPr>
          <w:rFonts w:ascii="Times New Roman" w:hAnsi="Times New Roman" w:cs="Times New Roman"/>
          <w:b/>
          <w:color w:val="auto"/>
          <w:sz w:val="24"/>
          <w:szCs w:val="24"/>
        </w:rPr>
        <w:t>Introduction</w:t>
      </w:r>
      <w:bookmarkEnd w:id="167"/>
    </w:p>
    <w:p w14:paraId="4AC638F5" w14:textId="77777777" w:rsidR="00EF65F1" w:rsidRDefault="00EF65F1">
      <w:pPr>
        <w:spacing w:after="0" w:line="360" w:lineRule="auto"/>
        <w:ind w:firstLine="567"/>
        <w:contextualSpacing/>
        <w:jc w:val="both"/>
        <w:rPr>
          <w:rFonts w:ascii="Times New Roman" w:hAnsi="Times New Roman" w:cs="Times New Roman"/>
          <w:sz w:val="22"/>
          <w:szCs w:val="22"/>
        </w:rPr>
      </w:pPr>
    </w:p>
    <w:p w14:paraId="3183F7E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Numerous studies have reported the effects of various plants and plant extracts on rumen fermentation parameters.  The level at which plant extracts are dosed is a primary factor influencing their effect on rumen fermentation due to the activity and concentration of secondary compounds present in the extracts.  The concentration and activity of secondary compounds is influenced by plant species, processing and storage of plant material (Bodas </w:t>
      </w:r>
      <w:r>
        <w:rPr>
          <w:rFonts w:ascii="Times New Roman" w:hAnsi="Times New Roman" w:cs="Times New Roman"/>
          <w:i/>
          <w:sz w:val="22"/>
          <w:szCs w:val="22"/>
        </w:rPr>
        <w:t>et al.</w:t>
      </w:r>
      <w:r>
        <w:rPr>
          <w:rFonts w:ascii="Times New Roman" w:hAnsi="Times New Roman" w:cs="Times New Roman"/>
          <w:sz w:val="22"/>
          <w:szCs w:val="22"/>
        </w:rPr>
        <w:t xml:space="preserve">, 2008).  The choice of solvent for extraction will influence the type and quantity of secondary compounds extracted (Kim </w:t>
      </w:r>
      <w:r>
        <w:rPr>
          <w:rFonts w:ascii="Times New Roman" w:hAnsi="Times New Roman" w:cs="Times New Roman"/>
          <w:i/>
          <w:sz w:val="22"/>
          <w:szCs w:val="22"/>
        </w:rPr>
        <w:t>et al.</w:t>
      </w:r>
      <w:r>
        <w:rPr>
          <w:rFonts w:ascii="Times New Roman" w:hAnsi="Times New Roman" w:cs="Times New Roman"/>
          <w:sz w:val="22"/>
          <w:szCs w:val="22"/>
        </w:rPr>
        <w:t>,</w:t>
      </w:r>
      <w:r>
        <w:rPr>
          <w:rFonts w:ascii="Times New Roman" w:hAnsi="Times New Roman" w:cs="Times New Roman"/>
          <w:i/>
          <w:sz w:val="22"/>
          <w:szCs w:val="22"/>
        </w:rPr>
        <w:t xml:space="preserve"> </w:t>
      </w:r>
      <w:r>
        <w:rPr>
          <w:rFonts w:ascii="Times New Roman" w:hAnsi="Times New Roman" w:cs="Times New Roman"/>
          <w:sz w:val="22"/>
          <w:szCs w:val="22"/>
        </w:rPr>
        <w:t xml:space="preserve">2013).  All of these factors will influence the optimal dose for plant extract effect, which may be different for each plant species (Bodas </w:t>
      </w:r>
      <w:r>
        <w:rPr>
          <w:rFonts w:ascii="Times New Roman" w:hAnsi="Times New Roman" w:cs="Times New Roman"/>
          <w:i/>
          <w:sz w:val="22"/>
          <w:szCs w:val="22"/>
        </w:rPr>
        <w:t>et al.</w:t>
      </w:r>
      <w:r>
        <w:rPr>
          <w:rFonts w:ascii="Times New Roman" w:hAnsi="Times New Roman" w:cs="Times New Roman"/>
          <w:sz w:val="22"/>
          <w:szCs w:val="22"/>
        </w:rPr>
        <w:t xml:space="preserve">, 2008).  Other factors influencing response of extract is pH of rumen fluid, </w:t>
      </w:r>
      <w:r>
        <w:rPr>
          <w:rFonts w:ascii="Times New Roman" w:hAnsi="Times New Roman" w:cs="Times New Roman"/>
          <w:i/>
          <w:sz w:val="22"/>
          <w:szCs w:val="22"/>
        </w:rPr>
        <w:t xml:space="preserve">in vitro </w:t>
      </w:r>
      <w:r>
        <w:rPr>
          <w:rFonts w:ascii="Times New Roman" w:hAnsi="Times New Roman" w:cs="Times New Roman"/>
          <w:sz w:val="22"/>
          <w:szCs w:val="22"/>
        </w:rPr>
        <w:t xml:space="preserve">system (batch versus. Continuous) and length of incubation period (Cardozo </w:t>
      </w:r>
      <w:r>
        <w:rPr>
          <w:rFonts w:ascii="Times New Roman" w:hAnsi="Times New Roman" w:cs="Times New Roman"/>
          <w:i/>
          <w:sz w:val="22"/>
          <w:szCs w:val="22"/>
        </w:rPr>
        <w:t>et al.</w:t>
      </w:r>
      <w:r>
        <w:rPr>
          <w:rFonts w:ascii="Times New Roman" w:hAnsi="Times New Roman" w:cs="Times New Roman"/>
          <w:sz w:val="22"/>
          <w:szCs w:val="22"/>
        </w:rPr>
        <w:t>, 2005;</w:t>
      </w:r>
      <w:r>
        <w:rPr>
          <w:rFonts w:ascii="Times New Roman" w:hAnsi="Times New Roman" w:cs="Times New Roman"/>
          <w:i/>
          <w:sz w:val="22"/>
          <w:szCs w:val="22"/>
        </w:rPr>
        <w:t xml:space="preserve"> </w:t>
      </w:r>
      <w:r>
        <w:rPr>
          <w:rFonts w:ascii="Times New Roman" w:hAnsi="Times New Roman" w:cs="Times New Roman"/>
          <w:sz w:val="22"/>
          <w:szCs w:val="22"/>
        </w:rPr>
        <w:t xml:space="preserve">Busquet </w:t>
      </w:r>
      <w:r>
        <w:rPr>
          <w:rFonts w:ascii="Times New Roman" w:hAnsi="Times New Roman" w:cs="Times New Roman"/>
          <w:i/>
          <w:sz w:val="22"/>
          <w:szCs w:val="22"/>
        </w:rPr>
        <w:t>et al.</w:t>
      </w:r>
      <w:r>
        <w:rPr>
          <w:rFonts w:ascii="Times New Roman" w:hAnsi="Times New Roman" w:cs="Times New Roman"/>
          <w:sz w:val="22"/>
          <w:szCs w:val="22"/>
        </w:rPr>
        <w:t>, 2006).</w:t>
      </w:r>
    </w:p>
    <w:p w14:paraId="2ECA3E26" w14:textId="77777777" w:rsidR="00EF65F1" w:rsidRDefault="00EF65F1">
      <w:pPr>
        <w:spacing w:after="0" w:line="360" w:lineRule="auto"/>
        <w:ind w:firstLine="567"/>
        <w:contextualSpacing/>
        <w:jc w:val="both"/>
        <w:rPr>
          <w:rFonts w:ascii="Times New Roman" w:hAnsi="Times New Roman" w:cs="Times New Roman"/>
          <w:sz w:val="22"/>
          <w:szCs w:val="22"/>
        </w:rPr>
      </w:pPr>
    </w:p>
    <w:p w14:paraId="1FBEFA7E"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Plant extracts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 xml:space="preserve">were evaluated at a recommended dose level of 50 mg/kg DM (Akanmu &amp; Hassen, 2018) in chapter 2.  Generally, the plant extracts increased the volume and rate of gas produced (P &lt; 0.05).  However, the modulation of rumen fermentation parameters by plant extract additives have been shown to be dose dependent (Soltan </w:t>
      </w:r>
      <w:r>
        <w:rPr>
          <w:rFonts w:ascii="Times New Roman" w:hAnsi="Times New Roman" w:cs="Times New Roman"/>
          <w:i/>
          <w:sz w:val="22"/>
          <w:szCs w:val="22"/>
        </w:rPr>
        <w:t>et al.</w:t>
      </w:r>
      <w:r>
        <w:rPr>
          <w:rFonts w:ascii="Times New Roman" w:hAnsi="Times New Roman" w:cs="Times New Roman"/>
          <w:sz w:val="22"/>
          <w:szCs w:val="22"/>
        </w:rPr>
        <w:t xml:space="preserve">, 2018), and plants that show no or limited effect on rumen fermentation parameters may express activity if delivered at a different dose or under different laboratory conditions (Garcia-González </w:t>
      </w:r>
      <w:r>
        <w:rPr>
          <w:rFonts w:ascii="Times New Roman" w:hAnsi="Times New Roman" w:cs="Times New Roman"/>
          <w:i/>
          <w:sz w:val="22"/>
          <w:szCs w:val="22"/>
        </w:rPr>
        <w:t>et al.</w:t>
      </w:r>
      <w:r>
        <w:rPr>
          <w:rFonts w:ascii="Times New Roman" w:hAnsi="Times New Roman" w:cs="Times New Roman"/>
          <w:sz w:val="22"/>
          <w:szCs w:val="22"/>
        </w:rPr>
        <w:t xml:space="preserve">, 2008).  In addition, the effectiveness of these plant extracts as rumen modifiers is directly related to the type and concentration of plant secondary compounds present in a particular sample (Soltan </w:t>
      </w:r>
      <w:r>
        <w:rPr>
          <w:rFonts w:ascii="Times New Roman" w:hAnsi="Times New Roman" w:cs="Times New Roman"/>
          <w:i/>
          <w:sz w:val="22"/>
          <w:szCs w:val="22"/>
        </w:rPr>
        <w:t>et al.</w:t>
      </w:r>
      <w:r>
        <w:rPr>
          <w:rFonts w:ascii="Times New Roman" w:hAnsi="Times New Roman" w:cs="Times New Roman"/>
          <w:sz w:val="22"/>
          <w:szCs w:val="22"/>
        </w:rPr>
        <w:t xml:space="preserve">, 2018).  </w:t>
      </w:r>
    </w:p>
    <w:p w14:paraId="7C9C8092" w14:textId="77777777" w:rsidR="00EF65F1" w:rsidRDefault="00EF65F1">
      <w:pPr>
        <w:spacing w:after="0" w:line="360" w:lineRule="auto"/>
        <w:ind w:firstLine="567"/>
        <w:contextualSpacing/>
        <w:jc w:val="both"/>
        <w:rPr>
          <w:rFonts w:ascii="Times New Roman" w:hAnsi="Times New Roman" w:cs="Times New Roman"/>
          <w:sz w:val="22"/>
          <w:szCs w:val="22"/>
        </w:rPr>
      </w:pPr>
    </w:p>
    <w:p w14:paraId="1AFD683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Therefore, this study aims to evaluate the seven-plant species, at two higher dose levels, thereby observing the effect of dosing a higher concentration of plant secondary compounds on rumen fermentation parameters.  </w:t>
      </w:r>
    </w:p>
    <w:p w14:paraId="0693AD2C" w14:textId="77777777" w:rsidR="00EF65F1" w:rsidRDefault="00EF65F1">
      <w:pPr>
        <w:spacing w:after="0" w:line="360" w:lineRule="auto"/>
        <w:ind w:firstLine="567"/>
        <w:contextualSpacing/>
        <w:jc w:val="both"/>
        <w:rPr>
          <w:rFonts w:ascii="Times New Roman" w:hAnsi="Times New Roman" w:cs="Times New Roman"/>
          <w:sz w:val="22"/>
          <w:szCs w:val="22"/>
        </w:rPr>
      </w:pPr>
    </w:p>
    <w:p w14:paraId="6A67246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objective of this study was to evaluate the effects of plant extracts through </w:t>
      </w:r>
      <w:r>
        <w:rPr>
          <w:rFonts w:ascii="Times New Roman" w:hAnsi="Times New Roman" w:cs="Times New Roman"/>
          <w:i/>
          <w:sz w:val="22"/>
          <w:szCs w:val="22"/>
        </w:rPr>
        <w:t>in vitro</w:t>
      </w:r>
      <w:r>
        <w:rPr>
          <w:rFonts w:ascii="Times New Roman" w:hAnsi="Times New Roman" w:cs="Times New Roman"/>
          <w:sz w:val="22"/>
          <w:szCs w:val="22"/>
        </w:rPr>
        <w:t xml:space="preserve"> procedures from the species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for their ability to manipulate the rumen fermentation parameters favourably: gas volume,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organic matter digestibility, at a dose level of 300 or 600 mg/kg DM compared to a negative control (no additive) and positive controls: Poulcox</w:t>
      </w:r>
      <w:r>
        <w:rPr>
          <w:rFonts w:ascii="Calibri" w:hAnsi="Calibri" w:cs="Calibri"/>
          <w:sz w:val="22"/>
          <w:szCs w:val="22"/>
        </w:rPr>
        <w:t>®</w:t>
      </w:r>
      <w:r>
        <w:rPr>
          <w:rFonts w:ascii="Times New Roman" w:hAnsi="Times New Roman" w:cs="Times New Roman"/>
          <w:sz w:val="22"/>
          <w:szCs w:val="22"/>
        </w:rPr>
        <w:t xml:space="preserve"> 20% and </w:t>
      </w:r>
      <w:r>
        <w:rPr>
          <w:rFonts w:ascii="Times New Roman" w:hAnsi="Times New Roman" w:cs="Times New Roman"/>
          <w:i/>
          <w:sz w:val="22"/>
          <w:szCs w:val="22"/>
        </w:rPr>
        <w:t xml:space="preserve">Moringa oleifera </w:t>
      </w:r>
      <w:r>
        <w:rPr>
          <w:rFonts w:ascii="Times New Roman" w:hAnsi="Times New Roman" w:cs="Times New Roman"/>
          <w:sz w:val="22"/>
          <w:szCs w:val="22"/>
        </w:rPr>
        <w:t>extract.</w:t>
      </w:r>
    </w:p>
    <w:p w14:paraId="11EBB4AC" w14:textId="77777777" w:rsidR="00EF65F1" w:rsidRDefault="00EF65F1">
      <w:pPr>
        <w:spacing w:after="0" w:line="360" w:lineRule="auto"/>
        <w:ind w:firstLine="567"/>
        <w:contextualSpacing/>
        <w:jc w:val="both"/>
        <w:rPr>
          <w:rFonts w:ascii="Times New Roman" w:hAnsi="Times New Roman" w:cs="Times New Roman"/>
          <w:sz w:val="22"/>
          <w:szCs w:val="22"/>
        </w:rPr>
      </w:pPr>
    </w:p>
    <w:p w14:paraId="1A7EE1A2"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68" w:name="_Toc2691152"/>
      <w:r>
        <w:rPr>
          <w:rFonts w:ascii="Times New Roman" w:hAnsi="Times New Roman" w:cs="Times New Roman"/>
          <w:b/>
          <w:color w:val="auto"/>
          <w:sz w:val="24"/>
          <w:szCs w:val="24"/>
        </w:rPr>
        <w:lastRenderedPageBreak/>
        <w:t>Materials and Methods</w:t>
      </w:r>
      <w:bookmarkEnd w:id="168"/>
    </w:p>
    <w:p w14:paraId="10A2D1B5" w14:textId="77777777" w:rsidR="00EF65F1" w:rsidRDefault="00EF65F1"/>
    <w:p w14:paraId="5153B5A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All laboratory analyses in this study were conducted at the UP Nutrilab (Department of Animal and Wildlife Sciences, University of Pretoria), Hatfield, Pretoria.</w:t>
      </w:r>
    </w:p>
    <w:p w14:paraId="136D1B58" w14:textId="77777777" w:rsidR="00EF65F1" w:rsidRDefault="00EF65F1">
      <w:pPr>
        <w:spacing w:after="0" w:line="360" w:lineRule="auto"/>
        <w:contextualSpacing/>
        <w:jc w:val="both"/>
        <w:rPr>
          <w:rFonts w:ascii="Times New Roman" w:hAnsi="Times New Roman" w:cs="Times New Roman"/>
          <w:sz w:val="22"/>
          <w:szCs w:val="22"/>
        </w:rPr>
      </w:pPr>
    </w:p>
    <w:p w14:paraId="5BBEB79D" w14:textId="77777777" w:rsidR="00EF65F1" w:rsidRDefault="00484A18">
      <w:pPr>
        <w:pStyle w:val="Heading3"/>
        <w:spacing w:before="0" w:line="360" w:lineRule="auto"/>
        <w:contextualSpacing/>
        <w:jc w:val="both"/>
        <w:rPr>
          <w:rFonts w:ascii="Times New Roman" w:hAnsi="Times New Roman" w:cs="Times New Roman"/>
          <w:color w:val="auto"/>
          <w:szCs w:val="22"/>
        </w:rPr>
      </w:pPr>
      <w:bookmarkStart w:id="169" w:name="_Toc2691153"/>
      <w:r>
        <w:rPr>
          <w:rFonts w:ascii="Times New Roman" w:hAnsi="Times New Roman" w:cs="Times New Roman"/>
          <w:color w:val="auto"/>
          <w:szCs w:val="22"/>
        </w:rPr>
        <w:t>Plant sample collection, preparation and extraction</w:t>
      </w:r>
      <w:bookmarkEnd w:id="169"/>
    </w:p>
    <w:p w14:paraId="3E96E82A" w14:textId="77777777" w:rsidR="00EF65F1" w:rsidRDefault="00EF65F1">
      <w:pPr>
        <w:spacing w:after="0" w:line="360" w:lineRule="auto"/>
        <w:ind w:firstLine="567"/>
        <w:contextualSpacing/>
        <w:jc w:val="both"/>
        <w:rPr>
          <w:rFonts w:ascii="Times New Roman" w:hAnsi="Times New Roman" w:cs="Times New Roman"/>
          <w:sz w:val="22"/>
          <w:szCs w:val="22"/>
        </w:rPr>
      </w:pPr>
    </w:p>
    <w:p w14:paraId="3E555CD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Procedures used in this study for the collection, processing and extraction of plant material are the same as reported in chapter 2.  Sections 2.3.2 to 2.3.3 provide a detailed description.  </w:t>
      </w:r>
    </w:p>
    <w:p w14:paraId="6BD765D1" w14:textId="77777777" w:rsidR="00EF65F1" w:rsidRDefault="00EF65F1">
      <w:pPr>
        <w:spacing w:after="0" w:line="360" w:lineRule="auto"/>
        <w:ind w:firstLine="567"/>
        <w:contextualSpacing/>
        <w:jc w:val="both"/>
        <w:rPr>
          <w:rFonts w:ascii="Times New Roman" w:hAnsi="Times New Roman" w:cs="Times New Roman"/>
          <w:sz w:val="22"/>
          <w:szCs w:val="22"/>
        </w:rPr>
      </w:pPr>
    </w:p>
    <w:p w14:paraId="4169E83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ionophore containing product, Poulcox</w:t>
      </w:r>
      <w:r>
        <w:rPr>
          <w:rFonts w:ascii="Times New Roman" w:hAnsi="Times New Roman" w:cs="Times New Roman"/>
          <w:sz w:val="22"/>
          <w:szCs w:val="22"/>
          <w:vertAlign w:val="superscript"/>
        </w:rPr>
        <w:t xml:space="preserve">® </w:t>
      </w:r>
      <w:r>
        <w:rPr>
          <w:rFonts w:ascii="Times New Roman" w:hAnsi="Times New Roman" w:cs="Times New Roman"/>
          <w:sz w:val="22"/>
          <w:szCs w:val="22"/>
        </w:rPr>
        <w:t xml:space="preserve">20% premix (Wisium (Pty) Ltd, Gauteng, South Africa), consisting of 200g/kg monensin was used as a positive control in this experiment at a dose level of 50 mg/kg DM.  The product at a dose level of 50 mg/kg DM consists of 10 mg/kg monensin, as recommended by manufactures.  </w:t>
      </w:r>
    </w:p>
    <w:p w14:paraId="16FEE917" w14:textId="77777777" w:rsidR="00EF65F1" w:rsidRDefault="00EF65F1">
      <w:pPr>
        <w:spacing w:after="0" w:line="360" w:lineRule="auto"/>
        <w:ind w:firstLine="567"/>
        <w:contextualSpacing/>
        <w:jc w:val="both"/>
        <w:rPr>
          <w:rFonts w:ascii="Times New Roman" w:hAnsi="Times New Roman" w:cs="Times New Roman"/>
          <w:sz w:val="22"/>
          <w:szCs w:val="22"/>
        </w:rPr>
      </w:pPr>
    </w:p>
    <w:p w14:paraId="4C40E009"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70" w:name="_Toc2691154"/>
      <w:r>
        <w:rPr>
          <w:rFonts w:ascii="Times New Roman" w:hAnsi="Times New Roman" w:cs="Times New Roman"/>
          <w:color w:val="auto"/>
          <w:szCs w:val="22"/>
        </w:rPr>
        <w:t>Reconstitution of plant extract powder and experimental treatments</w:t>
      </w:r>
      <w:bookmarkEnd w:id="170"/>
    </w:p>
    <w:p w14:paraId="6FDF9A73" w14:textId="77777777" w:rsidR="00EF65F1" w:rsidRDefault="00EF65F1">
      <w:pPr>
        <w:spacing w:after="0" w:line="360" w:lineRule="auto"/>
        <w:ind w:firstLine="567"/>
        <w:contextualSpacing/>
        <w:jc w:val="both"/>
        <w:rPr>
          <w:rFonts w:ascii="Times New Roman" w:hAnsi="Times New Roman" w:cs="Times New Roman"/>
          <w:sz w:val="22"/>
          <w:szCs w:val="22"/>
        </w:rPr>
      </w:pPr>
    </w:p>
    <w:p w14:paraId="70351E2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Two dose levels, 300 and 600 mg/kg DM, approximately 10 times higher than the dose level tested in the previous study were tested in this study.  Toxicity of plant extracts on rumen microbes may occur at high dose levels (Cardozo </w:t>
      </w:r>
      <w:r>
        <w:rPr>
          <w:rFonts w:ascii="Times New Roman" w:hAnsi="Times New Roman" w:cs="Times New Roman"/>
          <w:i/>
          <w:sz w:val="22"/>
          <w:szCs w:val="22"/>
        </w:rPr>
        <w:t>et al.</w:t>
      </w:r>
      <w:r>
        <w:rPr>
          <w:rFonts w:ascii="Times New Roman" w:hAnsi="Times New Roman" w:cs="Times New Roman"/>
          <w:sz w:val="22"/>
          <w:szCs w:val="22"/>
        </w:rPr>
        <w:t xml:space="preserve">, 2005), therefore, plants extracts in this study dosed at higher levels relative to the recommended dose level determined in the previous study, will be assessed for potential harmful effects on rumen microbes by monitoring the suppression of gas production. These dosages were adopted due to the previous studies by Busquet </w:t>
      </w:r>
      <w:r>
        <w:rPr>
          <w:rFonts w:ascii="Times New Roman" w:hAnsi="Times New Roman" w:cs="Times New Roman"/>
          <w:i/>
          <w:sz w:val="22"/>
          <w:szCs w:val="22"/>
        </w:rPr>
        <w:t xml:space="preserve">et al </w:t>
      </w:r>
      <w:r>
        <w:rPr>
          <w:rFonts w:ascii="Times New Roman" w:hAnsi="Times New Roman" w:cs="Times New Roman"/>
          <w:sz w:val="22"/>
          <w:szCs w:val="22"/>
        </w:rPr>
        <w:t xml:space="preserve">(2006) and Cardozo </w:t>
      </w:r>
      <w:r>
        <w:rPr>
          <w:rFonts w:ascii="Times New Roman" w:hAnsi="Times New Roman" w:cs="Times New Roman"/>
          <w:i/>
          <w:sz w:val="22"/>
          <w:szCs w:val="22"/>
        </w:rPr>
        <w:t>et al</w:t>
      </w:r>
      <w:r>
        <w:rPr>
          <w:rFonts w:ascii="Times New Roman" w:hAnsi="Times New Roman" w:cs="Times New Roman"/>
          <w:sz w:val="22"/>
          <w:szCs w:val="22"/>
        </w:rPr>
        <w:t xml:space="preserve"> (2005), who reported no reduction of VFA production at these dose levels when certain medicinal plants were tested </w:t>
      </w:r>
      <w:r>
        <w:rPr>
          <w:rFonts w:ascii="Times New Roman" w:hAnsi="Times New Roman" w:cs="Times New Roman"/>
          <w:i/>
          <w:sz w:val="22"/>
          <w:szCs w:val="22"/>
        </w:rPr>
        <w:t>in vitro</w:t>
      </w:r>
      <w:r>
        <w:rPr>
          <w:rFonts w:ascii="Times New Roman" w:hAnsi="Times New Roman" w:cs="Times New Roman"/>
          <w:sz w:val="22"/>
          <w:szCs w:val="22"/>
        </w:rPr>
        <w:t xml:space="preserve">.  </w:t>
      </w:r>
    </w:p>
    <w:p w14:paraId="40D34325" w14:textId="77777777" w:rsidR="00EF65F1" w:rsidRDefault="00EF65F1">
      <w:pPr>
        <w:spacing w:after="0" w:line="360" w:lineRule="auto"/>
        <w:ind w:firstLine="567"/>
        <w:contextualSpacing/>
        <w:jc w:val="both"/>
        <w:rPr>
          <w:rFonts w:ascii="Times New Roman" w:hAnsi="Times New Roman" w:cs="Times New Roman"/>
          <w:sz w:val="22"/>
          <w:szCs w:val="22"/>
        </w:rPr>
      </w:pPr>
    </w:p>
    <w:p w14:paraId="03C3AF19"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plant extract standard solutions prepared in the previous study (chapter 2), by dissolving 1g of each dried plant extract powder into 1000 mL of distilled water (section 2.3.4) were used to prepare new plant extract solutions for each species at the 300 and 600 mg/kg DM dose levels.  This was achieved by diluting 30 and 60 mL of each plant extract standard solution (figure 3.1), containing approximately 30 and 60 mg of plant extract respectively, with 1000 mL distilled water.  By adding 4 mL of these plant extract solutions (30 mg/1000 mL and 60 mg/1000 mL) to 400 mg </w:t>
      </w:r>
      <w:r>
        <w:rPr>
          <w:rFonts w:ascii="Times New Roman" w:hAnsi="Times New Roman" w:cs="Times New Roman"/>
          <w:i/>
          <w:sz w:val="22"/>
          <w:szCs w:val="22"/>
        </w:rPr>
        <w:t xml:space="preserve">E. curvula </w:t>
      </w:r>
      <w:r>
        <w:rPr>
          <w:rFonts w:ascii="Times New Roman" w:hAnsi="Times New Roman" w:cs="Times New Roman"/>
          <w:sz w:val="22"/>
          <w:szCs w:val="22"/>
        </w:rPr>
        <w:t>hay this ensured that dose level of 0.3 and 0.6 mg per 1g or 300 and 600 mg/kg DM.</w:t>
      </w:r>
    </w:p>
    <w:p w14:paraId="0520FE98" w14:textId="77777777" w:rsidR="00EF65F1" w:rsidRDefault="00EF65F1">
      <w:pPr>
        <w:spacing w:after="0" w:line="360" w:lineRule="auto"/>
        <w:ind w:firstLine="567"/>
        <w:contextualSpacing/>
        <w:jc w:val="both"/>
        <w:rPr>
          <w:rFonts w:ascii="Times New Roman" w:hAnsi="Times New Roman" w:cs="Times New Roman"/>
          <w:sz w:val="22"/>
          <w:szCs w:val="22"/>
        </w:rPr>
      </w:pPr>
    </w:p>
    <w:p w14:paraId="5DD3BCA6"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lastRenderedPageBreak/>
        <w:t>To reconstitute the Poulcox</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sodium) granules to achieve a dose level of 50 mg/kg DM, 5 mg of granules were dissolved in 1000 mL distilled water.  The desired dose level was achieved by dosing 4 mL of this solution to 400 mg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w:t>
      </w:r>
    </w:p>
    <w:p w14:paraId="1EF90552" w14:textId="77777777" w:rsidR="00EF65F1" w:rsidRDefault="00EF65F1">
      <w:pPr>
        <w:spacing w:after="0" w:line="360" w:lineRule="auto"/>
        <w:ind w:firstLine="567"/>
        <w:contextualSpacing/>
        <w:jc w:val="both"/>
        <w:rPr>
          <w:rFonts w:ascii="Times New Roman" w:hAnsi="Times New Roman" w:cs="Times New Roman"/>
          <w:sz w:val="22"/>
          <w:szCs w:val="22"/>
        </w:rPr>
      </w:pPr>
    </w:p>
    <w:p w14:paraId="524DEC89" w14:textId="77777777" w:rsidR="00EF65F1" w:rsidRDefault="00EF65F1">
      <w:pPr>
        <w:spacing w:after="0" w:line="360" w:lineRule="auto"/>
        <w:ind w:firstLine="567"/>
        <w:contextualSpacing/>
        <w:jc w:val="both"/>
        <w:rPr>
          <w:rFonts w:ascii="Times New Roman" w:hAnsi="Times New Roman" w:cs="Times New Roman"/>
          <w:sz w:val="22"/>
          <w:szCs w:val="22"/>
        </w:rPr>
      </w:pPr>
    </w:p>
    <w:p w14:paraId="12782421"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b/>
          <w:noProof/>
          <w:sz w:val="22"/>
          <w:szCs w:val="22"/>
          <w:lang w:eastAsia="en-ZA"/>
        </w:rPr>
        <w:drawing>
          <wp:inline distT="0" distB="0" distL="0" distR="0" wp14:anchorId="32909E18" wp14:editId="710DDFC0">
            <wp:extent cx="2520000" cy="2880000"/>
            <wp:effectExtent l="0" t="0" r="0" b="0"/>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G_3040.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260ED018" w14:textId="77777777" w:rsidR="00EF65F1" w:rsidRDefault="00EF65F1">
      <w:pPr>
        <w:pStyle w:val="Caption"/>
        <w:spacing w:after="0" w:line="360" w:lineRule="auto"/>
        <w:contextualSpacing/>
        <w:jc w:val="both"/>
        <w:rPr>
          <w:rFonts w:ascii="Times New Roman" w:hAnsi="Times New Roman" w:cs="Times New Roman"/>
          <w:i w:val="0"/>
          <w:color w:val="auto"/>
          <w:sz w:val="24"/>
          <w:szCs w:val="22"/>
        </w:rPr>
      </w:pPr>
      <w:bookmarkStart w:id="171" w:name="_Toc530512583"/>
      <w:bookmarkStart w:id="172" w:name="_Toc2349045"/>
    </w:p>
    <w:p w14:paraId="2151F4D9" w14:textId="04DCAA19" w:rsidR="00EF65F1" w:rsidRDefault="00484A18">
      <w:pPr>
        <w:pStyle w:val="Caption"/>
        <w:spacing w:after="0" w:line="360" w:lineRule="auto"/>
        <w:contextualSpacing/>
        <w:jc w:val="both"/>
        <w:rPr>
          <w:rFonts w:ascii="Times New Roman" w:hAnsi="Times New Roman" w:cs="Times New Roman"/>
          <w:b/>
          <w:i w:val="0"/>
          <w:color w:val="auto"/>
          <w:sz w:val="24"/>
          <w:szCs w:val="22"/>
        </w:rPr>
      </w:pPr>
      <w:r>
        <w:rPr>
          <w:rFonts w:ascii="Times New Roman" w:hAnsi="Times New Roman" w:cs="Times New Roman"/>
          <w:i w:val="0"/>
          <w:color w:val="auto"/>
          <w:sz w:val="24"/>
          <w:szCs w:val="22"/>
        </w:rPr>
        <w:t xml:space="preserve">Figure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Figure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60 mL of plant extract standard solution (1g/1000 mL) to be dissolved in 1000 mL distilled water</w:t>
      </w:r>
      <w:bookmarkEnd w:id="171"/>
      <w:bookmarkEnd w:id="172"/>
    </w:p>
    <w:p w14:paraId="602AF149" w14:textId="77777777" w:rsidR="00EF65F1" w:rsidRDefault="00EF65F1">
      <w:pPr>
        <w:spacing w:after="0" w:line="360" w:lineRule="auto"/>
        <w:ind w:firstLine="567"/>
        <w:contextualSpacing/>
        <w:jc w:val="both"/>
        <w:rPr>
          <w:rFonts w:ascii="Times New Roman" w:hAnsi="Times New Roman" w:cs="Times New Roman"/>
          <w:sz w:val="22"/>
          <w:szCs w:val="22"/>
        </w:rPr>
      </w:pPr>
    </w:p>
    <w:p w14:paraId="6A777028"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In total, there were 18 treatments that were evaluated in this study: a negative control consisting of </w:t>
      </w:r>
      <w:r>
        <w:rPr>
          <w:rFonts w:ascii="Times New Roman" w:hAnsi="Times New Roman" w:cs="Times New Roman"/>
          <w:i/>
          <w:sz w:val="22"/>
          <w:szCs w:val="22"/>
        </w:rPr>
        <w:t xml:space="preserve">E. curvula </w:t>
      </w:r>
      <w:r>
        <w:rPr>
          <w:rFonts w:ascii="Times New Roman" w:hAnsi="Times New Roman" w:cs="Times New Roman"/>
          <w:sz w:val="22"/>
          <w:szCs w:val="22"/>
        </w:rPr>
        <w:t>with no additive; Poulcox</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at 50 mg/kg DM as a positive control; </w:t>
      </w:r>
      <w:r>
        <w:rPr>
          <w:rFonts w:ascii="Times New Roman" w:hAnsi="Times New Roman" w:cs="Times New Roman"/>
          <w:i/>
          <w:sz w:val="22"/>
          <w:szCs w:val="22"/>
        </w:rPr>
        <w:t xml:space="preserve">M.  oleifera </w:t>
      </w:r>
      <w:r>
        <w:rPr>
          <w:rFonts w:ascii="Times New Roman" w:hAnsi="Times New Roman" w:cs="Times New Roman"/>
          <w:sz w:val="22"/>
          <w:szCs w:val="22"/>
        </w:rPr>
        <w:t>(positive control),</w:t>
      </w:r>
      <w:r>
        <w:rPr>
          <w:rFonts w:ascii="Times New Roman" w:hAnsi="Times New Roman" w:cs="Times New Roman"/>
          <w:i/>
          <w:sz w:val="22"/>
          <w:szCs w:val="22"/>
        </w:rPr>
        <w:t xml:space="preserve"> C. erythrophyllum, D. viscosa, H. natalensis, S.  birrea, E. lysistemon, S.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 lucida </w:t>
      </w:r>
      <w:r>
        <w:rPr>
          <w:rFonts w:ascii="Times New Roman" w:hAnsi="Times New Roman" w:cs="Times New Roman"/>
          <w:sz w:val="22"/>
          <w:szCs w:val="22"/>
        </w:rPr>
        <w:t xml:space="preserve">plant extracts.  Each of these plant extracts were tested at two dose levels: 300 and 600 mg/kg DM.  There were 3 independent </w:t>
      </w:r>
      <w:r>
        <w:rPr>
          <w:rFonts w:ascii="Times New Roman" w:hAnsi="Times New Roman" w:cs="Times New Roman"/>
          <w:i/>
          <w:sz w:val="22"/>
          <w:szCs w:val="22"/>
        </w:rPr>
        <w:t xml:space="preserve">in vitro </w:t>
      </w:r>
      <w:r>
        <w:rPr>
          <w:rFonts w:ascii="Times New Roman" w:hAnsi="Times New Roman" w:cs="Times New Roman"/>
          <w:sz w:val="22"/>
          <w:szCs w:val="22"/>
        </w:rPr>
        <w:t>runs performed with each treatment replicated 4 times per run.  Apart from the negative control and blank bottles which where replicated 6 times per run.  The blank bottles consisted of only the rumen fluid and buffer solution.  In total, 80 bottles were incubated per run.</w:t>
      </w:r>
    </w:p>
    <w:p w14:paraId="0316AB4A" w14:textId="77777777" w:rsidR="00EF65F1" w:rsidRDefault="00EF65F1">
      <w:pPr>
        <w:spacing w:line="360" w:lineRule="auto"/>
        <w:ind w:firstLine="567"/>
        <w:contextualSpacing/>
        <w:jc w:val="both"/>
        <w:rPr>
          <w:rFonts w:ascii="Times New Roman" w:hAnsi="Times New Roman" w:cs="Times New Roman"/>
          <w:sz w:val="22"/>
          <w:szCs w:val="22"/>
        </w:rPr>
      </w:pPr>
    </w:p>
    <w:p w14:paraId="17B5F9EC"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73" w:name="_Toc2691155"/>
      <w:r>
        <w:rPr>
          <w:rFonts w:ascii="Times New Roman" w:hAnsi="Times New Roman" w:cs="Times New Roman"/>
          <w:color w:val="auto"/>
          <w:szCs w:val="22"/>
        </w:rPr>
        <w:t>Gas Production</w:t>
      </w:r>
      <w:bookmarkEnd w:id="173"/>
    </w:p>
    <w:p w14:paraId="3B418384" w14:textId="77777777" w:rsidR="00EF65F1" w:rsidRDefault="00EF65F1">
      <w:pPr>
        <w:spacing w:after="0" w:line="360" w:lineRule="auto"/>
        <w:ind w:firstLine="567"/>
        <w:contextualSpacing/>
        <w:jc w:val="both"/>
        <w:rPr>
          <w:rFonts w:ascii="Times New Roman" w:hAnsi="Times New Roman" w:cs="Times New Roman"/>
          <w:sz w:val="22"/>
          <w:szCs w:val="22"/>
        </w:rPr>
      </w:pPr>
    </w:p>
    <w:p w14:paraId="5B5F32F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Sample preparation, rumen fluid collection, buffer media preparation, sample incubation, gas measurements and gas production calculations were all performed in the same manner as per chapter 2.  Section 2.3.5 provides a detailed explanation of these procedures.  Figure 3.2 shows the serum bottles placed into the Inco-Shake prior to incubation in order to prewarm the bottles to 39°C.</w:t>
      </w:r>
    </w:p>
    <w:p w14:paraId="6E325F81" w14:textId="77777777" w:rsidR="00EF65F1" w:rsidRDefault="00484A18">
      <w:pPr>
        <w:keepNext/>
        <w:spacing w:after="0" w:line="360" w:lineRule="auto"/>
        <w:contextualSpacing/>
        <w:jc w:val="center"/>
        <w:rPr>
          <w:rFonts w:ascii="Times New Roman" w:hAnsi="Times New Roman" w:cs="Times New Roman"/>
          <w:sz w:val="22"/>
          <w:szCs w:val="22"/>
        </w:rPr>
      </w:pPr>
      <w:r>
        <w:rPr>
          <w:rFonts w:ascii="Times New Roman" w:hAnsi="Times New Roman" w:cs="Times New Roman"/>
          <w:b/>
          <w:noProof/>
          <w:sz w:val="22"/>
          <w:szCs w:val="22"/>
          <w:lang w:eastAsia="en-ZA"/>
        </w:rPr>
        <w:lastRenderedPageBreak/>
        <w:drawing>
          <wp:inline distT="0" distB="0" distL="0" distR="0" wp14:anchorId="3C4DAB35" wp14:editId="0AADDDCF">
            <wp:extent cx="2520000" cy="2880000"/>
            <wp:effectExtent l="0" t="0" r="0" b="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G_309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20000" cy="2880000"/>
                    </a:xfrm>
                    <a:prstGeom prst="rect">
                      <a:avLst/>
                    </a:prstGeom>
                  </pic:spPr>
                </pic:pic>
              </a:graphicData>
            </a:graphic>
          </wp:inline>
        </w:drawing>
      </w:r>
    </w:p>
    <w:p w14:paraId="1D86BFCB" w14:textId="77777777" w:rsidR="00EF65F1" w:rsidRDefault="00EF65F1">
      <w:pPr>
        <w:pStyle w:val="Caption"/>
        <w:spacing w:after="0" w:line="360" w:lineRule="auto"/>
        <w:contextualSpacing/>
        <w:jc w:val="both"/>
        <w:rPr>
          <w:rFonts w:ascii="Times New Roman" w:hAnsi="Times New Roman" w:cs="Times New Roman"/>
          <w:i w:val="0"/>
          <w:color w:val="auto"/>
          <w:sz w:val="22"/>
          <w:szCs w:val="22"/>
        </w:rPr>
      </w:pPr>
      <w:bookmarkStart w:id="174" w:name="_Toc2349046"/>
      <w:bookmarkStart w:id="175" w:name="_Toc530512584"/>
    </w:p>
    <w:p w14:paraId="55787FD3" w14:textId="0F423AB2" w:rsidR="00EF65F1" w:rsidRDefault="00484A18">
      <w:pPr>
        <w:pStyle w:val="Caption"/>
        <w:spacing w:after="0" w:line="360" w:lineRule="auto"/>
        <w:contextualSpacing/>
        <w:jc w:val="both"/>
        <w:rPr>
          <w:rFonts w:ascii="Times New Roman" w:hAnsi="Times New Roman" w:cs="Times New Roman"/>
          <w:i w:val="0"/>
          <w:color w:val="auto"/>
          <w:sz w:val="22"/>
          <w:szCs w:val="22"/>
        </w:rPr>
      </w:pPr>
      <w:r>
        <w:rPr>
          <w:rFonts w:ascii="Times New Roman" w:hAnsi="Times New Roman" w:cs="Times New Roman"/>
          <w:i w:val="0"/>
          <w:color w:val="auto"/>
          <w:sz w:val="22"/>
          <w:szCs w:val="22"/>
        </w:rPr>
        <w:t xml:space="preserve">Figure </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STYLEREF 1 \s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3</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w:t>
      </w:r>
      <w:r>
        <w:rPr>
          <w:rFonts w:ascii="Times New Roman" w:hAnsi="Times New Roman" w:cs="Times New Roman"/>
          <w:i w:val="0"/>
          <w:color w:val="auto"/>
          <w:sz w:val="22"/>
          <w:szCs w:val="22"/>
        </w:rPr>
        <w:fldChar w:fldCharType="begin"/>
      </w:r>
      <w:r>
        <w:rPr>
          <w:rFonts w:ascii="Times New Roman" w:hAnsi="Times New Roman" w:cs="Times New Roman"/>
          <w:i w:val="0"/>
          <w:color w:val="auto"/>
          <w:sz w:val="22"/>
          <w:szCs w:val="22"/>
        </w:rPr>
        <w:instrText xml:space="preserve"> SEQ Figure \* ARABIC \s 1 </w:instrText>
      </w:r>
      <w:r>
        <w:rPr>
          <w:rFonts w:ascii="Times New Roman" w:hAnsi="Times New Roman" w:cs="Times New Roman"/>
          <w:i w:val="0"/>
          <w:color w:val="auto"/>
          <w:sz w:val="22"/>
          <w:szCs w:val="22"/>
        </w:rPr>
        <w:fldChar w:fldCharType="separate"/>
      </w:r>
      <w:r w:rsidR="00E604B8">
        <w:rPr>
          <w:rFonts w:ascii="Times New Roman" w:hAnsi="Times New Roman" w:cs="Times New Roman"/>
          <w:i w:val="0"/>
          <w:noProof/>
          <w:color w:val="auto"/>
          <w:sz w:val="22"/>
          <w:szCs w:val="22"/>
        </w:rPr>
        <w:t>2</w:t>
      </w:r>
      <w:r>
        <w:rPr>
          <w:rFonts w:ascii="Times New Roman" w:hAnsi="Times New Roman" w:cs="Times New Roman"/>
          <w:i w:val="0"/>
          <w:color w:val="auto"/>
          <w:sz w:val="22"/>
          <w:szCs w:val="22"/>
        </w:rPr>
        <w:fldChar w:fldCharType="end"/>
      </w:r>
      <w:r>
        <w:rPr>
          <w:rFonts w:ascii="Times New Roman" w:hAnsi="Times New Roman" w:cs="Times New Roman"/>
          <w:i w:val="0"/>
          <w:color w:val="auto"/>
          <w:sz w:val="22"/>
          <w:szCs w:val="22"/>
        </w:rPr>
        <w:t xml:space="preserve"> Serum bottles (±120 mL) prewarming at 39°C in Inco-shake prior to incubation</w:t>
      </w:r>
      <w:bookmarkEnd w:id="174"/>
      <w:r>
        <w:rPr>
          <w:rFonts w:ascii="Times New Roman" w:hAnsi="Times New Roman" w:cs="Times New Roman"/>
          <w:i w:val="0"/>
          <w:color w:val="auto"/>
          <w:sz w:val="22"/>
          <w:szCs w:val="22"/>
        </w:rPr>
        <w:t xml:space="preserve"> </w:t>
      </w:r>
      <w:bookmarkEnd w:id="175"/>
    </w:p>
    <w:p w14:paraId="0ACC9A85" w14:textId="77777777" w:rsidR="00EF65F1" w:rsidRDefault="00EF65F1">
      <w:pPr>
        <w:spacing w:line="360" w:lineRule="auto"/>
        <w:contextualSpacing/>
        <w:jc w:val="both"/>
        <w:rPr>
          <w:rFonts w:ascii="Times New Roman" w:hAnsi="Times New Roman" w:cs="Times New Roman"/>
          <w:sz w:val="22"/>
          <w:szCs w:val="22"/>
          <w:lang w:val="en-GB"/>
        </w:rPr>
      </w:pPr>
    </w:p>
    <w:p w14:paraId="6650A420" w14:textId="77777777" w:rsidR="00EF65F1" w:rsidRDefault="00484A18">
      <w:pPr>
        <w:pStyle w:val="Heading3"/>
        <w:spacing w:before="0" w:line="360" w:lineRule="auto"/>
        <w:contextualSpacing/>
        <w:jc w:val="both"/>
        <w:rPr>
          <w:rFonts w:ascii="Times New Roman" w:hAnsi="Times New Roman" w:cs="Times New Roman"/>
          <w:color w:val="auto"/>
          <w:szCs w:val="22"/>
        </w:rPr>
      </w:pPr>
      <w:bookmarkStart w:id="176" w:name="_Toc2691156"/>
      <w:r>
        <w:rPr>
          <w:rFonts w:ascii="Times New Roman" w:hAnsi="Times New Roman" w:cs="Times New Roman"/>
          <w:color w:val="auto"/>
          <w:szCs w:val="22"/>
        </w:rPr>
        <w:t>Methane gas production</w:t>
      </w:r>
      <w:bookmarkEnd w:id="176"/>
    </w:p>
    <w:p w14:paraId="3EB5483A" w14:textId="77777777" w:rsidR="00EF65F1" w:rsidRDefault="00EF65F1">
      <w:pPr>
        <w:spacing w:after="0" w:line="360" w:lineRule="auto"/>
        <w:ind w:firstLine="567"/>
        <w:contextualSpacing/>
        <w:jc w:val="both"/>
        <w:rPr>
          <w:rFonts w:ascii="Times New Roman" w:hAnsi="Times New Roman" w:cs="Times New Roman"/>
          <w:sz w:val="22"/>
          <w:szCs w:val="22"/>
        </w:rPr>
      </w:pPr>
    </w:p>
    <w:p w14:paraId="4BA0A26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procedure for the collection of gas samples and a detailed explanation on the method used to analyse gas samples for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concentration is explained in chapter 2.  Section 2.3.6 provides a detailed explanation.</w:t>
      </w:r>
    </w:p>
    <w:p w14:paraId="6C8402C4" w14:textId="77777777" w:rsidR="00EF65F1" w:rsidRDefault="00EF65F1">
      <w:pPr>
        <w:spacing w:line="360" w:lineRule="auto"/>
        <w:ind w:firstLine="567"/>
        <w:contextualSpacing/>
        <w:jc w:val="both"/>
        <w:rPr>
          <w:rFonts w:ascii="Times New Roman" w:hAnsi="Times New Roman" w:cs="Times New Roman"/>
          <w:sz w:val="22"/>
          <w:szCs w:val="22"/>
        </w:rPr>
      </w:pPr>
    </w:p>
    <w:p w14:paraId="1F6B0ADF"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77" w:name="_Toc2691157"/>
      <w:r>
        <w:rPr>
          <w:rFonts w:ascii="Times New Roman" w:hAnsi="Times New Roman" w:cs="Times New Roman"/>
          <w:i/>
          <w:color w:val="auto"/>
          <w:szCs w:val="22"/>
        </w:rPr>
        <w:t>In vitro</w:t>
      </w:r>
      <w:r>
        <w:rPr>
          <w:rFonts w:ascii="Times New Roman" w:hAnsi="Times New Roman" w:cs="Times New Roman"/>
          <w:color w:val="auto"/>
          <w:szCs w:val="22"/>
        </w:rPr>
        <w:t xml:space="preserve"> organic matter digestibility</w:t>
      </w:r>
      <w:bookmarkEnd w:id="177"/>
    </w:p>
    <w:p w14:paraId="688CD59D" w14:textId="77777777" w:rsidR="00EF65F1" w:rsidRDefault="00EF65F1">
      <w:pPr>
        <w:spacing w:after="0" w:line="360" w:lineRule="auto"/>
        <w:ind w:firstLine="567"/>
        <w:contextualSpacing/>
        <w:jc w:val="both"/>
        <w:rPr>
          <w:rFonts w:ascii="Times New Roman" w:hAnsi="Times New Roman" w:cs="Times New Roman"/>
          <w:sz w:val="22"/>
          <w:szCs w:val="22"/>
        </w:rPr>
      </w:pPr>
    </w:p>
    <w:p w14:paraId="7DEBE89C" w14:textId="77777777" w:rsidR="00EF65F1" w:rsidRDefault="00484A18">
      <w:pPr>
        <w:spacing w:after="0" w:line="360" w:lineRule="auto"/>
        <w:ind w:firstLine="567"/>
        <w:contextualSpacing/>
        <w:jc w:val="both"/>
        <w:rPr>
          <w:rFonts w:ascii="Times New Roman" w:eastAsiaTheme="majorEastAsia" w:hAnsi="Times New Roman" w:cs="Times New Roman"/>
          <w:sz w:val="22"/>
          <w:szCs w:val="22"/>
        </w:rPr>
      </w:pPr>
      <w:r>
        <w:rPr>
          <w:rFonts w:ascii="Times New Roman" w:eastAsiaTheme="majorEastAsia" w:hAnsi="Times New Roman" w:cs="Times New Roman"/>
          <w:sz w:val="22"/>
          <w:szCs w:val="22"/>
        </w:rPr>
        <w:t xml:space="preserve">The </w:t>
      </w:r>
      <w:r>
        <w:rPr>
          <w:rFonts w:ascii="Times New Roman" w:eastAsiaTheme="majorEastAsia" w:hAnsi="Times New Roman" w:cs="Times New Roman"/>
          <w:i/>
          <w:sz w:val="22"/>
          <w:szCs w:val="22"/>
        </w:rPr>
        <w:t xml:space="preserve">in vitro </w:t>
      </w:r>
      <w:r>
        <w:rPr>
          <w:rFonts w:ascii="Times New Roman" w:eastAsiaTheme="majorEastAsia" w:hAnsi="Times New Roman" w:cs="Times New Roman"/>
          <w:sz w:val="22"/>
          <w:szCs w:val="22"/>
        </w:rPr>
        <w:t>organic matter digestibility analyses in this study were performed with the same methodology as chapter 2.  Section 2.3.7 provides a detailed explanation.</w:t>
      </w:r>
    </w:p>
    <w:p w14:paraId="5E479D2F" w14:textId="77777777" w:rsidR="00EF65F1" w:rsidRDefault="00EF65F1">
      <w:pPr>
        <w:spacing w:line="360" w:lineRule="auto"/>
        <w:ind w:firstLine="567"/>
        <w:contextualSpacing/>
        <w:jc w:val="both"/>
        <w:rPr>
          <w:rFonts w:ascii="Times New Roman" w:hAnsi="Times New Roman" w:cs="Times New Roman"/>
          <w:sz w:val="22"/>
          <w:szCs w:val="22"/>
        </w:rPr>
      </w:pPr>
    </w:p>
    <w:p w14:paraId="7C65FF4B"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78" w:name="_Toc2691158"/>
      <w:r>
        <w:rPr>
          <w:rFonts w:ascii="Times New Roman" w:hAnsi="Times New Roman" w:cs="Times New Roman"/>
          <w:color w:val="auto"/>
          <w:szCs w:val="22"/>
        </w:rPr>
        <w:t>Statistical Analysis</w:t>
      </w:r>
      <w:bookmarkEnd w:id="178"/>
    </w:p>
    <w:p w14:paraId="6FFFDDAC" w14:textId="77777777" w:rsidR="00EF65F1" w:rsidRDefault="00EF65F1">
      <w:pPr>
        <w:spacing w:after="0" w:line="360" w:lineRule="auto"/>
        <w:ind w:firstLine="567"/>
        <w:contextualSpacing/>
        <w:jc w:val="both"/>
        <w:rPr>
          <w:rFonts w:ascii="Times New Roman" w:hAnsi="Times New Roman" w:cs="Times New Roman"/>
          <w:sz w:val="22"/>
          <w:szCs w:val="22"/>
        </w:rPr>
      </w:pPr>
    </w:p>
    <w:p w14:paraId="45E81262"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A completely randomised block design was used as the experimental design in this study.  Deviations from normality were assessed through a Shapiro- Wilk’s test, and a one-way repeated ANOVA was performed separately to test: 1) the potential differences between the treatments and the negative control and positive controls 2) the potential differences between the different plant extracts at a dose level of 300 or 600 mg/kg DM.  A Tukey’s range test was conducted to determine significant differences between treatment means.  All statistical analyses for this study were carried out using Microsoft excel and SAS 9.4.  P values &lt; 0.05 were deemed significant.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w:t>
      </w:r>
      <w:r>
        <w:rPr>
          <w:rFonts w:ascii="Times New Roman" w:hAnsi="Times New Roman" w:cs="Times New Roman"/>
          <w:sz w:val="22"/>
          <w:szCs w:val="22"/>
        </w:rPr>
        <w:lastRenderedPageBreak/>
        <w:t xml:space="preserve">(mL/g), IVOMD and all ratios (%) were measured in response to plant extracts dosed at 300 and 600 mg/kg DM compared to the negative control </w:t>
      </w:r>
      <w:r>
        <w:rPr>
          <w:rFonts w:ascii="Times New Roman" w:hAnsi="Times New Roman" w:cs="Times New Roman"/>
          <w:i/>
          <w:sz w:val="22"/>
          <w:szCs w:val="22"/>
        </w:rPr>
        <w:t xml:space="preserve">E. curvula </w:t>
      </w:r>
      <w:r>
        <w:rPr>
          <w:rFonts w:ascii="Times New Roman" w:hAnsi="Times New Roman" w:cs="Times New Roman"/>
          <w:sz w:val="22"/>
          <w:szCs w:val="22"/>
        </w:rPr>
        <w:t>hay</w:t>
      </w:r>
      <w:r>
        <w:rPr>
          <w:rFonts w:ascii="Times New Roman" w:hAnsi="Times New Roman" w:cs="Times New Roman"/>
          <w:i/>
          <w:sz w:val="22"/>
          <w:szCs w:val="22"/>
        </w:rPr>
        <w:t xml:space="preserve"> </w:t>
      </w:r>
      <w:r>
        <w:rPr>
          <w:rFonts w:ascii="Times New Roman" w:hAnsi="Times New Roman" w:cs="Times New Roman"/>
          <w:sz w:val="22"/>
          <w:szCs w:val="22"/>
        </w:rPr>
        <w:t>and the positive controls Poulcox</w:t>
      </w:r>
      <w:r>
        <w:rPr>
          <w:rFonts w:ascii="Times New Roman" w:hAnsi="Times New Roman" w:cs="Times New Roman"/>
          <w:sz w:val="22"/>
          <w:szCs w:val="22"/>
          <w:vertAlign w:val="superscript"/>
        </w:rPr>
        <w:t>®</w:t>
      </w:r>
      <w:r>
        <w:rPr>
          <w:rFonts w:ascii="Times New Roman" w:hAnsi="Times New Roman" w:cs="Times New Roman"/>
          <w:sz w:val="22"/>
          <w:szCs w:val="22"/>
        </w:rPr>
        <w:t xml:space="preserve"> 20% (monensin sodium) and </w:t>
      </w:r>
      <w:r>
        <w:rPr>
          <w:rFonts w:ascii="Times New Roman" w:hAnsi="Times New Roman" w:cs="Times New Roman"/>
          <w:i/>
          <w:sz w:val="22"/>
          <w:szCs w:val="22"/>
        </w:rPr>
        <w:t xml:space="preserve">M. oleifera </w:t>
      </w:r>
      <w:r>
        <w:rPr>
          <w:rFonts w:ascii="Times New Roman" w:hAnsi="Times New Roman" w:cs="Times New Roman"/>
          <w:sz w:val="22"/>
          <w:szCs w:val="22"/>
        </w:rPr>
        <w:t>extract.  Subsequent post-hoc analysis was performed on each treatment individually to evaluate the effect of dose level on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w:t>
      </w:r>
    </w:p>
    <w:p w14:paraId="73162007" w14:textId="77777777" w:rsidR="00EF65F1" w:rsidRDefault="00EF65F1">
      <w:pPr>
        <w:spacing w:line="360" w:lineRule="auto"/>
        <w:ind w:firstLine="567"/>
        <w:contextualSpacing/>
        <w:jc w:val="both"/>
        <w:rPr>
          <w:rFonts w:ascii="Times New Roman" w:hAnsi="Times New Roman" w:cs="Times New Roman"/>
          <w:sz w:val="22"/>
          <w:szCs w:val="22"/>
        </w:rPr>
      </w:pPr>
    </w:p>
    <w:p w14:paraId="32D791FF"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179" w:name="_Toc2691159"/>
      <w:r>
        <w:rPr>
          <w:rFonts w:ascii="Times New Roman" w:hAnsi="Times New Roman" w:cs="Times New Roman"/>
          <w:b/>
          <w:color w:val="auto"/>
          <w:sz w:val="24"/>
          <w:szCs w:val="24"/>
        </w:rPr>
        <w:t>Results and discussion</w:t>
      </w:r>
      <w:bookmarkEnd w:id="179"/>
    </w:p>
    <w:p w14:paraId="1308BB61" w14:textId="77777777" w:rsidR="00EF65F1" w:rsidRDefault="00EF65F1">
      <w:pPr>
        <w:spacing w:after="0" w:line="360" w:lineRule="auto"/>
        <w:contextualSpacing/>
        <w:jc w:val="both"/>
        <w:rPr>
          <w:rFonts w:ascii="Times New Roman" w:hAnsi="Times New Roman" w:cs="Times New Roman"/>
          <w:sz w:val="22"/>
          <w:szCs w:val="22"/>
        </w:rPr>
      </w:pPr>
    </w:p>
    <w:p w14:paraId="5109469D" w14:textId="77777777" w:rsidR="00EF65F1" w:rsidRDefault="00484A18">
      <w:pPr>
        <w:pStyle w:val="Heading3"/>
        <w:spacing w:before="0" w:line="360" w:lineRule="auto"/>
        <w:contextualSpacing/>
        <w:jc w:val="both"/>
        <w:rPr>
          <w:rFonts w:ascii="Times New Roman" w:hAnsi="Times New Roman" w:cs="Times New Roman"/>
          <w:color w:val="auto"/>
          <w:szCs w:val="22"/>
        </w:rPr>
      </w:pPr>
      <w:bookmarkStart w:id="180" w:name="_Toc2691160"/>
      <w:r>
        <w:rPr>
          <w:rFonts w:ascii="Times New Roman" w:hAnsi="Times New Roman" w:cs="Times New Roman"/>
          <w:color w:val="auto"/>
          <w:szCs w:val="22"/>
        </w:rPr>
        <w:t>Gas Production</w:t>
      </w:r>
      <w:bookmarkEnd w:id="180"/>
    </w:p>
    <w:p w14:paraId="6BE6CEB9" w14:textId="77777777" w:rsidR="00EF65F1" w:rsidRDefault="00EF65F1">
      <w:pPr>
        <w:spacing w:after="0" w:line="360" w:lineRule="auto"/>
        <w:ind w:firstLine="567"/>
        <w:contextualSpacing/>
        <w:jc w:val="both"/>
        <w:rPr>
          <w:rFonts w:ascii="Times New Roman" w:hAnsi="Times New Roman" w:cs="Times New Roman"/>
          <w:sz w:val="22"/>
          <w:szCs w:val="22"/>
        </w:rPr>
      </w:pPr>
    </w:p>
    <w:p w14:paraId="1095794F"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cumulative gas volumes produced (mL gas/g DM) per treatment, consisting of </w:t>
      </w:r>
      <w:r>
        <w:rPr>
          <w:rFonts w:ascii="Times New Roman" w:hAnsi="Times New Roman" w:cs="Times New Roman"/>
          <w:i/>
          <w:sz w:val="22"/>
          <w:szCs w:val="22"/>
        </w:rPr>
        <w:t xml:space="preserve">Eragrostis curvula </w:t>
      </w:r>
      <w:r>
        <w:rPr>
          <w:rFonts w:ascii="Times New Roman" w:hAnsi="Times New Roman" w:cs="Times New Roman"/>
          <w:sz w:val="22"/>
          <w:szCs w:val="22"/>
        </w:rPr>
        <w:t xml:space="preserve">hay treated with seven different plants extracts at a dose level of 300 or 600 mg/kg DM after 2, 4, 8, 12, 24 and 48 hours post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are shown it tables 3.1 and 3.2, respectively.  </w:t>
      </w:r>
    </w:p>
    <w:p w14:paraId="515B86F7" w14:textId="77777777" w:rsidR="00EF65F1" w:rsidRDefault="00EF65F1">
      <w:pPr>
        <w:spacing w:after="0" w:line="360" w:lineRule="auto"/>
        <w:ind w:firstLine="567"/>
        <w:contextualSpacing/>
        <w:jc w:val="both"/>
        <w:rPr>
          <w:rFonts w:ascii="Times New Roman" w:hAnsi="Times New Roman" w:cs="Times New Roman"/>
          <w:sz w:val="22"/>
          <w:szCs w:val="22"/>
        </w:rPr>
      </w:pPr>
    </w:p>
    <w:p w14:paraId="3F55A592" w14:textId="77777777" w:rsidR="00EF65F1" w:rsidRDefault="00484A18">
      <w:pPr>
        <w:spacing w:after="0" w:line="360" w:lineRule="auto"/>
        <w:ind w:firstLine="567"/>
        <w:contextualSpacing/>
        <w:jc w:val="both"/>
        <w:rPr>
          <w:rFonts w:ascii="Times New Roman" w:eastAsia="Times New Roman" w:hAnsi="Times New Roman" w:cs="Times New Roman"/>
          <w:iCs/>
          <w:color w:val="000000"/>
          <w:sz w:val="22"/>
          <w:szCs w:val="22"/>
          <w:lang w:eastAsia="en-ZA"/>
        </w:rPr>
      </w:pPr>
      <w:r>
        <w:rPr>
          <w:rFonts w:ascii="Times New Roman" w:hAnsi="Times New Roman" w:cs="Times New Roman"/>
          <w:sz w:val="22"/>
          <w:szCs w:val="22"/>
        </w:rPr>
        <w:t xml:space="preserve">When the plant extracts were compared at a 300 mg/kg DM dose level, no significant differences (P &gt; 0.05) were observed between the treatments at any of the time intervals in terms of the volume of gas produced over the incubation period.  However, after 48 hours of incubation a tendency (0.05 &lt; P &lt; 0.10) for a difference in gas production between the different treatments was noted.  Plant extracts from </w:t>
      </w:r>
      <w:r>
        <w:rPr>
          <w:rFonts w:ascii="Times New Roman" w:eastAsia="Times New Roman" w:hAnsi="Times New Roman" w:cs="Times New Roman"/>
          <w:i/>
          <w:iCs/>
          <w:color w:val="000000"/>
          <w:sz w:val="22"/>
          <w:szCs w:val="22"/>
          <w:lang w:eastAsia="en-ZA"/>
        </w:rPr>
        <w:t>D. viscosa</w:t>
      </w:r>
      <w:r>
        <w:rPr>
          <w:rFonts w:ascii="Times New Roman" w:eastAsia="Times New Roman" w:hAnsi="Times New Roman" w:cs="Times New Roman"/>
          <w:iCs/>
          <w:color w:val="000000"/>
          <w:sz w:val="22"/>
          <w:szCs w:val="22"/>
          <w:lang w:eastAsia="en-ZA"/>
        </w:rPr>
        <w:t xml:space="preserve"> appear to have produced a higher </w:t>
      </w:r>
      <w:r>
        <w:rPr>
          <w:rFonts w:ascii="Times New Roman" w:hAnsi="Times New Roman" w:cs="Times New Roman"/>
          <w:sz w:val="22"/>
          <w:szCs w:val="22"/>
        </w:rPr>
        <w:t>(0.05 &lt; P &lt; 0.10)</w:t>
      </w:r>
      <w:r>
        <w:rPr>
          <w:rFonts w:ascii="Times New Roman" w:eastAsia="Times New Roman" w:hAnsi="Times New Roman" w:cs="Times New Roman"/>
          <w:iCs/>
          <w:color w:val="000000"/>
          <w:sz w:val="22"/>
          <w:szCs w:val="22"/>
          <w:lang w:eastAsia="en-ZA"/>
        </w:rPr>
        <w:t xml:space="preserve"> volume of gas when compared to the monensin treatment.  However, this increase in gas volume for </w:t>
      </w:r>
      <w:r>
        <w:rPr>
          <w:rFonts w:ascii="Times New Roman" w:eastAsia="Times New Roman" w:hAnsi="Times New Roman" w:cs="Times New Roman"/>
          <w:i/>
          <w:iCs/>
          <w:color w:val="000000"/>
          <w:sz w:val="22"/>
          <w:szCs w:val="22"/>
          <w:lang w:eastAsia="en-ZA"/>
        </w:rPr>
        <w:t>D. viscosa</w:t>
      </w:r>
      <w:r>
        <w:rPr>
          <w:rFonts w:ascii="Times New Roman" w:eastAsia="Times New Roman" w:hAnsi="Times New Roman" w:cs="Times New Roman"/>
          <w:iCs/>
          <w:color w:val="000000"/>
          <w:sz w:val="22"/>
          <w:szCs w:val="22"/>
          <w:lang w:eastAsia="en-ZA"/>
        </w:rPr>
        <w:t xml:space="preserve"> was not significantly (P &gt; 0.05) different when compared to the negative control.</w:t>
      </w:r>
    </w:p>
    <w:p w14:paraId="53BDA4D5" w14:textId="77777777" w:rsidR="00EF65F1" w:rsidRDefault="00EF65F1">
      <w:pPr>
        <w:spacing w:after="0" w:line="360" w:lineRule="auto"/>
        <w:ind w:firstLine="567"/>
        <w:contextualSpacing/>
        <w:jc w:val="both"/>
        <w:rPr>
          <w:rFonts w:ascii="Times New Roman" w:eastAsia="Times New Roman" w:hAnsi="Times New Roman" w:cs="Times New Roman"/>
          <w:iCs/>
          <w:color w:val="000000"/>
          <w:sz w:val="22"/>
          <w:szCs w:val="22"/>
          <w:lang w:eastAsia="en-ZA"/>
        </w:rPr>
      </w:pPr>
    </w:p>
    <w:p w14:paraId="2D697491" w14:textId="77777777" w:rsidR="00EF65F1" w:rsidRDefault="00484A18">
      <w:pPr>
        <w:spacing w:after="0" w:line="360" w:lineRule="auto"/>
        <w:ind w:firstLine="567"/>
        <w:contextualSpacing/>
        <w:jc w:val="both"/>
        <w:rPr>
          <w:rFonts w:ascii="Times New Roman" w:eastAsia="Times New Roman" w:hAnsi="Times New Roman" w:cs="Times New Roman"/>
          <w:iCs/>
          <w:color w:val="000000"/>
          <w:sz w:val="22"/>
          <w:szCs w:val="22"/>
          <w:lang w:eastAsia="en-ZA"/>
        </w:rPr>
      </w:pPr>
      <w:r>
        <w:rPr>
          <w:rFonts w:ascii="Times New Roman" w:eastAsia="Times New Roman" w:hAnsi="Times New Roman" w:cs="Times New Roman"/>
          <w:iCs/>
          <w:color w:val="000000"/>
          <w:sz w:val="22"/>
          <w:szCs w:val="22"/>
          <w:lang w:eastAsia="en-ZA"/>
        </w:rPr>
        <w:t xml:space="preserve">When all plant extracts where tested at a dose level of 600 mg/kg DM a significant difference (P &lt; 0.05) between the treatments was noted at 2-, 4- and 8-hours of incubation in terms of the volume of gas produced.  Plant extracts from </w:t>
      </w:r>
      <w:r>
        <w:rPr>
          <w:rFonts w:ascii="Times New Roman" w:eastAsia="Times New Roman" w:hAnsi="Times New Roman" w:cs="Times New Roman"/>
          <w:i/>
          <w:iCs/>
          <w:color w:val="000000"/>
          <w:sz w:val="22"/>
          <w:szCs w:val="22"/>
          <w:lang w:eastAsia="en-ZA"/>
        </w:rPr>
        <w:t xml:space="preserve">H. natalensis </w:t>
      </w:r>
      <w:r>
        <w:rPr>
          <w:rFonts w:ascii="Times New Roman" w:eastAsia="Times New Roman" w:hAnsi="Times New Roman" w:cs="Times New Roman"/>
          <w:iCs/>
          <w:color w:val="000000"/>
          <w:sz w:val="22"/>
          <w:szCs w:val="22"/>
          <w:lang w:eastAsia="en-ZA"/>
        </w:rPr>
        <w:t xml:space="preserve">seemed to produce a significantly higher (P &lt; 0.05) volume of gas when compared to plant extracts from </w:t>
      </w:r>
      <w:r>
        <w:rPr>
          <w:rFonts w:ascii="Times New Roman" w:eastAsia="Times New Roman" w:hAnsi="Times New Roman" w:cs="Times New Roman"/>
          <w:i/>
          <w:iCs/>
          <w:color w:val="000000"/>
          <w:sz w:val="22"/>
          <w:szCs w:val="22"/>
          <w:lang w:eastAsia="en-ZA"/>
        </w:rPr>
        <w:t>E. lysistemon</w:t>
      </w:r>
      <w:r>
        <w:rPr>
          <w:rFonts w:ascii="Times New Roman" w:eastAsia="Times New Roman" w:hAnsi="Times New Roman" w:cs="Times New Roman"/>
          <w:iCs/>
          <w:color w:val="000000"/>
          <w:sz w:val="22"/>
          <w:szCs w:val="22"/>
          <w:lang w:eastAsia="en-ZA"/>
        </w:rPr>
        <w:t xml:space="preserve"> after of 2 hours incubation, however, the volume of gas produced for these plant extracts were not significantly different (P &gt; 0.05) when compared to the negative control.  After 4 hours of incubation, plant extracts from </w:t>
      </w:r>
      <w:r>
        <w:rPr>
          <w:rFonts w:ascii="Times New Roman" w:eastAsia="Times New Roman" w:hAnsi="Times New Roman" w:cs="Times New Roman"/>
          <w:i/>
          <w:iCs/>
          <w:color w:val="000000"/>
          <w:sz w:val="22"/>
          <w:szCs w:val="22"/>
          <w:lang w:eastAsia="en-ZA"/>
        </w:rPr>
        <w:t xml:space="preserve">D. viscosa </w:t>
      </w:r>
      <w:r>
        <w:rPr>
          <w:rFonts w:ascii="Times New Roman" w:eastAsia="Times New Roman" w:hAnsi="Times New Roman" w:cs="Times New Roman"/>
          <w:iCs/>
          <w:color w:val="000000"/>
          <w:sz w:val="22"/>
          <w:szCs w:val="22"/>
          <w:lang w:eastAsia="en-ZA"/>
        </w:rPr>
        <w:t xml:space="preserve">and </w:t>
      </w:r>
      <w:r>
        <w:rPr>
          <w:rFonts w:ascii="Times New Roman" w:eastAsia="Times New Roman" w:hAnsi="Times New Roman" w:cs="Times New Roman"/>
          <w:i/>
          <w:iCs/>
          <w:color w:val="000000"/>
          <w:sz w:val="22"/>
          <w:szCs w:val="22"/>
          <w:lang w:eastAsia="en-ZA"/>
        </w:rPr>
        <w:t xml:space="preserve">S. chirindensis </w:t>
      </w:r>
      <w:r>
        <w:rPr>
          <w:rFonts w:ascii="Times New Roman" w:eastAsia="Times New Roman" w:hAnsi="Times New Roman" w:cs="Times New Roman"/>
          <w:iCs/>
          <w:color w:val="000000"/>
          <w:sz w:val="22"/>
          <w:szCs w:val="22"/>
          <w:lang w:eastAsia="en-ZA"/>
        </w:rPr>
        <w:t xml:space="preserve">appeared to have a higher (P &lt; 0.05) volume of gas produced compared to plant extracts from </w:t>
      </w:r>
      <w:r>
        <w:rPr>
          <w:rFonts w:ascii="Times New Roman" w:eastAsia="Times New Roman" w:hAnsi="Times New Roman" w:cs="Times New Roman"/>
          <w:i/>
          <w:iCs/>
          <w:color w:val="000000"/>
          <w:sz w:val="22"/>
          <w:szCs w:val="22"/>
          <w:lang w:eastAsia="en-ZA"/>
        </w:rPr>
        <w:t xml:space="preserve">M. oleifera </w:t>
      </w:r>
      <w:r>
        <w:rPr>
          <w:rFonts w:ascii="Times New Roman" w:eastAsia="Times New Roman" w:hAnsi="Times New Roman" w:cs="Times New Roman"/>
          <w:iCs/>
          <w:color w:val="000000"/>
          <w:sz w:val="22"/>
          <w:szCs w:val="22"/>
          <w:lang w:eastAsia="en-ZA"/>
        </w:rPr>
        <w:t xml:space="preserve">and </w:t>
      </w:r>
      <w:r>
        <w:rPr>
          <w:rFonts w:ascii="Times New Roman" w:eastAsia="Times New Roman" w:hAnsi="Times New Roman" w:cs="Times New Roman"/>
          <w:i/>
          <w:iCs/>
          <w:color w:val="000000"/>
          <w:sz w:val="22"/>
          <w:szCs w:val="22"/>
          <w:lang w:eastAsia="en-ZA"/>
        </w:rPr>
        <w:t>E. lysistemon</w:t>
      </w:r>
      <w:r>
        <w:rPr>
          <w:rFonts w:ascii="Times New Roman" w:eastAsia="Times New Roman" w:hAnsi="Times New Roman" w:cs="Times New Roman"/>
          <w:iCs/>
          <w:color w:val="000000"/>
          <w:sz w:val="22"/>
          <w:szCs w:val="22"/>
          <w:lang w:eastAsia="en-ZA"/>
        </w:rPr>
        <w:t xml:space="preserve">.  However, these differences in gas volumes for these plant extracts were not significantly different (P &gt; 0.05) when compared to the negative control.  Plant extracts from </w:t>
      </w:r>
      <w:r>
        <w:rPr>
          <w:rFonts w:ascii="Times New Roman" w:eastAsia="Times New Roman" w:hAnsi="Times New Roman" w:cs="Times New Roman"/>
          <w:i/>
          <w:iCs/>
          <w:color w:val="000000"/>
          <w:sz w:val="22"/>
          <w:szCs w:val="22"/>
          <w:lang w:eastAsia="en-ZA"/>
        </w:rPr>
        <w:t xml:space="preserve">M. oleifera </w:t>
      </w:r>
      <w:r>
        <w:rPr>
          <w:rFonts w:ascii="Times New Roman" w:eastAsia="Times New Roman" w:hAnsi="Times New Roman" w:cs="Times New Roman"/>
          <w:iCs/>
          <w:color w:val="000000"/>
          <w:sz w:val="22"/>
          <w:szCs w:val="22"/>
          <w:lang w:eastAsia="en-ZA"/>
        </w:rPr>
        <w:t xml:space="preserve">and </w:t>
      </w:r>
      <w:r>
        <w:rPr>
          <w:rFonts w:ascii="Times New Roman" w:eastAsia="Times New Roman" w:hAnsi="Times New Roman" w:cs="Times New Roman"/>
          <w:i/>
          <w:iCs/>
          <w:color w:val="000000"/>
          <w:sz w:val="22"/>
          <w:szCs w:val="22"/>
          <w:lang w:eastAsia="en-ZA"/>
        </w:rPr>
        <w:t xml:space="preserve">C. erythrophyllum </w:t>
      </w:r>
      <w:r>
        <w:rPr>
          <w:rFonts w:ascii="Times New Roman" w:eastAsia="Times New Roman" w:hAnsi="Times New Roman" w:cs="Times New Roman"/>
          <w:iCs/>
          <w:color w:val="000000"/>
          <w:sz w:val="22"/>
          <w:szCs w:val="22"/>
          <w:lang w:eastAsia="en-ZA"/>
        </w:rPr>
        <w:t xml:space="preserve">produced a lower quantity of gas after 8 hours of incubation compared to the volume of gas produced by plant extracts from </w:t>
      </w:r>
      <w:r>
        <w:rPr>
          <w:rFonts w:ascii="Times New Roman" w:eastAsia="Times New Roman" w:hAnsi="Times New Roman" w:cs="Times New Roman"/>
          <w:i/>
          <w:iCs/>
          <w:color w:val="000000"/>
          <w:sz w:val="22"/>
          <w:szCs w:val="22"/>
          <w:lang w:eastAsia="en-ZA"/>
        </w:rPr>
        <w:t>D. viscosa</w:t>
      </w:r>
      <w:r>
        <w:rPr>
          <w:rFonts w:ascii="Times New Roman" w:eastAsia="Times New Roman" w:hAnsi="Times New Roman" w:cs="Times New Roman"/>
          <w:iCs/>
          <w:color w:val="000000"/>
          <w:sz w:val="22"/>
          <w:szCs w:val="22"/>
          <w:lang w:eastAsia="en-ZA"/>
        </w:rPr>
        <w:t xml:space="preserve"> and </w:t>
      </w:r>
      <w:r>
        <w:rPr>
          <w:rFonts w:ascii="Times New Roman" w:eastAsia="Times New Roman" w:hAnsi="Times New Roman" w:cs="Times New Roman"/>
          <w:i/>
          <w:iCs/>
          <w:color w:val="000000"/>
          <w:sz w:val="22"/>
          <w:szCs w:val="22"/>
          <w:lang w:eastAsia="en-ZA"/>
        </w:rPr>
        <w:t>S. chirindensis</w:t>
      </w:r>
      <w:r>
        <w:rPr>
          <w:rFonts w:ascii="Times New Roman" w:eastAsia="Times New Roman" w:hAnsi="Times New Roman" w:cs="Times New Roman"/>
          <w:iCs/>
          <w:color w:val="000000"/>
          <w:sz w:val="22"/>
          <w:szCs w:val="22"/>
          <w:lang w:eastAsia="en-ZA"/>
        </w:rPr>
        <w:t xml:space="preserve">.  Plant extracts from </w:t>
      </w:r>
      <w:r>
        <w:rPr>
          <w:rFonts w:ascii="Times New Roman" w:eastAsia="Times New Roman" w:hAnsi="Times New Roman" w:cs="Times New Roman"/>
          <w:i/>
          <w:iCs/>
          <w:color w:val="000000"/>
          <w:sz w:val="22"/>
          <w:szCs w:val="22"/>
          <w:lang w:eastAsia="en-ZA"/>
        </w:rPr>
        <w:t xml:space="preserve">S. chirindensis </w:t>
      </w:r>
      <w:r>
        <w:rPr>
          <w:rFonts w:ascii="Times New Roman" w:eastAsia="Times New Roman" w:hAnsi="Times New Roman" w:cs="Times New Roman"/>
          <w:iCs/>
          <w:color w:val="000000"/>
          <w:sz w:val="22"/>
          <w:szCs w:val="22"/>
          <w:lang w:eastAsia="en-ZA"/>
        </w:rPr>
        <w:t xml:space="preserve">also produced significantly higher (P &lt; 0.05) volumes of gas at 8 hours when compared to plant extracts from </w:t>
      </w:r>
      <w:r>
        <w:rPr>
          <w:rFonts w:ascii="Times New Roman" w:eastAsia="Times New Roman" w:hAnsi="Times New Roman" w:cs="Times New Roman"/>
          <w:i/>
          <w:iCs/>
          <w:color w:val="000000"/>
          <w:sz w:val="22"/>
          <w:szCs w:val="22"/>
          <w:lang w:eastAsia="en-ZA"/>
        </w:rPr>
        <w:t>H. lucida</w:t>
      </w:r>
      <w:r>
        <w:rPr>
          <w:rFonts w:ascii="Times New Roman" w:eastAsia="Times New Roman" w:hAnsi="Times New Roman" w:cs="Times New Roman"/>
          <w:iCs/>
          <w:color w:val="000000"/>
          <w:sz w:val="22"/>
          <w:szCs w:val="22"/>
          <w:lang w:eastAsia="en-ZA"/>
        </w:rPr>
        <w:t xml:space="preserve">.  However, none of these specie’s gas volumes were significantly different (P &gt; 0.05) when compared to the negative control in terms of the volume of gas produced. </w:t>
      </w:r>
    </w:p>
    <w:p w14:paraId="41A9BBD0" w14:textId="77777777" w:rsidR="00EF65F1" w:rsidRDefault="00EF65F1">
      <w:pPr>
        <w:spacing w:after="0" w:line="360" w:lineRule="auto"/>
        <w:ind w:firstLine="567"/>
        <w:contextualSpacing/>
        <w:jc w:val="both"/>
        <w:rPr>
          <w:rFonts w:ascii="Times New Roman" w:eastAsia="Times New Roman" w:hAnsi="Times New Roman" w:cs="Times New Roman"/>
          <w:iCs/>
          <w:color w:val="000000"/>
          <w:sz w:val="22"/>
          <w:szCs w:val="22"/>
          <w:lang w:eastAsia="en-ZA"/>
        </w:rPr>
      </w:pPr>
    </w:p>
    <w:p w14:paraId="2796EBF0"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eastAsia="Times New Roman" w:hAnsi="Times New Roman" w:cs="Times New Roman"/>
          <w:iCs/>
          <w:color w:val="000000"/>
          <w:sz w:val="22"/>
          <w:szCs w:val="22"/>
          <w:lang w:eastAsia="en-ZA"/>
        </w:rPr>
        <w:t xml:space="preserve">Table 3.3 shows the effect on cumulative gas production when the plant extract treatments are tested individually at a 300 and 600 mg/kg DM dose level.  </w:t>
      </w:r>
      <w:r>
        <w:rPr>
          <w:rFonts w:ascii="Times New Roman" w:hAnsi="Times New Roman" w:cs="Times New Roman"/>
          <w:sz w:val="22"/>
          <w:szCs w:val="22"/>
        </w:rPr>
        <w:t xml:space="preserve">When the plant extracts were used at a 300 and 600 mg/kg DM dose level, no significant differences (P &gt; 0.05) were noted in terms of the volume of gas produced for the plant extracts of </w:t>
      </w:r>
      <w:r>
        <w:rPr>
          <w:rFonts w:ascii="Times New Roman" w:hAnsi="Times New Roman" w:cs="Times New Roman"/>
          <w:i/>
          <w:sz w:val="22"/>
          <w:szCs w:val="22"/>
        </w:rPr>
        <w:t>C. erythrophyllum</w:t>
      </w:r>
      <w:r>
        <w:rPr>
          <w:rFonts w:ascii="Times New Roman" w:hAnsi="Times New Roman" w:cs="Times New Roman"/>
          <w:sz w:val="22"/>
          <w:szCs w:val="22"/>
        </w:rPr>
        <w:t xml:space="preserve">, </w:t>
      </w:r>
      <w:r>
        <w:rPr>
          <w:rFonts w:ascii="Times New Roman" w:hAnsi="Times New Roman" w:cs="Times New Roman"/>
          <w:i/>
          <w:sz w:val="22"/>
          <w:szCs w:val="22"/>
        </w:rPr>
        <w:t>D. viscosa</w:t>
      </w:r>
      <w:r>
        <w:rPr>
          <w:rFonts w:ascii="Times New Roman" w:hAnsi="Times New Roman" w:cs="Times New Roman"/>
          <w:sz w:val="22"/>
          <w:szCs w:val="22"/>
        </w:rPr>
        <w:t xml:space="preserve">, </w:t>
      </w:r>
      <w:r>
        <w:rPr>
          <w:rFonts w:ascii="Times New Roman" w:hAnsi="Times New Roman" w:cs="Times New Roman"/>
          <w:i/>
          <w:sz w:val="22"/>
          <w:szCs w:val="22"/>
        </w:rPr>
        <w:t>H. natalensis</w:t>
      </w:r>
      <w:r>
        <w:rPr>
          <w:rFonts w:ascii="Times New Roman" w:hAnsi="Times New Roman" w:cs="Times New Roman"/>
          <w:sz w:val="22"/>
          <w:szCs w:val="22"/>
        </w:rPr>
        <w:t xml:space="preserve">, </w:t>
      </w:r>
      <w:r>
        <w:rPr>
          <w:rFonts w:ascii="Times New Roman" w:hAnsi="Times New Roman" w:cs="Times New Roman"/>
          <w:i/>
          <w:sz w:val="22"/>
          <w:szCs w:val="22"/>
        </w:rPr>
        <w:t xml:space="preserve">S. birrea </w:t>
      </w:r>
      <w:r>
        <w:rPr>
          <w:rFonts w:ascii="Times New Roman" w:hAnsi="Times New Roman" w:cs="Times New Roman"/>
          <w:sz w:val="22"/>
          <w:szCs w:val="22"/>
        </w:rPr>
        <w:t xml:space="preserve">and </w:t>
      </w:r>
      <w:r>
        <w:rPr>
          <w:rFonts w:ascii="Times New Roman" w:hAnsi="Times New Roman" w:cs="Times New Roman"/>
          <w:i/>
          <w:sz w:val="22"/>
          <w:szCs w:val="22"/>
        </w:rPr>
        <w:t>H. lucida</w:t>
      </w:r>
      <w:r>
        <w:rPr>
          <w:rFonts w:ascii="Times New Roman" w:hAnsi="Times New Roman" w:cs="Times New Roman"/>
          <w:sz w:val="22"/>
          <w:szCs w:val="22"/>
        </w:rPr>
        <w:t xml:space="preserve"> at 2 to 48 hours of incubation.  Compared to the negative control, plant extracts from </w:t>
      </w:r>
      <w:r>
        <w:rPr>
          <w:rFonts w:ascii="Times New Roman" w:hAnsi="Times New Roman" w:cs="Times New Roman"/>
          <w:i/>
          <w:sz w:val="22"/>
          <w:szCs w:val="22"/>
        </w:rPr>
        <w:t xml:space="preserve">E. lysistemon </w:t>
      </w:r>
      <w:r>
        <w:rPr>
          <w:rFonts w:ascii="Times New Roman" w:hAnsi="Times New Roman" w:cs="Times New Roman"/>
          <w:sz w:val="22"/>
          <w:szCs w:val="22"/>
        </w:rPr>
        <w:t xml:space="preserve">seemed to decrease (P &lt; 0.05) the volume of gas produced at 4 hours of incubation when used at 300 and 600 mg/kg DM dose levels.  However, the gas volumes were not significantly (P &gt; 0.05) affected by the dose levels of </w:t>
      </w:r>
      <w:r>
        <w:rPr>
          <w:rFonts w:ascii="Times New Roman" w:hAnsi="Times New Roman" w:cs="Times New Roman"/>
          <w:i/>
          <w:sz w:val="22"/>
          <w:szCs w:val="22"/>
        </w:rPr>
        <w:t>E. lysistemon</w:t>
      </w:r>
      <w:r>
        <w:rPr>
          <w:rFonts w:ascii="Times New Roman" w:hAnsi="Times New Roman" w:cs="Times New Roman"/>
          <w:sz w:val="22"/>
          <w:szCs w:val="22"/>
        </w:rPr>
        <w:t xml:space="preserve"> at any other time intervals.  At 4 hours,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increased the volume of gas produced when used at 300 mg/kg DM dose level compared to the negative control.  This trend continues at 8 to 12 hours of incubation, with the dose level of 300 and 600 mg/kg DM both increasing (P &lt; 0.05) the volume of gas produced compared to the negative control.  At 12 hours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produced a higher (P &lt; 0.05) gas volume when used at a dose level of 300 mg/kg DM compared to a dose level of 600 mg/kg DM.  Therefore, a dose level of 300 mg/kg DM seems preferable to a 600 mg/kg DM dose level when using plant extracts from </w:t>
      </w:r>
      <w:r>
        <w:rPr>
          <w:rFonts w:ascii="Times New Roman" w:hAnsi="Times New Roman" w:cs="Times New Roman"/>
          <w:i/>
          <w:sz w:val="22"/>
          <w:szCs w:val="22"/>
        </w:rPr>
        <w:t>S. chirindensis</w:t>
      </w:r>
      <w:r>
        <w:rPr>
          <w:rFonts w:ascii="Times New Roman" w:hAnsi="Times New Roman" w:cs="Times New Roman"/>
          <w:sz w:val="22"/>
          <w:szCs w:val="22"/>
        </w:rPr>
        <w:t>.</w:t>
      </w:r>
    </w:p>
    <w:p w14:paraId="63E613B4" w14:textId="77777777" w:rsidR="00EF65F1" w:rsidRDefault="00EF65F1">
      <w:pPr>
        <w:spacing w:after="0" w:line="360" w:lineRule="auto"/>
        <w:ind w:firstLine="567"/>
        <w:contextualSpacing/>
        <w:jc w:val="both"/>
        <w:rPr>
          <w:rFonts w:ascii="Times New Roman" w:hAnsi="Times New Roman" w:cs="Times New Roman"/>
          <w:sz w:val="22"/>
          <w:szCs w:val="22"/>
        </w:rPr>
      </w:pPr>
    </w:p>
    <w:p w14:paraId="0C8EBF1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This apparent increase in gas volume with supplementation with plant extracts is consistent with reports from previous studies with plant extract supplementation (Kim </w:t>
      </w:r>
      <w:r>
        <w:rPr>
          <w:rFonts w:ascii="Times New Roman" w:hAnsi="Times New Roman" w:cs="Times New Roman"/>
          <w:i/>
          <w:sz w:val="22"/>
          <w:szCs w:val="22"/>
        </w:rPr>
        <w:t>et al.</w:t>
      </w:r>
      <w:r>
        <w:rPr>
          <w:rFonts w:ascii="Times New Roman" w:hAnsi="Times New Roman" w:cs="Times New Roman"/>
          <w:sz w:val="22"/>
          <w:szCs w:val="22"/>
        </w:rPr>
        <w:t xml:space="preserve">, 2015; Akanmu &amp; Hassen, 2018; Boussaada </w:t>
      </w:r>
      <w:r>
        <w:rPr>
          <w:rFonts w:ascii="Times New Roman" w:hAnsi="Times New Roman" w:cs="Times New Roman"/>
          <w:i/>
          <w:sz w:val="22"/>
          <w:szCs w:val="22"/>
        </w:rPr>
        <w:t>et al.</w:t>
      </w:r>
      <w:r>
        <w:rPr>
          <w:rFonts w:ascii="Times New Roman" w:hAnsi="Times New Roman" w:cs="Times New Roman"/>
          <w:sz w:val="22"/>
          <w:szCs w:val="22"/>
        </w:rPr>
        <w:t xml:space="preserve">, 2018).  When dosed at a 50 mg/kg DM level in chapter 2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increased the volume of gas produced compared to the negative control at 24 hours of incubation, therefore, the higher dose rates used in this study seem preferable in terms of increasing the rate of gas production with supplementation of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This was especially significant when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were used at a dose level of 300 mg/kg DM as the rate of gas production was increased from 4 hours of incubation when compared to the negative control.  This increased rate of gas production associated with higher dosages of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may be associated with higher concentrations of secondary compounds present in the increased dosages (Akanmu &amp; Hassen, 2018), however, further increases in dose may prove harmful to the rumen microbes.  An increased rate of gas production would likely lead to an increased passage rate of feeds in the ruminant (Janssen, 2010) therefore,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when dosed at a 300 mg/kg DM level would likely improve the energy profile of the ruminant.</w:t>
      </w:r>
    </w:p>
    <w:p w14:paraId="5B4612B3" w14:textId="77777777" w:rsidR="00EF65F1" w:rsidRDefault="00EF65F1">
      <w:pPr>
        <w:spacing w:after="0" w:line="360" w:lineRule="auto"/>
        <w:ind w:firstLine="567"/>
        <w:contextualSpacing/>
        <w:jc w:val="both"/>
        <w:rPr>
          <w:rFonts w:ascii="Times New Roman" w:hAnsi="Times New Roman" w:cs="Times New Roman"/>
          <w:sz w:val="22"/>
          <w:szCs w:val="22"/>
        </w:rPr>
      </w:pPr>
    </w:p>
    <w:p w14:paraId="2A483718" w14:textId="77777777" w:rsidR="00EF65F1" w:rsidRDefault="00484A18">
      <w:pPr>
        <w:spacing w:after="0" w:line="360" w:lineRule="auto"/>
        <w:ind w:firstLine="567"/>
        <w:contextualSpacing/>
        <w:jc w:val="both"/>
        <w:rPr>
          <w:rFonts w:ascii="Times New Roman" w:hAnsi="Times New Roman" w:cs="Times New Roman"/>
          <w:sz w:val="22"/>
          <w:szCs w:val="22"/>
        </w:rPr>
        <w:sectPr w:rsidR="00EF65F1">
          <w:type w:val="continuous"/>
          <w:pgSz w:w="11906" w:h="16838" w:code="9"/>
          <w:pgMar w:top="1440" w:right="1440" w:bottom="1440" w:left="1440" w:header="567" w:footer="794" w:gutter="0"/>
          <w:cols w:space="708"/>
          <w:docGrid w:linePitch="360"/>
        </w:sectPr>
      </w:pPr>
      <w:r>
        <w:rPr>
          <w:rFonts w:ascii="Times New Roman" w:hAnsi="Times New Roman" w:cs="Times New Roman"/>
          <w:sz w:val="22"/>
          <w:szCs w:val="22"/>
        </w:rPr>
        <w:t xml:space="preserve">The volume of gas produced over the 48-hour incubation period for </w:t>
      </w:r>
      <w:r>
        <w:rPr>
          <w:rFonts w:ascii="Times New Roman" w:hAnsi="Times New Roman" w:cs="Times New Roman"/>
          <w:i/>
          <w:sz w:val="22"/>
          <w:szCs w:val="22"/>
        </w:rPr>
        <w:t>E. curvula</w:t>
      </w:r>
      <w:r>
        <w:rPr>
          <w:rFonts w:ascii="Times New Roman" w:hAnsi="Times New Roman" w:cs="Times New Roman"/>
          <w:sz w:val="22"/>
          <w:szCs w:val="22"/>
        </w:rPr>
        <w:t xml:space="preserve"> hay recorded in this study is within the range of reported volumes (104 to 123 mL gas/1g) for this species (Akanmu &amp; Hassen, 2018; Du Toit </w:t>
      </w:r>
      <w:r>
        <w:rPr>
          <w:rFonts w:ascii="Times New Roman" w:hAnsi="Times New Roman" w:cs="Times New Roman"/>
          <w:i/>
          <w:sz w:val="22"/>
          <w:szCs w:val="22"/>
        </w:rPr>
        <w:t>et al.</w:t>
      </w:r>
      <w:r>
        <w:rPr>
          <w:rFonts w:ascii="Times New Roman" w:hAnsi="Times New Roman" w:cs="Times New Roman"/>
          <w:sz w:val="22"/>
          <w:szCs w:val="22"/>
        </w:rPr>
        <w:t xml:space="preserve">, 2018).  Therefore, this similarity in gas volumes for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indicates that 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conditions were satisfactory therefore, the treatments effects can be evaluated with confidence.   </w:t>
      </w:r>
    </w:p>
    <w:p w14:paraId="2F7653EF" w14:textId="2F94533C" w:rsidR="00EF65F1" w:rsidRDefault="00484A18">
      <w:pPr>
        <w:pStyle w:val="Caption"/>
        <w:keepNext/>
        <w:spacing w:after="0"/>
        <w:contextualSpacing/>
        <w:jc w:val="both"/>
        <w:rPr>
          <w:rFonts w:ascii="Times New Roman" w:hAnsi="Times New Roman" w:cs="Times New Roman"/>
          <w:i w:val="0"/>
          <w:color w:val="auto"/>
          <w:sz w:val="24"/>
          <w:szCs w:val="22"/>
        </w:rPr>
      </w:pPr>
      <w:bookmarkStart w:id="181" w:name="_Toc2349139"/>
      <w:r>
        <w:rPr>
          <w:rFonts w:ascii="Times New Roman" w:hAnsi="Times New Roman" w:cs="Times New Roman"/>
          <w:i w:val="0"/>
          <w:color w:val="auto"/>
          <w:sz w:val="24"/>
          <w:szCs w:val="22"/>
        </w:rPr>
        <w:lastRenderedPageBreak/>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1</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Cumulative gas production (mL gas/g DM) after 2, 4, 8, 12, 24 and 48 hours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 treated with seven plant extracts at a 300 mg/kg DM dose level</w:t>
      </w:r>
      <w:bookmarkEnd w:id="181"/>
    </w:p>
    <w:tbl>
      <w:tblPr>
        <w:tblW w:w="5000" w:type="pct"/>
        <w:tblLook w:val="04A0" w:firstRow="1" w:lastRow="0" w:firstColumn="1" w:lastColumn="0" w:noHBand="0" w:noVBand="1"/>
      </w:tblPr>
      <w:tblGrid>
        <w:gridCol w:w="3992"/>
        <w:gridCol w:w="1454"/>
        <w:gridCol w:w="1454"/>
        <w:gridCol w:w="1653"/>
        <w:gridCol w:w="1653"/>
        <w:gridCol w:w="1653"/>
        <w:gridCol w:w="2099"/>
      </w:tblGrid>
      <w:tr w:rsidR="00EF65F1" w14:paraId="61FEF20C" w14:textId="77777777">
        <w:trPr>
          <w:trHeight w:val="315"/>
        </w:trPr>
        <w:tc>
          <w:tcPr>
            <w:tcW w:w="1430" w:type="pct"/>
            <w:tcBorders>
              <w:top w:val="single" w:sz="8" w:space="0" w:color="auto"/>
              <w:left w:val="nil"/>
              <w:bottom w:val="single" w:sz="8" w:space="0" w:color="auto"/>
              <w:right w:val="nil"/>
            </w:tcBorders>
            <w:shd w:val="clear" w:color="auto" w:fill="auto"/>
            <w:noWrap/>
            <w:vAlign w:val="center"/>
            <w:hideMark/>
          </w:tcPr>
          <w:p w14:paraId="697EC4D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 </w:t>
            </w:r>
          </w:p>
        </w:tc>
        <w:tc>
          <w:tcPr>
            <w:tcW w:w="3570" w:type="pct"/>
            <w:gridSpan w:val="6"/>
            <w:tcBorders>
              <w:top w:val="single" w:sz="8" w:space="0" w:color="auto"/>
              <w:left w:val="nil"/>
              <w:bottom w:val="single" w:sz="8" w:space="0" w:color="auto"/>
              <w:right w:val="nil"/>
            </w:tcBorders>
            <w:shd w:val="clear" w:color="auto" w:fill="auto"/>
            <w:noWrap/>
            <w:vAlign w:val="center"/>
            <w:hideMark/>
          </w:tcPr>
          <w:p w14:paraId="3F52AE8B" w14:textId="77777777" w:rsidR="00EF65F1" w:rsidRDefault="00484A18">
            <w:pPr>
              <w:spacing w:after="0" w:line="240" w:lineRule="auto"/>
              <w:contextualSpacing/>
              <w:jc w:val="center"/>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Mean ± SD (mL gas/g DM)</w:t>
            </w:r>
          </w:p>
        </w:tc>
      </w:tr>
      <w:tr w:rsidR="00EF65F1" w14:paraId="5CE7D3FE" w14:textId="77777777">
        <w:trPr>
          <w:trHeight w:val="315"/>
        </w:trPr>
        <w:tc>
          <w:tcPr>
            <w:tcW w:w="1430" w:type="pct"/>
            <w:tcBorders>
              <w:top w:val="nil"/>
              <w:left w:val="nil"/>
              <w:bottom w:val="single" w:sz="8" w:space="0" w:color="auto"/>
              <w:right w:val="nil"/>
            </w:tcBorders>
            <w:shd w:val="clear" w:color="auto" w:fill="auto"/>
            <w:noWrap/>
            <w:vAlign w:val="center"/>
            <w:hideMark/>
          </w:tcPr>
          <w:p w14:paraId="0C98914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521" w:type="pct"/>
            <w:tcBorders>
              <w:top w:val="nil"/>
              <w:left w:val="nil"/>
              <w:bottom w:val="single" w:sz="8" w:space="0" w:color="auto"/>
              <w:right w:val="nil"/>
            </w:tcBorders>
            <w:shd w:val="clear" w:color="auto" w:fill="auto"/>
            <w:noWrap/>
            <w:vAlign w:val="center"/>
            <w:hideMark/>
          </w:tcPr>
          <w:p w14:paraId="54090463"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2h</w:t>
            </w:r>
          </w:p>
        </w:tc>
        <w:tc>
          <w:tcPr>
            <w:tcW w:w="521" w:type="pct"/>
            <w:tcBorders>
              <w:top w:val="nil"/>
              <w:left w:val="nil"/>
              <w:bottom w:val="single" w:sz="8" w:space="0" w:color="auto"/>
              <w:right w:val="nil"/>
            </w:tcBorders>
            <w:shd w:val="clear" w:color="auto" w:fill="auto"/>
            <w:noWrap/>
            <w:vAlign w:val="center"/>
            <w:hideMark/>
          </w:tcPr>
          <w:p w14:paraId="78FA3662"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4h</w:t>
            </w:r>
          </w:p>
        </w:tc>
        <w:tc>
          <w:tcPr>
            <w:tcW w:w="592" w:type="pct"/>
            <w:tcBorders>
              <w:top w:val="nil"/>
              <w:left w:val="nil"/>
              <w:bottom w:val="single" w:sz="8" w:space="0" w:color="auto"/>
              <w:right w:val="nil"/>
            </w:tcBorders>
            <w:shd w:val="clear" w:color="auto" w:fill="auto"/>
            <w:noWrap/>
            <w:vAlign w:val="center"/>
            <w:hideMark/>
          </w:tcPr>
          <w:p w14:paraId="32054770"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8h</w:t>
            </w:r>
          </w:p>
        </w:tc>
        <w:tc>
          <w:tcPr>
            <w:tcW w:w="592" w:type="pct"/>
            <w:tcBorders>
              <w:top w:val="nil"/>
              <w:left w:val="nil"/>
              <w:bottom w:val="single" w:sz="8" w:space="0" w:color="auto"/>
              <w:right w:val="nil"/>
            </w:tcBorders>
            <w:shd w:val="clear" w:color="auto" w:fill="auto"/>
            <w:noWrap/>
            <w:vAlign w:val="center"/>
            <w:hideMark/>
          </w:tcPr>
          <w:p w14:paraId="0F9254A7"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12h</w:t>
            </w:r>
          </w:p>
        </w:tc>
        <w:tc>
          <w:tcPr>
            <w:tcW w:w="592" w:type="pct"/>
            <w:tcBorders>
              <w:top w:val="nil"/>
              <w:left w:val="nil"/>
              <w:bottom w:val="single" w:sz="8" w:space="0" w:color="auto"/>
              <w:right w:val="nil"/>
            </w:tcBorders>
            <w:shd w:val="clear" w:color="auto" w:fill="auto"/>
            <w:noWrap/>
            <w:vAlign w:val="center"/>
            <w:hideMark/>
          </w:tcPr>
          <w:p w14:paraId="7BC650A6"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24h</w:t>
            </w:r>
          </w:p>
        </w:tc>
        <w:tc>
          <w:tcPr>
            <w:tcW w:w="752" w:type="pct"/>
            <w:tcBorders>
              <w:top w:val="nil"/>
              <w:left w:val="nil"/>
              <w:bottom w:val="single" w:sz="8" w:space="0" w:color="auto"/>
              <w:right w:val="nil"/>
            </w:tcBorders>
            <w:shd w:val="clear" w:color="auto" w:fill="auto"/>
            <w:noWrap/>
            <w:vAlign w:val="center"/>
            <w:hideMark/>
          </w:tcPr>
          <w:p w14:paraId="0210E32D"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48h</w:t>
            </w:r>
          </w:p>
        </w:tc>
      </w:tr>
      <w:tr w:rsidR="00EF65F1" w14:paraId="2BB21CBF" w14:textId="77777777">
        <w:trPr>
          <w:trHeight w:val="315"/>
        </w:trPr>
        <w:tc>
          <w:tcPr>
            <w:tcW w:w="1430" w:type="pct"/>
            <w:tcBorders>
              <w:top w:val="nil"/>
              <w:left w:val="nil"/>
              <w:bottom w:val="nil"/>
              <w:right w:val="nil"/>
            </w:tcBorders>
            <w:shd w:val="clear" w:color="auto" w:fill="auto"/>
            <w:vAlign w:val="center"/>
            <w:hideMark/>
          </w:tcPr>
          <w:p w14:paraId="44BC9C47"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521" w:type="pct"/>
            <w:tcBorders>
              <w:top w:val="nil"/>
              <w:left w:val="nil"/>
              <w:bottom w:val="nil"/>
              <w:right w:val="nil"/>
            </w:tcBorders>
            <w:shd w:val="clear" w:color="auto" w:fill="auto"/>
            <w:noWrap/>
            <w:vAlign w:val="center"/>
            <w:hideMark/>
          </w:tcPr>
          <w:p w14:paraId="12C43AF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1.5 ± 0.40</w:t>
            </w:r>
          </w:p>
        </w:tc>
        <w:tc>
          <w:tcPr>
            <w:tcW w:w="521" w:type="pct"/>
            <w:tcBorders>
              <w:top w:val="nil"/>
              <w:left w:val="nil"/>
              <w:bottom w:val="nil"/>
              <w:right w:val="nil"/>
            </w:tcBorders>
            <w:shd w:val="clear" w:color="auto" w:fill="auto"/>
            <w:noWrap/>
            <w:vAlign w:val="center"/>
            <w:hideMark/>
          </w:tcPr>
          <w:p w14:paraId="0D15FFA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3.3 ± 0.10</w:t>
            </w:r>
          </w:p>
        </w:tc>
        <w:tc>
          <w:tcPr>
            <w:tcW w:w="592" w:type="pct"/>
            <w:tcBorders>
              <w:top w:val="nil"/>
              <w:left w:val="nil"/>
              <w:bottom w:val="nil"/>
              <w:right w:val="nil"/>
            </w:tcBorders>
            <w:shd w:val="clear" w:color="auto" w:fill="auto"/>
            <w:noWrap/>
            <w:vAlign w:val="center"/>
            <w:hideMark/>
          </w:tcPr>
          <w:p w14:paraId="1FFD63D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11.0 ± 1.4</w:t>
            </w:r>
          </w:p>
        </w:tc>
        <w:tc>
          <w:tcPr>
            <w:tcW w:w="592" w:type="pct"/>
            <w:tcBorders>
              <w:top w:val="nil"/>
              <w:left w:val="nil"/>
              <w:bottom w:val="nil"/>
              <w:right w:val="nil"/>
            </w:tcBorders>
            <w:shd w:val="clear" w:color="auto" w:fill="auto"/>
            <w:noWrap/>
            <w:vAlign w:val="center"/>
            <w:hideMark/>
          </w:tcPr>
          <w:p w14:paraId="56EAFA9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24.9 ± 2.10</w:t>
            </w:r>
          </w:p>
        </w:tc>
        <w:tc>
          <w:tcPr>
            <w:tcW w:w="592" w:type="pct"/>
            <w:tcBorders>
              <w:top w:val="nil"/>
              <w:left w:val="nil"/>
              <w:bottom w:val="nil"/>
              <w:right w:val="nil"/>
            </w:tcBorders>
            <w:shd w:val="clear" w:color="auto" w:fill="auto"/>
            <w:noWrap/>
            <w:vAlign w:val="center"/>
            <w:hideMark/>
          </w:tcPr>
          <w:p w14:paraId="0F9CD03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62.5 ± 4.56</w:t>
            </w:r>
          </w:p>
        </w:tc>
        <w:tc>
          <w:tcPr>
            <w:tcW w:w="752" w:type="pct"/>
            <w:tcBorders>
              <w:top w:val="nil"/>
              <w:left w:val="nil"/>
              <w:bottom w:val="nil"/>
              <w:right w:val="nil"/>
            </w:tcBorders>
            <w:shd w:val="clear" w:color="auto" w:fill="auto"/>
            <w:noWrap/>
            <w:vAlign w:val="center"/>
            <w:hideMark/>
          </w:tcPr>
          <w:p w14:paraId="0DEBD75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110.7</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6.65</w:t>
            </w:r>
          </w:p>
        </w:tc>
      </w:tr>
      <w:tr w:rsidR="00EF65F1" w14:paraId="360B6970" w14:textId="77777777">
        <w:trPr>
          <w:trHeight w:val="315"/>
        </w:trPr>
        <w:tc>
          <w:tcPr>
            <w:tcW w:w="1430" w:type="pct"/>
            <w:tcBorders>
              <w:top w:val="nil"/>
              <w:left w:val="nil"/>
              <w:bottom w:val="nil"/>
              <w:right w:val="nil"/>
            </w:tcBorders>
            <w:shd w:val="clear" w:color="auto" w:fill="auto"/>
            <w:vAlign w:val="center"/>
            <w:hideMark/>
          </w:tcPr>
          <w:p w14:paraId="6B059EE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Monensin</w:t>
            </w:r>
          </w:p>
        </w:tc>
        <w:tc>
          <w:tcPr>
            <w:tcW w:w="521" w:type="pct"/>
            <w:tcBorders>
              <w:top w:val="nil"/>
              <w:left w:val="nil"/>
              <w:bottom w:val="nil"/>
              <w:right w:val="nil"/>
            </w:tcBorders>
            <w:shd w:val="clear" w:color="auto" w:fill="auto"/>
            <w:noWrap/>
            <w:vAlign w:val="center"/>
            <w:hideMark/>
          </w:tcPr>
          <w:p w14:paraId="51AEFE9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1.9 ± 0.23</w:t>
            </w:r>
          </w:p>
        </w:tc>
        <w:tc>
          <w:tcPr>
            <w:tcW w:w="521" w:type="pct"/>
            <w:tcBorders>
              <w:top w:val="nil"/>
              <w:left w:val="nil"/>
              <w:bottom w:val="nil"/>
              <w:right w:val="nil"/>
            </w:tcBorders>
            <w:shd w:val="clear" w:color="auto" w:fill="auto"/>
            <w:noWrap/>
            <w:vAlign w:val="center"/>
            <w:hideMark/>
          </w:tcPr>
          <w:p w14:paraId="416A5AB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3.7 ± 0.57</w:t>
            </w:r>
          </w:p>
        </w:tc>
        <w:tc>
          <w:tcPr>
            <w:tcW w:w="592" w:type="pct"/>
            <w:tcBorders>
              <w:top w:val="nil"/>
              <w:left w:val="nil"/>
              <w:bottom w:val="nil"/>
              <w:right w:val="nil"/>
            </w:tcBorders>
            <w:shd w:val="clear" w:color="auto" w:fill="auto"/>
            <w:noWrap/>
            <w:vAlign w:val="center"/>
            <w:hideMark/>
          </w:tcPr>
          <w:p w14:paraId="2828347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11.9 ± 1.27</w:t>
            </w:r>
          </w:p>
        </w:tc>
        <w:tc>
          <w:tcPr>
            <w:tcW w:w="592" w:type="pct"/>
            <w:tcBorders>
              <w:top w:val="nil"/>
              <w:left w:val="nil"/>
              <w:bottom w:val="nil"/>
              <w:right w:val="nil"/>
            </w:tcBorders>
            <w:shd w:val="clear" w:color="auto" w:fill="auto"/>
            <w:noWrap/>
            <w:vAlign w:val="center"/>
            <w:hideMark/>
          </w:tcPr>
          <w:p w14:paraId="2970B1D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25.0 ± 1.84</w:t>
            </w:r>
          </w:p>
        </w:tc>
        <w:tc>
          <w:tcPr>
            <w:tcW w:w="592" w:type="pct"/>
            <w:tcBorders>
              <w:top w:val="nil"/>
              <w:left w:val="nil"/>
              <w:bottom w:val="nil"/>
              <w:right w:val="nil"/>
            </w:tcBorders>
            <w:shd w:val="clear" w:color="auto" w:fill="auto"/>
            <w:noWrap/>
            <w:vAlign w:val="center"/>
            <w:hideMark/>
          </w:tcPr>
          <w:p w14:paraId="63632FF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60.8 ± 3.25</w:t>
            </w:r>
          </w:p>
        </w:tc>
        <w:tc>
          <w:tcPr>
            <w:tcW w:w="752" w:type="pct"/>
            <w:tcBorders>
              <w:top w:val="nil"/>
              <w:left w:val="nil"/>
              <w:bottom w:val="nil"/>
              <w:right w:val="nil"/>
            </w:tcBorders>
            <w:shd w:val="clear" w:color="auto" w:fill="auto"/>
            <w:noWrap/>
            <w:vAlign w:val="center"/>
            <w:hideMark/>
          </w:tcPr>
          <w:p w14:paraId="6F33ECA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106.9</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 4.81</w:t>
            </w:r>
          </w:p>
        </w:tc>
      </w:tr>
      <w:tr w:rsidR="00EF65F1" w14:paraId="755DD2E6" w14:textId="77777777">
        <w:trPr>
          <w:trHeight w:val="315"/>
        </w:trPr>
        <w:tc>
          <w:tcPr>
            <w:tcW w:w="1430" w:type="pct"/>
            <w:tcBorders>
              <w:top w:val="nil"/>
              <w:left w:val="nil"/>
              <w:bottom w:val="nil"/>
              <w:right w:val="nil"/>
            </w:tcBorders>
            <w:shd w:val="clear" w:color="auto" w:fill="auto"/>
            <w:vAlign w:val="center"/>
            <w:hideMark/>
          </w:tcPr>
          <w:p w14:paraId="6ED8B757"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521" w:type="pct"/>
            <w:tcBorders>
              <w:top w:val="nil"/>
              <w:left w:val="nil"/>
              <w:bottom w:val="nil"/>
              <w:right w:val="nil"/>
            </w:tcBorders>
            <w:shd w:val="clear" w:color="auto" w:fill="auto"/>
            <w:noWrap/>
            <w:vAlign w:val="center"/>
            <w:hideMark/>
          </w:tcPr>
          <w:p w14:paraId="0AFE73A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1.4 ± 0.20</w:t>
            </w:r>
          </w:p>
        </w:tc>
        <w:tc>
          <w:tcPr>
            <w:tcW w:w="521" w:type="pct"/>
            <w:tcBorders>
              <w:top w:val="nil"/>
              <w:left w:val="nil"/>
              <w:bottom w:val="nil"/>
              <w:right w:val="nil"/>
            </w:tcBorders>
            <w:shd w:val="clear" w:color="auto" w:fill="auto"/>
            <w:noWrap/>
            <w:vAlign w:val="center"/>
            <w:hideMark/>
          </w:tcPr>
          <w:p w14:paraId="5EA788A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3.5 ± 1.07</w:t>
            </w:r>
          </w:p>
        </w:tc>
        <w:tc>
          <w:tcPr>
            <w:tcW w:w="592" w:type="pct"/>
            <w:tcBorders>
              <w:top w:val="nil"/>
              <w:left w:val="nil"/>
              <w:bottom w:val="nil"/>
              <w:right w:val="nil"/>
            </w:tcBorders>
            <w:shd w:val="clear" w:color="auto" w:fill="auto"/>
            <w:noWrap/>
            <w:vAlign w:val="center"/>
            <w:hideMark/>
          </w:tcPr>
          <w:p w14:paraId="5C31AD2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12.1 ± 1.74</w:t>
            </w:r>
          </w:p>
        </w:tc>
        <w:tc>
          <w:tcPr>
            <w:tcW w:w="592" w:type="pct"/>
            <w:tcBorders>
              <w:top w:val="nil"/>
              <w:left w:val="nil"/>
              <w:bottom w:val="nil"/>
              <w:right w:val="nil"/>
            </w:tcBorders>
            <w:shd w:val="clear" w:color="auto" w:fill="auto"/>
            <w:noWrap/>
            <w:vAlign w:val="center"/>
            <w:hideMark/>
          </w:tcPr>
          <w:p w14:paraId="78CDA0F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25.6 ± 2.05</w:t>
            </w:r>
          </w:p>
        </w:tc>
        <w:tc>
          <w:tcPr>
            <w:tcW w:w="592" w:type="pct"/>
            <w:tcBorders>
              <w:top w:val="nil"/>
              <w:left w:val="nil"/>
              <w:bottom w:val="nil"/>
              <w:right w:val="nil"/>
            </w:tcBorders>
            <w:shd w:val="clear" w:color="auto" w:fill="auto"/>
            <w:noWrap/>
            <w:vAlign w:val="center"/>
            <w:hideMark/>
          </w:tcPr>
          <w:p w14:paraId="03A5FD9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63.9 ± 3.04</w:t>
            </w:r>
          </w:p>
        </w:tc>
        <w:tc>
          <w:tcPr>
            <w:tcW w:w="752" w:type="pct"/>
            <w:tcBorders>
              <w:top w:val="nil"/>
              <w:left w:val="nil"/>
              <w:bottom w:val="nil"/>
              <w:right w:val="nil"/>
            </w:tcBorders>
            <w:shd w:val="clear" w:color="auto" w:fill="auto"/>
            <w:noWrap/>
            <w:vAlign w:val="center"/>
            <w:hideMark/>
          </w:tcPr>
          <w:p w14:paraId="11FEC1C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112.3</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6.00</w:t>
            </w:r>
          </w:p>
        </w:tc>
      </w:tr>
      <w:tr w:rsidR="00EF65F1" w14:paraId="78B17BCA" w14:textId="77777777">
        <w:trPr>
          <w:trHeight w:val="300"/>
        </w:trPr>
        <w:tc>
          <w:tcPr>
            <w:tcW w:w="1430" w:type="pct"/>
            <w:tcBorders>
              <w:top w:val="nil"/>
              <w:left w:val="nil"/>
              <w:bottom w:val="nil"/>
              <w:right w:val="nil"/>
            </w:tcBorders>
            <w:shd w:val="clear" w:color="auto" w:fill="auto"/>
            <w:noWrap/>
            <w:vAlign w:val="center"/>
            <w:hideMark/>
          </w:tcPr>
          <w:p w14:paraId="2B70C44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521" w:type="pct"/>
            <w:tcBorders>
              <w:top w:val="nil"/>
              <w:left w:val="nil"/>
              <w:bottom w:val="nil"/>
              <w:right w:val="nil"/>
            </w:tcBorders>
            <w:shd w:val="clear" w:color="auto" w:fill="auto"/>
            <w:noWrap/>
            <w:vAlign w:val="center"/>
            <w:hideMark/>
          </w:tcPr>
          <w:p w14:paraId="2027BCD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1.6 ± 1.33</w:t>
            </w:r>
          </w:p>
        </w:tc>
        <w:tc>
          <w:tcPr>
            <w:tcW w:w="521" w:type="pct"/>
            <w:tcBorders>
              <w:top w:val="nil"/>
              <w:left w:val="nil"/>
              <w:bottom w:val="nil"/>
              <w:right w:val="nil"/>
            </w:tcBorders>
            <w:shd w:val="clear" w:color="auto" w:fill="auto"/>
            <w:noWrap/>
            <w:vAlign w:val="center"/>
            <w:hideMark/>
          </w:tcPr>
          <w:p w14:paraId="2F83D85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3.3 ± 2.02</w:t>
            </w:r>
          </w:p>
        </w:tc>
        <w:tc>
          <w:tcPr>
            <w:tcW w:w="592" w:type="pct"/>
            <w:tcBorders>
              <w:top w:val="nil"/>
              <w:left w:val="nil"/>
              <w:bottom w:val="nil"/>
              <w:right w:val="nil"/>
            </w:tcBorders>
            <w:shd w:val="clear" w:color="auto" w:fill="auto"/>
            <w:noWrap/>
            <w:vAlign w:val="center"/>
            <w:hideMark/>
          </w:tcPr>
          <w:p w14:paraId="700FA52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11.4 ± 2.12</w:t>
            </w:r>
          </w:p>
        </w:tc>
        <w:tc>
          <w:tcPr>
            <w:tcW w:w="592" w:type="pct"/>
            <w:tcBorders>
              <w:top w:val="nil"/>
              <w:left w:val="nil"/>
              <w:bottom w:val="nil"/>
              <w:right w:val="nil"/>
            </w:tcBorders>
            <w:shd w:val="clear" w:color="auto" w:fill="auto"/>
            <w:noWrap/>
            <w:vAlign w:val="center"/>
            <w:hideMark/>
          </w:tcPr>
          <w:p w14:paraId="234076D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24.6 ± 1.52</w:t>
            </w:r>
          </w:p>
        </w:tc>
        <w:tc>
          <w:tcPr>
            <w:tcW w:w="592" w:type="pct"/>
            <w:tcBorders>
              <w:top w:val="nil"/>
              <w:left w:val="nil"/>
              <w:bottom w:val="nil"/>
              <w:right w:val="nil"/>
            </w:tcBorders>
            <w:shd w:val="clear" w:color="auto" w:fill="auto"/>
            <w:noWrap/>
            <w:vAlign w:val="center"/>
            <w:hideMark/>
          </w:tcPr>
          <w:p w14:paraId="7B1B87F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61.4 ± 1.55</w:t>
            </w:r>
          </w:p>
        </w:tc>
        <w:tc>
          <w:tcPr>
            <w:tcW w:w="752" w:type="pct"/>
            <w:tcBorders>
              <w:top w:val="nil"/>
              <w:left w:val="nil"/>
              <w:bottom w:val="nil"/>
              <w:right w:val="nil"/>
            </w:tcBorders>
            <w:shd w:val="clear" w:color="auto" w:fill="auto"/>
            <w:noWrap/>
            <w:vAlign w:val="center"/>
            <w:hideMark/>
          </w:tcPr>
          <w:p w14:paraId="6A3B1C1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112.5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5.64</w:t>
            </w:r>
          </w:p>
        </w:tc>
      </w:tr>
      <w:tr w:rsidR="00EF65F1" w14:paraId="5BD984F0" w14:textId="77777777">
        <w:trPr>
          <w:trHeight w:val="300"/>
        </w:trPr>
        <w:tc>
          <w:tcPr>
            <w:tcW w:w="1430" w:type="pct"/>
            <w:tcBorders>
              <w:top w:val="nil"/>
              <w:left w:val="nil"/>
              <w:bottom w:val="nil"/>
              <w:right w:val="nil"/>
            </w:tcBorders>
            <w:shd w:val="clear" w:color="auto" w:fill="auto"/>
            <w:noWrap/>
            <w:vAlign w:val="center"/>
            <w:hideMark/>
          </w:tcPr>
          <w:p w14:paraId="4BE6E1A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521" w:type="pct"/>
            <w:tcBorders>
              <w:top w:val="nil"/>
              <w:left w:val="nil"/>
              <w:bottom w:val="nil"/>
              <w:right w:val="nil"/>
            </w:tcBorders>
            <w:shd w:val="clear" w:color="auto" w:fill="auto"/>
            <w:noWrap/>
            <w:vAlign w:val="center"/>
            <w:hideMark/>
          </w:tcPr>
          <w:p w14:paraId="736AB10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1.8 ± 0.51</w:t>
            </w:r>
          </w:p>
        </w:tc>
        <w:tc>
          <w:tcPr>
            <w:tcW w:w="521" w:type="pct"/>
            <w:tcBorders>
              <w:top w:val="nil"/>
              <w:left w:val="nil"/>
              <w:bottom w:val="nil"/>
              <w:right w:val="nil"/>
            </w:tcBorders>
            <w:shd w:val="clear" w:color="auto" w:fill="auto"/>
            <w:noWrap/>
            <w:vAlign w:val="center"/>
            <w:hideMark/>
          </w:tcPr>
          <w:p w14:paraId="5F166E0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3.3 ± 1.04</w:t>
            </w:r>
          </w:p>
        </w:tc>
        <w:tc>
          <w:tcPr>
            <w:tcW w:w="592" w:type="pct"/>
            <w:tcBorders>
              <w:top w:val="nil"/>
              <w:left w:val="nil"/>
              <w:bottom w:val="nil"/>
              <w:right w:val="nil"/>
            </w:tcBorders>
            <w:shd w:val="clear" w:color="auto" w:fill="auto"/>
            <w:noWrap/>
            <w:vAlign w:val="center"/>
            <w:hideMark/>
          </w:tcPr>
          <w:p w14:paraId="7A88C32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11.0 ± 1.25</w:t>
            </w:r>
          </w:p>
        </w:tc>
        <w:tc>
          <w:tcPr>
            <w:tcW w:w="592" w:type="pct"/>
            <w:tcBorders>
              <w:top w:val="nil"/>
              <w:left w:val="nil"/>
              <w:bottom w:val="nil"/>
              <w:right w:val="nil"/>
            </w:tcBorders>
            <w:shd w:val="clear" w:color="auto" w:fill="auto"/>
            <w:noWrap/>
            <w:vAlign w:val="center"/>
            <w:hideMark/>
          </w:tcPr>
          <w:p w14:paraId="6BB3DEF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24.7 ± 1.57</w:t>
            </w:r>
          </w:p>
        </w:tc>
        <w:tc>
          <w:tcPr>
            <w:tcW w:w="592" w:type="pct"/>
            <w:tcBorders>
              <w:top w:val="nil"/>
              <w:left w:val="nil"/>
              <w:bottom w:val="nil"/>
              <w:right w:val="nil"/>
            </w:tcBorders>
            <w:shd w:val="clear" w:color="auto" w:fill="auto"/>
            <w:noWrap/>
            <w:vAlign w:val="center"/>
            <w:hideMark/>
          </w:tcPr>
          <w:p w14:paraId="6E7CEF3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61.6 ± 5.06</w:t>
            </w:r>
          </w:p>
        </w:tc>
        <w:tc>
          <w:tcPr>
            <w:tcW w:w="752" w:type="pct"/>
            <w:tcBorders>
              <w:top w:val="nil"/>
              <w:left w:val="nil"/>
              <w:bottom w:val="nil"/>
              <w:right w:val="nil"/>
            </w:tcBorders>
            <w:shd w:val="clear" w:color="auto" w:fill="auto"/>
            <w:noWrap/>
            <w:vAlign w:val="center"/>
            <w:hideMark/>
          </w:tcPr>
          <w:p w14:paraId="49F1C9D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113.8</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 7.93</w:t>
            </w:r>
          </w:p>
        </w:tc>
      </w:tr>
      <w:tr w:rsidR="00EF65F1" w14:paraId="3652F59D" w14:textId="77777777">
        <w:trPr>
          <w:trHeight w:val="300"/>
        </w:trPr>
        <w:tc>
          <w:tcPr>
            <w:tcW w:w="1430" w:type="pct"/>
            <w:tcBorders>
              <w:top w:val="nil"/>
              <w:left w:val="nil"/>
              <w:bottom w:val="nil"/>
              <w:right w:val="nil"/>
            </w:tcBorders>
            <w:shd w:val="clear" w:color="auto" w:fill="auto"/>
            <w:noWrap/>
            <w:vAlign w:val="center"/>
            <w:hideMark/>
          </w:tcPr>
          <w:p w14:paraId="42CDD5BC"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521" w:type="pct"/>
            <w:tcBorders>
              <w:top w:val="nil"/>
              <w:left w:val="nil"/>
              <w:bottom w:val="nil"/>
              <w:right w:val="nil"/>
            </w:tcBorders>
            <w:shd w:val="clear" w:color="auto" w:fill="auto"/>
            <w:noWrap/>
            <w:vAlign w:val="center"/>
            <w:hideMark/>
          </w:tcPr>
          <w:p w14:paraId="6D8D725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2.1 ± 0.41</w:t>
            </w:r>
          </w:p>
        </w:tc>
        <w:tc>
          <w:tcPr>
            <w:tcW w:w="521" w:type="pct"/>
            <w:tcBorders>
              <w:top w:val="nil"/>
              <w:left w:val="nil"/>
              <w:bottom w:val="nil"/>
              <w:right w:val="nil"/>
            </w:tcBorders>
            <w:shd w:val="clear" w:color="auto" w:fill="auto"/>
            <w:noWrap/>
            <w:vAlign w:val="center"/>
            <w:hideMark/>
          </w:tcPr>
          <w:p w14:paraId="6669A7F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3.7 ± 0.47</w:t>
            </w:r>
          </w:p>
        </w:tc>
        <w:tc>
          <w:tcPr>
            <w:tcW w:w="592" w:type="pct"/>
            <w:tcBorders>
              <w:top w:val="nil"/>
              <w:left w:val="nil"/>
              <w:bottom w:val="nil"/>
              <w:right w:val="nil"/>
            </w:tcBorders>
            <w:shd w:val="clear" w:color="auto" w:fill="auto"/>
            <w:noWrap/>
            <w:vAlign w:val="center"/>
            <w:hideMark/>
          </w:tcPr>
          <w:p w14:paraId="7E5E69F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12.1 ± 1.48</w:t>
            </w:r>
          </w:p>
        </w:tc>
        <w:tc>
          <w:tcPr>
            <w:tcW w:w="592" w:type="pct"/>
            <w:tcBorders>
              <w:top w:val="nil"/>
              <w:left w:val="nil"/>
              <w:bottom w:val="nil"/>
              <w:right w:val="nil"/>
            </w:tcBorders>
            <w:shd w:val="clear" w:color="auto" w:fill="auto"/>
            <w:noWrap/>
            <w:vAlign w:val="center"/>
            <w:hideMark/>
          </w:tcPr>
          <w:p w14:paraId="071395B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26.1 ± 1.48</w:t>
            </w:r>
          </w:p>
        </w:tc>
        <w:tc>
          <w:tcPr>
            <w:tcW w:w="592" w:type="pct"/>
            <w:tcBorders>
              <w:top w:val="nil"/>
              <w:left w:val="nil"/>
              <w:bottom w:val="nil"/>
              <w:right w:val="nil"/>
            </w:tcBorders>
            <w:shd w:val="clear" w:color="auto" w:fill="auto"/>
            <w:noWrap/>
            <w:vAlign w:val="center"/>
            <w:hideMark/>
          </w:tcPr>
          <w:p w14:paraId="1562C8C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63.7 ± 2.58</w:t>
            </w:r>
          </w:p>
        </w:tc>
        <w:tc>
          <w:tcPr>
            <w:tcW w:w="752" w:type="pct"/>
            <w:tcBorders>
              <w:top w:val="nil"/>
              <w:left w:val="nil"/>
              <w:bottom w:val="nil"/>
              <w:right w:val="nil"/>
            </w:tcBorders>
            <w:shd w:val="clear" w:color="auto" w:fill="auto"/>
            <w:noWrap/>
            <w:vAlign w:val="center"/>
            <w:hideMark/>
          </w:tcPr>
          <w:p w14:paraId="09BD181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111.1</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6.24</w:t>
            </w:r>
          </w:p>
        </w:tc>
      </w:tr>
      <w:tr w:rsidR="00EF65F1" w14:paraId="6FBFD079" w14:textId="77777777">
        <w:trPr>
          <w:trHeight w:val="300"/>
        </w:trPr>
        <w:tc>
          <w:tcPr>
            <w:tcW w:w="1430" w:type="pct"/>
            <w:tcBorders>
              <w:top w:val="nil"/>
              <w:left w:val="nil"/>
              <w:bottom w:val="nil"/>
              <w:right w:val="nil"/>
            </w:tcBorders>
            <w:shd w:val="clear" w:color="auto" w:fill="auto"/>
            <w:noWrap/>
            <w:vAlign w:val="center"/>
            <w:hideMark/>
          </w:tcPr>
          <w:p w14:paraId="27A56326"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521" w:type="pct"/>
            <w:tcBorders>
              <w:top w:val="nil"/>
              <w:left w:val="nil"/>
              <w:bottom w:val="nil"/>
              <w:right w:val="nil"/>
            </w:tcBorders>
            <w:shd w:val="clear" w:color="auto" w:fill="auto"/>
            <w:noWrap/>
            <w:vAlign w:val="center"/>
            <w:hideMark/>
          </w:tcPr>
          <w:p w14:paraId="0ED97DD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1.8 ± 0.74</w:t>
            </w:r>
          </w:p>
        </w:tc>
        <w:tc>
          <w:tcPr>
            <w:tcW w:w="521" w:type="pct"/>
            <w:tcBorders>
              <w:top w:val="nil"/>
              <w:left w:val="nil"/>
              <w:bottom w:val="nil"/>
              <w:right w:val="nil"/>
            </w:tcBorders>
            <w:shd w:val="clear" w:color="auto" w:fill="auto"/>
            <w:noWrap/>
            <w:vAlign w:val="center"/>
            <w:hideMark/>
          </w:tcPr>
          <w:p w14:paraId="48BDCDE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4.2 ± 0.44</w:t>
            </w:r>
          </w:p>
        </w:tc>
        <w:tc>
          <w:tcPr>
            <w:tcW w:w="592" w:type="pct"/>
            <w:tcBorders>
              <w:top w:val="nil"/>
              <w:left w:val="nil"/>
              <w:bottom w:val="nil"/>
              <w:right w:val="nil"/>
            </w:tcBorders>
            <w:shd w:val="clear" w:color="auto" w:fill="auto"/>
            <w:noWrap/>
            <w:vAlign w:val="center"/>
            <w:hideMark/>
          </w:tcPr>
          <w:p w14:paraId="3490786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12.8 ± 0.83</w:t>
            </w:r>
          </w:p>
        </w:tc>
        <w:tc>
          <w:tcPr>
            <w:tcW w:w="592" w:type="pct"/>
            <w:tcBorders>
              <w:top w:val="nil"/>
              <w:left w:val="nil"/>
              <w:bottom w:val="nil"/>
              <w:right w:val="nil"/>
            </w:tcBorders>
            <w:shd w:val="clear" w:color="auto" w:fill="auto"/>
            <w:noWrap/>
            <w:vAlign w:val="center"/>
            <w:hideMark/>
          </w:tcPr>
          <w:p w14:paraId="2568A3D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26.4 ± 0.99</w:t>
            </w:r>
          </w:p>
        </w:tc>
        <w:tc>
          <w:tcPr>
            <w:tcW w:w="592" w:type="pct"/>
            <w:tcBorders>
              <w:top w:val="nil"/>
              <w:left w:val="nil"/>
              <w:bottom w:val="nil"/>
              <w:right w:val="nil"/>
            </w:tcBorders>
            <w:shd w:val="clear" w:color="auto" w:fill="auto"/>
            <w:noWrap/>
            <w:vAlign w:val="center"/>
            <w:hideMark/>
          </w:tcPr>
          <w:p w14:paraId="3A6282C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62.5 ± 3.94</w:t>
            </w:r>
          </w:p>
        </w:tc>
        <w:tc>
          <w:tcPr>
            <w:tcW w:w="752" w:type="pct"/>
            <w:tcBorders>
              <w:top w:val="nil"/>
              <w:left w:val="nil"/>
              <w:bottom w:val="nil"/>
              <w:right w:val="nil"/>
            </w:tcBorders>
            <w:shd w:val="clear" w:color="auto" w:fill="auto"/>
            <w:noWrap/>
            <w:vAlign w:val="center"/>
            <w:hideMark/>
          </w:tcPr>
          <w:p w14:paraId="704059B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110.4</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6.66</w:t>
            </w:r>
          </w:p>
        </w:tc>
      </w:tr>
      <w:tr w:rsidR="00EF65F1" w14:paraId="64DDC1E9" w14:textId="77777777">
        <w:trPr>
          <w:trHeight w:val="300"/>
        </w:trPr>
        <w:tc>
          <w:tcPr>
            <w:tcW w:w="1430" w:type="pct"/>
            <w:tcBorders>
              <w:top w:val="nil"/>
              <w:left w:val="nil"/>
              <w:bottom w:val="nil"/>
              <w:right w:val="nil"/>
            </w:tcBorders>
            <w:shd w:val="clear" w:color="auto" w:fill="auto"/>
            <w:noWrap/>
            <w:vAlign w:val="center"/>
            <w:hideMark/>
          </w:tcPr>
          <w:p w14:paraId="2CAD94F0"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521" w:type="pct"/>
            <w:tcBorders>
              <w:top w:val="nil"/>
              <w:left w:val="nil"/>
              <w:bottom w:val="nil"/>
              <w:right w:val="nil"/>
            </w:tcBorders>
            <w:shd w:val="clear" w:color="auto" w:fill="auto"/>
            <w:noWrap/>
            <w:vAlign w:val="center"/>
            <w:hideMark/>
          </w:tcPr>
          <w:p w14:paraId="1A37931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1.4 ± 0.77</w:t>
            </w:r>
          </w:p>
        </w:tc>
        <w:tc>
          <w:tcPr>
            <w:tcW w:w="521" w:type="pct"/>
            <w:tcBorders>
              <w:top w:val="nil"/>
              <w:left w:val="nil"/>
              <w:bottom w:val="nil"/>
              <w:right w:val="nil"/>
            </w:tcBorders>
            <w:shd w:val="clear" w:color="auto" w:fill="auto"/>
            <w:noWrap/>
            <w:vAlign w:val="center"/>
            <w:hideMark/>
          </w:tcPr>
          <w:p w14:paraId="6112429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2.7 ± 0.16</w:t>
            </w:r>
          </w:p>
        </w:tc>
        <w:tc>
          <w:tcPr>
            <w:tcW w:w="592" w:type="pct"/>
            <w:tcBorders>
              <w:top w:val="nil"/>
              <w:left w:val="nil"/>
              <w:bottom w:val="nil"/>
              <w:right w:val="nil"/>
            </w:tcBorders>
            <w:shd w:val="clear" w:color="auto" w:fill="auto"/>
            <w:noWrap/>
            <w:vAlign w:val="center"/>
            <w:hideMark/>
          </w:tcPr>
          <w:p w14:paraId="1490F93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11.0 ± 2.42</w:t>
            </w:r>
          </w:p>
        </w:tc>
        <w:tc>
          <w:tcPr>
            <w:tcW w:w="592" w:type="pct"/>
            <w:tcBorders>
              <w:top w:val="nil"/>
              <w:left w:val="nil"/>
              <w:bottom w:val="nil"/>
              <w:right w:val="nil"/>
            </w:tcBorders>
            <w:shd w:val="clear" w:color="auto" w:fill="auto"/>
            <w:noWrap/>
            <w:vAlign w:val="center"/>
            <w:hideMark/>
          </w:tcPr>
          <w:p w14:paraId="18B5777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24.7 ± 3.15</w:t>
            </w:r>
          </w:p>
        </w:tc>
        <w:tc>
          <w:tcPr>
            <w:tcW w:w="592" w:type="pct"/>
            <w:tcBorders>
              <w:top w:val="nil"/>
              <w:left w:val="nil"/>
              <w:bottom w:val="nil"/>
              <w:right w:val="nil"/>
            </w:tcBorders>
            <w:shd w:val="clear" w:color="auto" w:fill="auto"/>
            <w:noWrap/>
            <w:vAlign w:val="center"/>
            <w:hideMark/>
          </w:tcPr>
          <w:p w14:paraId="04B4EAD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63.4 ± 2.44</w:t>
            </w:r>
          </w:p>
        </w:tc>
        <w:tc>
          <w:tcPr>
            <w:tcW w:w="752" w:type="pct"/>
            <w:tcBorders>
              <w:top w:val="nil"/>
              <w:left w:val="nil"/>
              <w:bottom w:val="nil"/>
              <w:right w:val="nil"/>
            </w:tcBorders>
            <w:shd w:val="clear" w:color="auto" w:fill="auto"/>
            <w:noWrap/>
            <w:vAlign w:val="center"/>
            <w:hideMark/>
          </w:tcPr>
          <w:p w14:paraId="2BA144E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109.1</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6.32</w:t>
            </w:r>
          </w:p>
        </w:tc>
      </w:tr>
      <w:tr w:rsidR="00EF65F1" w14:paraId="65B7DC47" w14:textId="77777777">
        <w:trPr>
          <w:trHeight w:val="300"/>
        </w:trPr>
        <w:tc>
          <w:tcPr>
            <w:tcW w:w="1430" w:type="pct"/>
            <w:tcBorders>
              <w:top w:val="nil"/>
              <w:left w:val="nil"/>
              <w:bottom w:val="nil"/>
              <w:right w:val="nil"/>
            </w:tcBorders>
            <w:shd w:val="clear" w:color="auto" w:fill="auto"/>
            <w:noWrap/>
            <w:vAlign w:val="center"/>
            <w:hideMark/>
          </w:tcPr>
          <w:p w14:paraId="2A64FFFB"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521" w:type="pct"/>
            <w:tcBorders>
              <w:top w:val="nil"/>
              <w:left w:val="nil"/>
              <w:bottom w:val="nil"/>
              <w:right w:val="nil"/>
            </w:tcBorders>
            <w:shd w:val="clear" w:color="auto" w:fill="auto"/>
            <w:noWrap/>
            <w:vAlign w:val="center"/>
            <w:hideMark/>
          </w:tcPr>
          <w:p w14:paraId="7FBD0F1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2.1 ± 0.70</w:t>
            </w:r>
          </w:p>
        </w:tc>
        <w:tc>
          <w:tcPr>
            <w:tcW w:w="521" w:type="pct"/>
            <w:tcBorders>
              <w:top w:val="nil"/>
              <w:left w:val="nil"/>
              <w:bottom w:val="nil"/>
              <w:right w:val="nil"/>
            </w:tcBorders>
            <w:shd w:val="clear" w:color="auto" w:fill="auto"/>
            <w:noWrap/>
            <w:vAlign w:val="center"/>
            <w:hideMark/>
          </w:tcPr>
          <w:p w14:paraId="12F87CB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4.5 ± 0.69</w:t>
            </w:r>
          </w:p>
        </w:tc>
        <w:tc>
          <w:tcPr>
            <w:tcW w:w="592" w:type="pct"/>
            <w:tcBorders>
              <w:top w:val="nil"/>
              <w:left w:val="nil"/>
              <w:bottom w:val="nil"/>
              <w:right w:val="nil"/>
            </w:tcBorders>
            <w:shd w:val="clear" w:color="auto" w:fill="auto"/>
            <w:noWrap/>
            <w:vAlign w:val="center"/>
            <w:hideMark/>
          </w:tcPr>
          <w:p w14:paraId="61D6058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13.3 ± 1.50</w:t>
            </w:r>
          </w:p>
        </w:tc>
        <w:tc>
          <w:tcPr>
            <w:tcW w:w="592" w:type="pct"/>
            <w:tcBorders>
              <w:top w:val="nil"/>
              <w:left w:val="nil"/>
              <w:bottom w:val="nil"/>
              <w:right w:val="nil"/>
            </w:tcBorders>
            <w:shd w:val="clear" w:color="auto" w:fill="auto"/>
            <w:noWrap/>
            <w:vAlign w:val="center"/>
            <w:hideMark/>
          </w:tcPr>
          <w:p w14:paraId="6A9FB01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26.8 ± 2.07</w:t>
            </w:r>
          </w:p>
        </w:tc>
        <w:tc>
          <w:tcPr>
            <w:tcW w:w="592" w:type="pct"/>
            <w:tcBorders>
              <w:top w:val="nil"/>
              <w:left w:val="nil"/>
              <w:bottom w:val="nil"/>
              <w:right w:val="nil"/>
            </w:tcBorders>
            <w:shd w:val="clear" w:color="auto" w:fill="auto"/>
            <w:noWrap/>
            <w:vAlign w:val="center"/>
            <w:hideMark/>
          </w:tcPr>
          <w:p w14:paraId="0B3423B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63.4 ± 2.34</w:t>
            </w:r>
          </w:p>
        </w:tc>
        <w:tc>
          <w:tcPr>
            <w:tcW w:w="752" w:type="pct"/>
            <w:tcBorders>
              <w:top w:val="nil"/>
              <w:left w:val="nil"/>
              <w:bottom w:val="nil"/>
              <w:right w:val="nil"/>
            </w:tcBorders>
            <w:shd w:val="clear" w:color="auto" w:fill="auto"/>
            <w:noWrap/>
            <w:vAlign w:val="center"/>
            <w:hideMark/>
          </w:tcPr>
          <w:p w14:paraId="6A4B4C3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110.5</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4.2</w:t>
            </w:r>
          </w:p>
        </w:tc>
      </w:tr>
      <w:tr w:rsidR="00EF65F1" w14:paraId="3C42C653" w14:textId="77777777">
        <w:trPr>
          <w:trHeight w:val="300"/>
        </w:trPr>
        <w:tc>
          <w:tcPr>
            <w:tcW w:w="1430" w:type="pct"/>
            <w:tcBorders>
              <w:top w:val="nil"/>
              <w:left w:val="nil"/>
              <w:bottom w:val="nil"/>
              <w:right w:val="nil"/>
            </w:tcBorders>
            <w:shd w:val="clear" w:color="auto" w:fill="auto"/>
            <w:noWrap/>
            <w:vAlign w:val="center"/>
            <w:hideMark/>
          </w:tcPr>
          <w:p w14:paraId="598A8B20"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521" w:type="pct"/>
            <w:tcBorders>
              <w:top w:val="nil"/>
              <w:left w:val="nil"/>
              <w:bottom w:val="nil"/>
              <w:right w:val="nil"/>
            </w:tcBorders>
            <w:shd w:val="clear" w:color="auto" w:fill="auto"/>
            <w:noWrap/>
            <w:vAlign w:val="center"/>
            <w:hideMark/>
          </w:tcPr>
          <w:p w14:paraId="330823B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1.3 ± 0.44</w:t>
            </w:r>
          </w:p>
        </w:tc>
        <w:tc>
          <w:tcPr>
            <w:tcW w:w="521" w:type="pct"/>
            <w:tcBorders>
              <w:top w:val="nil"/>
              <w:left w:val="nil"/>
              <w:bottom w:val="nil"/>
              <w:right w:val="nil"/>
            </w:tcBorders>
            <w:shd w:val="clear" w:color="auto" w:fill="auto"/>
            <w:noWrap/>
            <w:vAlign w:val="center"/>
            <w:hideMark/>
          </w:tcPr>
          <w:p w14:paraId="5A4EFC3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3.0 ± 0.78</w:t>
            </w:r>
          </w:p>
        </w:tc>
        <w:tc>
          <w:tcPr>
            <w:tcW w:w="592" w:type="pct"/>
            <w:tcBorders>
              <w:top w:val="nil"/>
              <w:left w:val="nil"/>
              <w:bottom w:val="nil"/>
              <w:right w:val="nil"/>
            </w:tcBorders>
            <w:shd w:val="clear" w:color="auto" w:fill="auto"/>
            <w:noWrap/>
            <w:vAlign w:val="center"/>
            <w:hideMark/>
          </w:tcPr>
          <w:p w14:paraId="232DE66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11.3 ± 2.40</w:t>
            </w:r>
          </w:p>
        </w:tc>
        <w:tc>
          <w:tcPr>
            <w:tcW w:w="592" w:type="pct"/>
            <w:tcBorders>
              <w:top w:val="nil"/>
              <w:left w:val="nil"/>
              <w:bottom w:val="nil"/>
              <w:right w:val="nil"/>
            </w:tcBorders>
            <w:shd w:val="clear" w:color="auto" w:fill="auto"/>
            <w:noWrap/>
            <w:vAlign w:val="center"/>
            <w:hideMark/>
          </w:tcPr>
          <w:p w14:paraId="32ECC7E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25.0 ± 2.40</w:t>
            </w:r>
          </w:p>
        </w:tc>
        <w:tc>
          <w:tcPr>
            <w:tcW w:w="592" w:type="pct"/>
            <w:tcBorders>
              <w:top w:val="nil"/>
              <w:left w:val="nil"/>
              <w:bottom w:val="nil"/>
              <w:right w:val="nil"/>
            </w:tcBorders>
            <w:shd w:val="clear" w:color="auto" w:fill="auto"/>
            <w:noWrap/>
            <w:vAlign w:val="center"/>
            <w:hideMark/>
          </w:tcPr>
          <w:p w14:paraId="40BD8B2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62.8 ± 3.92</w:t>
            </w:r>
          </w:p>
        </w:tc>
        <w:tc>
          <w:tcPr>
            <w:tcW w:w="752" w:type="pct"/>
            <w:tcBorders>
              <w:top w:val="nil"/>
              <w:left w:val="nil"/>
              <w:bottom w:val="nil"/>
              <w:right w:val="nil"/>
            </w:tcBorders>
            <w:shd w:val="clear" w:color="auto" w:fill="auto"/>
            <w:noWrap/>
            <w:vAlign w:val="center"/>
            <w:hideMark/>
          </w:tcPr>
          <w:p w14:paraId="42907E1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110.3</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8.21</w:t>
            </w:r>
          </w:p>
        </w:tc>
      </w:tr>
      <w:tr w:rsidR="00EF65F1" w14:paraId="3FFEA80E" w14:textId="77777777">
        <w:trPr>
          <w:trHeight w:val="87"/>
        </w:trPr>
        <w:tc>
          <w:tcPr>
            <w:tcW w:w="1430" w:type="pct"/>
            <w:tcBorders>
              <w:top w:val="nil"/>
              <w:left w:val="nil"/>
              <w:bottom w:val="nil"/>
              <w:right w:val="nil"/>
            </w:tcBorders>
            <w:shd w:val="clear" w:color="auto" w:fill="auto"/>
            <w:noWrap/>
            <w:vAlign w:val="center"/>
            <w:hideMark/>
          </w:tcPr>
          <w:p w14:paraId="68BF22E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521" w:type="pct"/>
            <w:tcBorders>
              <w:top w:val="nil"/>
              <w:left w:val="nil"/>
              <w:bottom w:val="nil"/>
              <w:right w:val="nil"/>
            </w:tcBorders>
            <w:shd w:val="clear" w:color="auto" w:fill="auto"/>
            <w:noWrap/>
            <w:vAlign w:val="center"/>
            <w:hideMark/>
          </w:tcPr>
          <w:p w14:paraId="07AC214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0.11</w:t>
            </w:r>
          </w:p>
        </w:tc>
        <w:tc>
          <w:tcPr>
            <w:tcW w:w="521" w:type="pct"/>
            <w:tcBorders>
              <w:top w:val="nil"/>
              <w:left w:val="nil"/>
              <w:bottom w:val="nil"/>
              <w:right w:val="nil"/>
            </w:tcBorders>
            <w:shd w:val="clear" w:color="auto" w:fill="auto"/>
            <w:noWrap/>
            <w:vAlign w:val="center"/>
            <w:hideMark/>
          </w:tcPr>
          <w:p w14:paraId="7185CE0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0.17</w:t>
            </w:r>
          </w:p>
        </w:tc>
        <w:tc>
          <w:tcPr>
            <w:tcW w:w="592" w:type="pct"/>
            <w:tcBorders>
              <w:top w:val="nil"/>
              <w:left w:val="nil"/>
              <w:bottom w:val="nil"/>
              <w:right w:val="nil"/>
            </w:tcBorders>
            <w:shd w:val="clear" w:color="auto" w:fill="auto"/>
            <w:noWrap/>
            <w:vAlign w:val="center"/>
            <w:hideMark/>
          </w:tcPr>
          <w:p w14:paraId="353DBA9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0.29</w:t>
            </w:r>
          </w:p>
        </w:tc>
        <w:tc>
          <w:tcPr>
            <w:tcW w:w="592" w:type="pct"/>
            <w:tcBorders>
              <w:top w:val="nil"/>
              <w:left w:val="nil"/>
              <w:bottom w:val="nil"/>
              <w:right w:val="nil"/>
            </w:tcBorders>
            <w:shd w:val="clear" w:color="auto" w:fill="auto"/>
            <w:noWrap/>
            <w:vAlign w:val="center"/>
            <w:hideMark/>
          </w:tcPr>
          <w:p w14:paraId="1C2BD07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0.33</w:t>
            </w:r>
          </w:p>
        </w:tc>
        <w:tc>
          <w:tcPr>
            <w:tcW w:w="592" w:type="pct"/>
            <w:tcBorders>
              <w:top w:val="nil"/>
              <w:left w:val="nil"/>
              <w:bottom w:val="nil"/>
              <w:right w:val="nil"/>
            </w:tcBorders>
            <w:shd w:val="clear" w:color="auto" w:fill="auto"/>
            <w:noWrap/>
            <w:vAlign w:val="center"/>
            <w:hideMark/>
          </w:tcPr>
          <w:p w14:paraId="57E8C250"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0.55</w:t>
            </w:r>
          </w:p>
        </w:tc>
        <w:tc>
          <w:tcPr>
            <w:tcW w:w="752" w:type="pct"/>
            <w:tcBorders>
              <w:top w:val="nil"/>
              <w:left w:val="nil"/>
              <w:bottom w:val="nil"/>
              <w:right w:val="nil"/>
            </w:tcBorders>
            <w:shd w:val="clear" w:color="auto" w:fill="auto"/>
            <w:noWrap/>
            <w:vAlign w:val="center"/>
            <w:hideMark/>
          </w:tcPr>
          <w:p w14:paraId="17735E8B"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1.02</w:t>
            </w:r>
          </w:p>
        </w:tc>
      </w:tr>
      <w:tr w:rsidR="00EF65F1" w14:paraId="2DE65BFF" w14:textId="77777777">
        <w:trPr>
          <w:trHeight w:val="315"/>
        </w:trPr>
        <w:tc>
          <w:tcPr>
            <w:tcW w:w="1430" w:type="pct"/>
            <w:tcBorders>
              <w:top w:val="nil"/>
              <w:left w:val="nil"/>
              <w:bottom w:val="single" w:sz="8" w:space="0" w:color="auto"/>
              <w:right w:val="nil"/>
            </w:tcBorders>
            <w:shd w:val="clear" w:color="auto" w:fill="auto"/>
            <w:noWrap/>
            <w:vAlign w:val="center"/>
            <w:hideMark/>
          </w:tcPr>
          <w:p w14:paraId="2781E55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521" w:type="pct"/>
            <w:tcBorders>
              <w:top w:val="nil"/>
              <w:left w:val="nil"/>
              <w:bottom w:val="single" w:sz="8" w:space="0" w:color="auto"/>
              <w:right w:val="nil"/>
            </w:tcBorders>
            <w:shd w:val="clear" w:color="auto" w:fill="auto"/>
            <w:noWrap/>
            <w:vAlign w:val="center"/>
            <w:hideMark/>
          </w:tcPr>
          <w:p w14:paraId="3D484D0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0.80</w:t>
            </w:r>
          </w:p>
        </w:tc>
        <w:tc>
          <w:tcPr>
            <w:tcW w:w="521" w:type="pct"/>
            <w:tcBorders>
              <w:top w:val="nil"/>
              <w:left w:val="nil"/>
              <w:bottom w:val="single" w:sz="8" w:space="0" w:color="auto"/>
              <w:right w:val="nil"/>
            </w:tcBorders>
            <w:shd w:val="clear" w:color="auto" w:fill="auto"/>
            <w:noWrap/>
            <w:vAlign w:val="center"/>
            <w:hideMark/>
          </w:tcPr>
          <w:p w14:paraId="19BF6973"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0.42</w:t>
            </w:r>
          </w:p>
        </w:tc>
        <w:tc>
          <w:tcPr>
            <w:tcW w:w="592" w:type="pct"/>
            <w:tcBorders>
              <w:top w:val="nil"/>
              <w:left w:val="nil"/>
              <w:bottom w:val="single" w:sz="8" w:space="0" w:color="auto"/>
              <w:right w:val="nil"/>
            </w:tcBorders>
            <w:shd w:val="clear" w:color="auto" w:fill="auto"/>
            <w:noWrap/>
            <w:vAlign w:val="center"/>
            <w:hideMark/>
          </w:tcPr>
          <w:p w14:paraId="5F3D0FD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0.09</w:t>
            </w:r>
          </w:p>
        </w:tc>
        <w:tc>
          <w:tcPr>
            <w:tcW w:w="592" w:type="pct"/>
            <w:tcBorders>
              <w:top w:val="nil"/>
              <w:left w:val="nil"/>
              <w:bottom w:val="single" w:sz="8" w:space="0" w:color="auto"/>
              <w:right w:val="nil"/>
            </w:tcBorders>
            <w:shd w:val="clear" w:color="auto" w:fill="auto"/>
            <w:noWrap/>
            <w:vAlign w:val="center"/>
            <w:hideMark/>
          </w:tcPr>
          <w:p w14:paraId="44953AE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0.30</w:t>
            </w:r>
          </w:p>
        </w:tc>
        <w:tc>
          <w:tcPr>
            <w:tcW w:w="592" w:type="pct"/>
            <w:tcBorders>
              <w:top w:val="nil"/>
              <w:left w:val="nil"/>
              <w:bottom w:val="single" w:sz="8" w:space="0" w:color="auto"/>
              <w:right w:val="nil"/>
            </w:tcBorders>
            <w:shd w:val="clear" w:color="auto" w:fill="auto"/>
            <w:noWrap/>
            <w:vAlign w:val="center"/>
            <w:hideMark/>
          </w:tcPr>
          <w:p w14:paraId="2C02095D"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0.32</w:t>
            </w:r>
          </w:p>
        </w:tc>
        <w:tc>
          <w:tcPr>
            <w:tcW w:w="752" w:type="pct"/>
            <w:tcBorders>
              <w:top w:val="nil"/>
              <w:left w:val="nil"/>
              <w:bottom w:val="single" w:sz="8" w:space="0" w:color="auto"/>
              <w:right w:val="nil"/>
            </w:tcBorders>
            <w:shd w:val="clear" w:color="auto" w:fill="auto"/>
            <w:noWrap/>
            <w:vAlign w:val="center"/>
            <w:hideMark/>
          </w:tcPr>
          <w:p w14:paraId="652DECE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0.07</w:t>
            </w:r>
          </w:p>
        </w:tc>
      </w:tr>
      <w:tr w:rsidR="00EF65F1" w14:paraId="28C122F9" w14:textId="77777777">
        <w:trPr>
          <w:trHeight w:val="300"/>
        </w:trPr>
        <w:tc>
          <w:tcPr>
            <w:tcW w:w="3656" w:type="pct"/>
            <w:gridSpan w:val="5"/>
            <w:tcBorders>
              <w:top w:val="single" w:sz="4" w:space="0" w:color="auto"/>
              <w:left w:val="nil"/>
              <w:bottom w:val="nil"/>
              <w:right w:val="nil"/>
            </w:tcBorders>
            <w:shd w:val="clear" w:color="auto" w:fill="auto"/>
            <w:noWrap/>
            <w:vAlign w:val="bottom"/>
            <w:hideMark/>
          </w:tcPr>
          <w:p w14:paraId="796405B2" w14:textId="77777777" w:rsidR="00EF65F1" w:rsidRDefault="00484A18">
            <w:pPr>
              <w:spacing w:before="160" w:after="0" w:line="240" w:lineRule="auto"/>
              <w:contextualSpacing/>
              <w:jc w:val="both"/>
              <w:rPr>
                <w:rFonts w:ascii="Times New Roman" w:eastAsia="Times New Roman" w:hAnsi="Times New Roman" w:cs="Times New Roman"/>
                <w:color w:val="000000"/>
                <w:szCs w:val="20"/>
                <w:lang w:eastAsia="en-ZA"/>
              </w:rPr>
            </w:pPr>
            <w:r>
              <w:rPr>
                <w:rFonts w:ascii="Times New Roman" w:eastAsia="Times New Roman" w:hAnsi="Times New Roman" w:cs="Times New Roman"/>
                <w:color w:val="000000"/>
                <w:szCs w:val="20"/>
                <w:vertAlign w:val="superscript"/>
                <w:lang w:eastAsia="en-ZA"/>
              </w:rPr>
              <w:t xml:space="preserve">abc </w:t>
            </w:r>
            <w:r>
              <w:rPr>
                <w:rFonts w:ascii="Times New Roman" w:eastAsia="Times New Roman" w:hAnsi="Times New Roman" w:cs="Times New Roman"/>
                <w:color w:val="000000"/>
                <w:szCs w:val="20"/>
                <w:lang w:eastAsia="en-ZA"/>
              </w:rPr>
              <w:t>Within a column: Means with different superscripts differ (P &lt; 0.05)</w:t>
            </w:r>
          </w:p>
        </w:tc>
        <w:tc>
          <w:tcPr>
            <w:tcW w:w="592" w:type="pct"/>
            <w:tcBorders>
              <w:top w:val="nil"/>
              <w:left w:val="nil"/>
              <w:bottom w:val="nil"/>
              <w:right w:val="nil"/>
            </w:tcBorders>
            <w:shd w:val="clear" w:color="auto" w:fill="auto"/>
            <w:noWrap/>
            <w:vAlign w:val="bottom"/>
            <w:hideMark/>
          </w:tcPr>
          <w:p w14:paraId="0D3B897C" w14:textId="77777777" w:rsidR="00EF65F1" w:rsidRDefault="00EF65F1">
            <w:pPr>
              <w:spacing w:after="0" w:line="240" w:lineRule="auto"/>
              <w:contextualSpacing/>
              <w:jc w:val="both"/>
              <w:rPr>
                <w:rFonts w:ascii="Times New Roman" w:eastAsia="Times New Roman" w:hAnsi="Times New Roman" w:cs="Times New Roman"/>
                <w:color w:val="000000"/>
                <w:sz w:val="22"/>
                <w:szCs w:val="22"/>
                <w:lang w:eastAsia="en-ZA"/>
              </w:rPr>
            </w:pPr>
          </w:p>
        </w:tc>
        <w:tc>
          <w:tcPr>
            <w:tcW w:w="752" w:type="pct"/>
            <w:tcBorders>
              <w:top w:val="nil"/>
              <w:left w:val="nil"/>
              <w:bottom w:val="nil"/>
              <w:right w:val="nil"/>
            </w:tcBorders>
            <w:shd w:val="clear" w:color="auto" w:fill="auto"/>
            <w:noWrap/>
            <w:vAlign w:val="bottom"/>
            <w:hideMark/>
          </w:tcPr>
          <w:p w14:paraId="40160B6D"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r w:rsidR="00EF65F1" w14:paraId="31503602" w14:textId="77777777">
        <w:trPr>
          <w:trHeight w:val="315"/>
        </w:trPr>
        <w:tc>
          <w:tcPr>
            <w:tcW w:w="3064" w:type="pct"/>
            <w:gridSpan w:val="4"/>
            <w:tcBorders>
              <w:top w:val="nil"/>
              <w:left w:val="nil"/>
              <w:bottom w:val="nil"/>
              <w:right w:val="nil"/>
            </w:tcBorders>
            <w:shd w:val="clear" w:color="auto" w:fill="auto"/>
            <w:noWrap/>
            <w:vAlign w:val="bottom"/>
          </w:tcPr>
          <w:p w14:paraId="14678426"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92" w:type="pct"/>
            <w:tcBorders>
              <w:top w:val="nil"/>
              <w:left w:val="nil"/>
              <w:bottom w:val="nil"/>
              <w:right w:val="nil"/>
            </w:tcBorders>
            <w:shd w:val="clear" w:color="auto" w:fill="auto"/>
            <w:noWrap/>
            <w:vAlign w:val="bottom"/>
            <w:hideMark/>
          </w:tcPr>
          <w:p w14:paraId="6245698A"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92" w:type="pct"/>
            <w:tcBorders>
              <w:top w:val="nil"/>
              <w:left w:val="nil"/>
              <w:bottom w:val="nil"/>
              <w:right w:val="nil"/>
            </w:tcBorders>
            <w:shd w:val="clear" w:color="auto" w:fill="auto"/>
            <w:noWrap/>
            <w:vAlign w:val="bottom"/>
            <w:hideMark/>
          </w:tcPr>
          <w:p w14:paraId="1BEEB4C4"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752" w:type="pct"/>
            <w:tcBorders>
              <w:top w:val="nil"/>
              <w:left w:val="nil"/>
              <w:bottom w:val="nil"/>
              <w:right w:val="nil"/>
            </w:tcBorders>
            <w:shd w:val="clear" w:color="auto" w:fill="auto"/>
            <w:noWrap/>
            <w:vAlign w:val="bottom"/>
            <w:hideMark/>
          </w:tcPr>
          <w:p w14:paraId="2F9990AE"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r w:rsidR="00EF65F1" w14:paraId="1609DEBA" w14:textId="77777777">
        <w:trPr>
          <w:trHeight w:val="315"/>
        </w:trPr>
        <w:tc>
          <w:tcPr>
            <w:tcW w:w="3064" w:type="pct"/>
            <w:gridSpan w:val="4"/>
            <w:tcBorders>
              <w:top w:val="nil"/>
              <w:left w:val="nil"/>
              <w:bottom w:val="nil"/>
              <w:right w:val="nil"/>
            </w:tcBorders>
            <w:shd w:val="clear" w:color="auto" w:fill="auto"/>
            <w:noWrap/>
            <w:vAlign w:val="bottom"/>
          </w:tcPr>
          <w:p w14:paraId="6D34B98C"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92" w:type="pct"/>
            <w:tcBorders>
              <w:top w:val="nil"/>
              <w:left w:val="nil"/>
              <w:bottom w:val="nil"/>
              <w:right w:val="nil"/>
            </w:tcBorders>
            <w:shd w:val="clear" w:color="auto" w:fill="auto"/>
            <w:noWrap/>
            <w:vAlign w:val="bottom"/>
            <w:hideMark/>
          </w:tcPr>
          <w:p w14:paraId="1ABF335C"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92" w:type="pct"/>
            <w:tcBorders>
              <w:top w:val="nil"/>
              <w:left w:val="nil"/>
              <w:bottom w:val="nil"/>
              <w:right w:val="nil"/>
            </w:tcBorders>
            <w:shd w:val="clear" w:color="auto" w:fill="auto"/>
            <w:noWrap/>
            <w:vAlign w:val="bottom"/>
            <w:hideMark/>
          </w:tcPr>
          <w:p w14:paraId="342221DF"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752" w:type="pct"/>
            <w:tcBorders>
              <w:top w:val="nil"/>
              <w:left w:val="nil"/>
              <w:bottom w:val="nil"/>
              <w:right w:val="nil"/>
            </w:tcBorders>
            <w:shd w:val="clear" w:color="auto" w:fill="auto"/>
            <w:noWrap/>
            <w:vAlign w:val="bottom"/>
            <w:hideMark/>
          </w:tcPr>
          <w:p w14:paraId="1C7A2C80"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bl>
    <w:p w14:paraId="13B25034" w14:textId="77777777" w:rsidR="00EF65F1" w:rsidRDefault="00EF65F1">
      <w:pPr>
        <w:spacing w:after="0" w:line="360" w:lineRule="auto"/>
        <w:contextualSpacing/>
        <w:jc w:val="both"/>
        <w:rPr>
          <w:rFonts w:ascii="Times New Roman" w:hAnsi="Times New Roman" w:cs="Times New Roman"/>
          <w:sz w:val="22"/>
          <w:szCs w:val="22"/>
        </w:rPr>
        <w:sectPr w:rsidR="00EF65F1">
          <w:pgSz w:w="16838" w:h="11906" w:orient="landscape" w:code="9"/>
          <w:pgMar w:top="1440" w:right="1440" w:bottom="1440" w:left="1440" w:header="567" w:footer="794" w:gutter="0"/>
          <w:cols w:space="708"/>
          <w:vAlign w:val="center"/>
          <w:docGrid w:linePitch="360"/>
        </w:sectPr>
      </w:pPr>
    </w:p>
    <w:p w14:paraId="3ABB8B12" w14:textId="38B4D383" w:rsidR="00EF65F1" w:rsidRDefault="00484A18">
      <w:pPr>
        <w:pStyle w:val="Caption"/>
        <w:keepNext/>
        <w:spacing w:after="0"/>
        <w:contextualSpacing/>
        <w:jc w:val="both"/>
        <w:rPr>
          <w:rFonts w:ascii="Times New Roman" w:hAnsi="Times New Roman" w:cs="Times New Roman"/>
          <w:i w:val="0"/>
          <w:color w:val="auto"/>
          <w:sz w:val="24"/>
          <w:szCs w:val="22"/>
        </w:rPr>
      </w:pPr>
      <w:bookmarkStart w:id="182" w:name="_Toc2349140"/>
      <w:r>
        <w:rPr>
          <w:rFonts w:ascii="Times New Roman" w:hAnsi="Times New Roman" w:cs="Times New Roman"/>
          <w:i w:val="0"/>
          <w:color w:val="auto"/>
          <w:sz w:val="24"/>
          <w:szCs w:val="22"/>
        </w:rPr>
        <w:lastRenderedPageBreak/>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2</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Cumulative gas production (mL gas/g DM) after 2, 4, 8, 12, 24 and 48 hours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 treated with seven plant extracts at a 600 mg/kg DM dose level</w:t>
      </w:r>
      <w:bookmarkEnd w:id="182"/>
    </w:p>
    <w:tbl>
      <w:tblPr>
        <w:tblpPr w:leftFromText="180" w:rightFromText="180" w:vertAnchor="text" w:horzAnchor="margin" w:tblpXSpec="center" w:tblpY="188"/>
        <w:tblW w:w="5000" w:type="pct"/>
        <w:tblLook w:val="04A0" w:firstRow="1" w:lastRow="0" w:firstColumn="1" w:lastColumn="0" w:noHBand="0" w:noVBand="1"/>
      </w:tblPr>
      <w:tblGrid>
        <w:gridCol w:w="3991"/>
        <w:gridCol w:w="1477"/>
        <w:gridCol w:w="1594"/>
        <w:gridCol w:w="1884"/>
        <w:gridCol w:w="1547"/>
        <w:gridCol w:w="1547"/>
        <w:gridCol w:w="1918"/>
      </w:tblGrid>
      <w:tr w:rsidR="00EF65F1" w14:paraId="316CAA84" w14:textId="77777777">
        <w:trPr>
          <w:trHeight w:val="315"/>
        </w:trPr>
        <w:tc>
          <w:tcPr>
            <w:tcW w:w="1430" w:type="pct"/>
            <w:tcBorders>
              <w:top w:val="single" w:sz="8" w:space="0" w:color="auto"/>
              <w:left w:val="nil"/>
              <w:bottom w:val="single" w:sz="8" w:space="0" w:color="auto"/>
              <w:right w:val="nil"/>
            </w:tcBorders>
            <w:shd w:val="clear" w:color="auto" w:fill="auto"/>
            <w:noWrap/>
            <w:vAlign w:val="center"/>
            <w:hideMark/>
          </w:tcPr>
          <w:p w14:paraId="47D3038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 </w:t>
            </w:r>
          </w:p>
        </w:tc>
        <w:tc>
          <w:tcPr>
            <w:tcW w:w="3570" w:type="pct"/>
            <w:gridSpan w:val="6"/>
            <w:tcBorders>
              <w:top w:val="single" w:sz="8" w:space="0" w:color="auto"/>
              <w:left w:val="nil"/>
              <w:bottom w:val="single" w:sz="8" w:space="0" w:color="auto"/>
              <w:right w:val="nil"/>
            </w:tcBorders>
            <w:shd w:val="clear" w:color="auto" w:fill="auto"/>
            <w:noWrap/>
            <w:vAlign w:val="center"/>
            <w:hideMark/>
          </w:tcPr>
          <w:p w14:paraId="053A877E" w14:textId="77777777" w:rsidR="00EF65F1" w:rsidRDefault="00484A18">
            <w:pPr>
              <w:spacing w:after="0" w:line="240" w:lineRule="auto"/>
              <w:contextualSpacing/>
              <w:jc w:val="center"/>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Mean ± SD (mL gas/g DM)</w:t>
            </w:r>
          </w:p>
        </w:tc>
      </w:tr>
      <w:tr w:rsidR="00EF65F1" w14:paraId="68F98369" w14:textId="77777777">
        <w:trPr>
          <w:trHeight w:val="315"/>
        </w:trPr>
        <w:tc>
          <w:tcPr>
            <w:tcW w:w="1430" w:type="pct"/>
            <w:tcBorders>
              <w:top w:val="nil"/>
              <w:left w:val="nil"/>
              <w:bottom w:val="single" w:sz="8" w:space="0" w:color="auto"/>
              <w:right w:val="nil"/>
            </w:tcBorders>
            <w:shd w:val="clear" w:color="auto" w:fill="auto"/>
            <w:noWrap/>
            <w:vAlign w:val="center"/>
            <w:hideMark/>
          </w:tcPr>
          <w:p w14:paraId="30D6573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529" w:type="pct"/>
            <w:tcBorders>
              <w:top w:val="nil"/>
              <w:left w:val="nil"/>
              <w:bottom w:val="single" w:sz="8" w:space="0" w:color="auto"/>
              <w:right w:val="nil"/>
            </w:tcBorders>
            <w:shd w:val="clear" w:color="auto" w:fill="auto"/>
            <w:noWrap/>
            <w:vAlign w:val="center"/>
            <w:hideMark/>
          </w:tcPr>
          <w:p w14:paraId="29DC4A25"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2h</w:t>
            </w:r>
          </w:p>
        </w:tc>
        <w:tc>
          <w:tcPr>
            <w:tcW w:w="571" w:type="pct"/>
            <w:tcBorders>
              <w:top w:val="nil"/>
              <w:left w:val="nil"/>
              <w:bottom w:val="single" w:sz="8" w:space="0" w:color="auto"/>
              <w:right w:val="nil"/>
            </w:tcBorders>
            <w:shd w:val="clear" w:color="auto" w:fill="auto"/>
            <w:noWrap/>
            <w:vAlign w:val="center"/>
            <w:hideMark/>
          </w:tcPr>
          <w:p w14:paraId="031548A2"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4h</w:t>
            </w:r>
          </w:p>
        </w:tc>
        <w:tc>
          <w:tcPr>
            <w:tcW w:w="675" w:type="pct"/>
            <w:tcBorders>
              <w:top w:val="nil"/>
              <w:left w:val="nil"/>
              <w:bottom w:val="single" w:sz="8" w:space="0" w:color="auto"/>
              <w:right w:val="nil"/>
            </w:tcBorders>
            <w:shd w:val="clear" w:color="auto" w:fill="auto"/>
            <w:noWrap/>
            <w:vAlign w:val="center"/>
            <w:hideMark/>
          </w:tcPr>
          <w:p w14:paraId="62902480"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8h</w:t>
            </w:r>
          </w:p>
        </w:tc>
        <w:tc>
          <w:tcPr>
            <w:tcW w:w="554" w:type="pct"/>
            <w:tcBorders>
              <w:top w:val="nil"/>
              <w:left w:val="nil"/>
              <w:bottom w:val="single" w:sz="8" w:space="0" w:color="auto"/>
              <w:right w:val="nil"/>
            </w:tcBorders>
            <w:shd w:val="clear" w:color="auto" w:fill="auto"/>
            <w:noWrap/>
            <w:vAlign w:val="center"/>
            <w:hideMark/>
          </w:tcPr>
          <w:p w14:paraId="4ED51E70"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12h</w:t>
            </w:r>
          </w:p>
        </w:tc>
        <w:tc>
          <w:tcPr>
            <w:tcW w:w="554" w:type="pct"/>
            <w:tcBorders>
              <w:top w:val="nil"/>
              <w:left w:val="nil"/>
              <w:bottom w:val="single" w:sz="8" w:space="0" w:color="auto"/>
              <w:right w:val="nil"/>
            </w:tcBorders>
            <w:shd w:val="clear" w:color="auto" w:fill="auto"/>
            <w:noWrap/>
            <w:vAlign w:val="center"/>
            <w:hideMark/>
          </w:tcPr>
          <w:p w14:paraId="60FD9AA8"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24h</w:t>
            </w:r>
          </w:p>
        </w:tc>
        <w:tc>
          <w:tcPr>
            <w:tcW w:w="687" w:type="pct"/>
            <w:tcBorders>
              <w:top w:val="nil"/>
              <w:left w:val="nil"/>
              <w:bottom w:val="single" w:sz="8" w:space="0" w:color="auto"/>
              <w:right w:val="nil"/>
            </w:tcBorders>
            <w:shd w:val="clear" w:color="auto" w:fill="auto"/>
            <w:noWrap/>
            <w:vAlign w:val="center"/>
            <w:hideMark/>
          </w:tcPr>
          <w:p w14:paraId="7C23156A" w14:textId="77777777" w:rsidR="00EF65F1" w:rsidRDefault="00484A18">
            <w:pPr>
              <w:spacing w:after="0" w:line="240" w:lineRule="auto"/>
              <w:contextualSpacing/>
              <w:jc w:val="both"/>
              <w:rPr>
                <w:rFonts w:ascii="Times New Roman" w:eastAsia="Times New Roman" w:hAnsi="Times New Roman" w:cs="Times New Roman"/>
                <w:b/>
                <w:bCs/>
                <w:color w:val="000000"/>
                <w:sz w:val="22"/>
                <w:szCs w:val="22"/>
                <w:lang w:eastAsia="en-ZA"/>
              </w:rPr>
            </w:pPr>
            <w:r>
              <w:rPr>
                <w:rFonts w:ascii="Times New Roman" w:eastAsia="Times New Roman" w:hAnsi="Times New Roman" w:cs="Times New Roman"/>
                <w:b/>
                <w:bCs/>
                <w:color w:val="000000"/>
                <w:sz w:val="22"/>
                <w:szCs w:val="22"/>
                <w:lang w:eastAsia="en-ZA"/>
              </w:rPr>
              <w:t>48h</w:t>
            </w:r>
          </w:p>
        </w:tc>
      </w:tr>
      <w:tr w:rsidR="00EF65F1" w14:paraId="3B6CB7EA" w14:textId="77777777">
        <w:trPr>
          <w:trHeight w:val="315"/>
        </w:trPr>
        <w:tc>
          <w:tcPr>
            <w:tcW w:w="1430" w:type="pct"/>
            <w:tcBorders>
              <w:top w:val="nil"/>
              <w:left w:val="nil"/>
              <w:bottom w:val="nil"/>
              <w:right w:val="nil"/>
            </w:tcBorders>
            <w:shd w:val="clear" w:color="auto" w:fill="auto"/>
            <w:vAlign w:val="center"/>
            <w:hideMark/>
          </w:tcPr>
          <w:p w14:paraId="47332F62"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529" w:type="pct"/>
            <w:tcBorders>
              <w:top w:val="nil"/>
              <w:left w:val="nil"/>
              <w:bottom w:val="nil"/>
              <w:right w:val="nil"/>
            </w:tcBorders>
            <w:shd w:val="clear" w:color="auto" w:fill="auto"/>
            <w:noWrap/>
            <w:vAlign w:val="center"/>
            <w:hideMark/>
          </w:tcPr>
          <w:p w14:paraId="11AD8D1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1.5</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0.40</w:t>
            </w:r>
          </w:p>
        </w:tc>
        <w:tc>
          <w:tcPr>
            <w:tcW w:w="571" w:type="pct"/>
            <w:tcBorders>
              <w:top w:val="nil"/>
              <w:left w:val="nil"/>
              <w:bottom w:val="nil"/>
              <w:right w:val="nil"/>
            </w:tcBorders>
            <w:shd w:val="clear" w:color="auto" w:fill="auto"/>
            <w:noWrap/>
            <w:vAlign w:val="center"/>
            <w:hideMark/>
          </w:tcPr>
          <w:p w14:paraId="4A0A273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3.3</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0.10</w:t>
            </w:r>
          </w:p>
        </w:tc>
        <w:tc>
          <w:tcPr>
            <w:tcW w:w="675" w:type="pct"/>
            <w:tcBorders>
              <w:top w:val="nil"/>
              <w:left w:val="nil"/>
              <w:bottom w:val="nil"/>
              <w:right w:val="nil"/>
            </w:tcBorders>
            <w:shd w:val="clear" w:color="auto" w:fill="auto"/>
            <w:noWrap/>
            <w:vAlign w:val="center"/>
            <w:hideMark/>
          </w:tcPr>
          <w:p w14:paraId="0290030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11.0</w:t>
            </w:r>
            <w:r>
              <w:rPr>
                <w:rFonts w:ascii="Times New Roman" w:eastAsia="Times New Roman" w:hAnsi="Times New Roman" w:cs="Times New Roman"/>
                <w:color w:val="000000"/>
                <w:sz w:val="22"/>
                <w:szCs w:val="22"/>
                <w:vertAlign w:val="superscript"/>
                <w:lang w:eastAsia="en-ZA"/>
              </w:rPr>
              <w:t>abc</w:t>
            </w:r>
            <w:r>
              <w:rPr>
                <w:rFonts w:ascii="Times New Roman" w:eastAsia="Times New Roman" w:hAnsi="Times New Roman" w:cs="Times New Roman"/>
                <w:color w:val="000000"/>
                <w:sz w:val="22"/>
                <w:szCs w:val="22"/>
                <w:lang w:eastAsia="en-ZA"/>
              </w:rPr>
              <w:t xml:space="preserve"> ± 1.4</w:t>
            </w:r>
          </w:p>
        </w:tc>
        <w:tc>
          <w:tcPr>
            <w:tcW w:w="554" w:type="pct"/>
            <w:tcBorders>
              <w:top w:val="nil"/>
              <w:left w:val="nil"/>
              <w:bottom w:val="nil"/>
              <w:right w:val="nil"/>
            </w:tcBorders>
            <w:shd w:val="clear" w:color="auto" w:fill="auto"/>
            <w:noWrap/>
            <w:vAlign w:val="center"/>
            <w:hideMark/>
          </w:tcPr>
          <w:p w14:paraId="69D0583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24.9 ± 2.10</w:t>
            </w:r>
          </w:p>
        </w:tc>
        <w:tc>
          <w:tcPr>
            <w:tcW w:w="554" w:type="pct"/>
            <w:tcBorders>
              <w:top w:val="nil"/>
              <w:left w:val="nil"/>
              <w:bottom w:val="nil"/>
              <w:right w:val="nil"/>
            </w:tcBorders>
            <w:shd w:val="clear" w:color="auto" w:fill="auto"/>
            <w:noWrap/>
            <w:vAlign w:val="center"/>
            <w:hideMark/>
          </w:tcPr>
          <w:p w14:paraId="78D6074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62.5 ± 4.56</w:t>
            </w:r>
          </w:p>
        </w:tc>
        <w:tc>
          <w:tcPr>
            <w:tcW w:w="687" w:type="pct"/>
            <w:tcBorders>
              <w:top w:val="nil"/>
              <w:left w:val="nil"/>
              <w:bottom w:val="nil"/>
              <w:right w:val="nil"/>
            </w:tcBorders>
            <w:shd w:val="clear" w:color="auto" w:fill="auto"/>
            <w:noWrap/>
            <w:vAlign w:val="center"/>
            <w:hideMark/>
          </w:tcPr>
          <w:p w14:paraId="45E348C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110.7 ± 6.65</w:t>
            </w:r>
          </w:p>
        </w:tc>
      </w:tr>
      <w:tr w:rsidR="00EF65F1" w14:paraId="768BF364" w14:textId="77777777">
        <w:trPr>
          <w:trHeight w:val="315"/>
        </w:trPr>
        <w:tc>
          <w:tcPr>
            <w:tcW w:w="1430" w:type="pct"/>
            <w:tcBorders>
              <w:top w:val="nil"/>
              <w:left w:val="nil"/>
              <w:bottom w:val="nil"/>
              <w:right w:val="nil"/>
            </w:tcBorders>
            <w:shd w:val="clear" w:color="auto" w:fill="auto"/>
            <w:vAlign w:val="center"/>
            <w:hideMark/>
          </w:tcPr>
          <w:p w14:paraId="54D864D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Monensin</w:t>
            </w:r>
          </w:p>
        </w:tc>
        <w:tc>
          <w:tcPr>
            <w:tcW w:w="529" w:type="pct"/>
            <w:tcBorders>
              <w:top w:val="nil"/>
              <w:left w:val="nil"/>
              <w:bottom w:val="nil"/>
              <w:right w:val="nil"/>
            </w:tcBorders>
            <w:shd w:val="clear" w:color="auto" w:fill="auto"/>
            <w:noWrap/>
            <w:vAlign w:val="center"/>
            <w:hideMark/>
          </w:tcPr>
          <w:p w14:paraId="0CA2A93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1.9</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0.23</w:t>
            </w:r>
          </w:p>
        </w:tc>
        <w:tc>
          <w:tcPr>
            <w:tcW w:w="571" w:type="pct"/>
            <w:tcBorders>
              <w:top w:val="nil"/>
              <w:left w:val="nil"/>
              <w:bottom w:val="nil"/>
              <w:right w:val="nil"/>
            </w:tcBorders>
            <w:shd w:val="clear" w:color="auto" w:fill="auto"/>
            <w:noWrap/>
            <w:vAlign w:val="center"/>
            <w:hideMark/>
          </w:tcPr>
          <w:p w14:paraId="574158A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3.7</w:t>
            </w:r>
            <w:r>
              <w:rPr>
                <w:rFonts w:ascii="Times New Roman" w:eastAsia="Times New Roman" w:hAnsi="Times New Roman" w:cs="Times New Roman"/>
                <w:color w:val="000000"/>
                <w:sz w:val="22"/>
                <w:szCs w:val="22"/>
                <w:vertAlign w:val="superscript"/>
                <w:lang w:eastAsia="en-ZA"/>
              </w:rPr>
              <w:t xml:space="preserve"> ab</w:t>
            </w:r>
            <w:r>
              <w:rPr>
                <w:rFonts w:ascii="Times New Roman" w:eastAsia="Times New Roman" w:hAnsi="Times New Roman" w:cs="Times New Roman"/>
                <w:color w:val="000000"/>
                <w:sz w:val="22"/>
                <w:szCs w:val="22"/>
                <w:lang w:eastAsia="en-ZA"/>
              </w:rPr>
              <w:t xml:space="preserve"> ± 0.57</w:t>
            </w:r>
          </w:p>
        </w:tc>
        <w:tc>
          <w:tcPr>
            <w:tcW w:w="675" w:type="pct"/>
            <w:tcBorders>
              <w:top w:val="nil"/>
              <w:left w:val="nil"/>
              <w:bottom w:val="nil"/>
              <w:right w:val="nil"/>
            </w:tcBorders>
            <w:shd w:val="clear" w:color="auto" w:fill="auto"/>
            <w:noWrap/>
            <w:vAlign w:val="center"/>
            <w:hideMark/>
          </w:tcPr>
          <w:p w14:paraId="00F3AE3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11.9</w:t>
            </w:r>
            <w:r>
              <w:rPr>
                <w:rFonts w:ascii="Times New Roman" w:eastAsia="Times New Roman" w:hAnsi="Times New Roman" w:cs="Times New Roman"/>
                <w:color w:val="000000"/>
                <w:sz w:val="22"/>
                <w:szCs w:val="22"/>
                <w:vertAlign w:val="superscript"/>
                <w:lang w:eastAsia="en-ZA"/>
              </w:rPr>
              <w:t>abc</w:t>
            </w:r>
            <w:r>
              <w:rPr>
                <w:rFonts w:ascii="Times New Roman" w:eastAsia="Times New Roman" w:hAnsi="Times New Roman" w:cs="Times New Roman"/>
                <w:color w:val="000000"/>
                <w:sz w:val="22"/>
                <w:szCs w:val="22"/>
                <w:lang w:eastAsia="en-ZA"/>
              </w:rPr>
              <w:t xml:space="preserve"> ± 1.27</w:t>
            </w:r>
          </w:p>
        </w:tc>
        <w:tc>
          <w:tcPr>
            <w:tcW w:w="554" w:type="pct"/>
            <w:tcBorders>
              <w:top w:val="nil"/>
              <w:left w:val="nil"/>
              <w:bottom w:val="nil"/>
              <w:right w:val="nil"/>
            </w:tcBorders>
            <w:shd w:val="clear" w:color="auto" w:fill="auto"/>
            <w:noWrap/>
            <w:vAlign w:val="center"/>
            <w:hideMark/>
          </w:tcPr>
          <w:p w14:paraId="1F6ED41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25.0 ± 1.84</w:t>
            </w:r>
          </w:p>
        </w:tc>
        <w:tc>
          <w:tcPr>
            <w:tcW w:w="554" w:type="pct"/>
            <w:tcBorders>
              <w:top w:val="nil"/>
              <w:left w:val="nil"/>
              <w:bottom w:val="nil"/>
              <w:right w:val="nil"/>
            </w:tcBorders>
            <w:shd w:val="clear" w:color="auto" w:fill="auto"/>
            <w:noWrap/>
            <w:vAlign w:val="center"/>
            <w:hideMark/>
          </w:tcPr>
          <w:p w14:paraId="79CA351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60.8 ± 3.25</w:t>
            </w:r>
          </w:p>
        </w:tc>
        <w:tc>
          <w:tcPr>
            <w:tcW w:w="687" w:type="pct"/>
            <w:tcBorders>
              <w:top w:val="nil"/>
              <w:left w:val="nil"/>
              <w:bottom w:val="nil"/>
              <w:right w:val="nil"/>
            </w:tcBorders>
            <w:shd w:val="clear" w:color="auto" w:fill="auto"/>
            <w:noWrap/>
            <w:vAlign w:val="center"/>
            <w:hideMark/>
          </w:tcPr>
          <w:p w14:paraId="5D6493E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106.9 ± 4.81</w:t>
            </w:r>
          </w:p>
        </w:tc>
      </w:tr>
      <w:tr w:rsidR="00EF65F1" w14:paraId="31186D3B" w14:textId="77777777">
        <w:trPr>
          <w:trHeight w:val="315"/>
        </w:trPr>
        <w:tc>
          <w:tcPr>
            <w:tcW w:w="1430" w:type="pct"/>
            <w:tcBorders>
              <w:top w:val="nil"/>
              <w:left w:val="nil"/>
              <w:bottom w:val="nil"/>
              <w:right w:val="nil"/>
            </w:tcBorders>
            <w:shd w:val="clear" w:color="auto" w:fill="auto"/>
            <w:vAlign w:val="center"/>
            <w:hideMark/>
          </w:tcPr>
          <w:p w14:paraId="72052CAD"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529" w:type="pct"/>
            <w:tcBorders>
              <w:top w:val="nil"/>
              <w:left w:val="nil"/>
              <w:bottom w:val="nil"/>
              <w:right w:val="nil"/>
            </w:tcBorders>
            <w:shd w:val="clear" w:color="auto" w:fill="auto"/>
            <w:noWrap/>
            <w:vAlign w:val="center"/>
            <w:hideMark/>
          </w:tcPr>
          <w:p w14:paraId="4B8FD1A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0.67</w:t>
            </w:r>
          </w:p>
        </w:tc>
        <w:tc>
          <w:tcPr>
            <w:tcW w:w="571" w:type="pct"/>
            <w:tcBorders>
              <w:top w:val="nil"/>
              <w:left w:val="nil"/>
              <w:bottom w:val="nil"/>
              <w:right w:val="nil"/>
            </w:tcBorders>
            <w:shd w:val="clear" w:color="auto" w:fill="auto"/>
            <w:noWrap/>
            <w:vAlign w:val="center"/>
            <w:hideMark/>
          </w:tcPr>
          <w:p w14:paraId="676B91D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2.7</w:t>
            </w:r>
            <w:r>
              <w:rPr>
                <w:rFonts w:ascii="Times New Roman" w:eastAsia="Times New Roman" w:hAnsi="Times New Roman" w:cs="Times New Roman"/>
                <w:color w:val="000000"/>
                <w:sz w:val="22"/>
                <w:szCs w:val="22"/>
                <w:vertAlign w:val="superscript"/>
                <w:lang w:eastAsia="en-ZA"/>
              </w:rPr>
              <w:t xml:space="preserve"> b</w:t>
            </w:r>
            <w:r>
              <w:rPr>
                <w:rFonts w:ascii="Times New Roman" w:eastAsia="Times New Roman" w:hAnsi="Times New Roman" w:cs="Times New Roman"/>
                <w:color w:val="000000"/>
                <w:sz w:val="22"/>
                <w:szCs w:val="22"/>
                <w:lang w:eastAsia="en-ZA"/>
              </w:rPr>
              <w:t xml:space="preserve"> ± 0.97</w:t>
            </w:r>
          </w:p>
        </w:tc>
        <w:tc>
          <w:tcPr>
            <w:tcW w:w="675" w:type="pct"/>
            <w:tcBorders>
              <w:top w:val="nil"/>
              <w:left w:val="nil"/>
              <w:bottom w:val="nil"/>
              <w:right w:val="nil"/>
            </w:tcBorders>
            <w:shd w:val="clear" w:color="auto" w:fill="auto"/>
            <w:noWrap/>
            <w:vAlign w:val="center"/>
            <w:hideMark/>
          </w:tcPr>
          <w:p w14:paraId="24C5F31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10.2</w:t>
            </w:r>
            <w:r>
              <w:rPr>
                <w:rFonts w:ascii="Times New Roman" w:eastAsia="Times New Roman" w:hAnsi="Times New Roman" w:cs="Times New Roman"/>
                <w:color w:val="000000"/>
                <w:sz w:val="22"/>
                <w:szCs w:val="22"/>
                <w:vertAlign w:val="superscript"/>
                <w:lang w:eastAsia="en-ZA"/>
              </w:rPr>
              <w:t>c</w:t>
            </w:r>
            <w:r>
              <w:rPr>
                <w:rFonts w:ascii="Times New Roman" w:eastAsia="Times New Roman" w:hAnsi="Times New Roman" w:cs="Times New Roman"/>
                <w:color w:val="000000"/>
                <w:sz w:val="22"/>
                <w:szCs w:val="22"/>
                <w:lang w:eastAsia="en-ZA"/>
              </w:rPr>
              <w:t xml:space="preserve"> ± 2.80</w:t>
            </w:r>
          </w:p>
        </w:tc>
        <w:tc>
          <w:tcPr>
            <w:tcW w:w="554" w:type="pct"/>
            <w:tcBorders>
              <w:top w:val="nil"/>
              <w:left w:val="nil"/>
              <w:bottom w:val="nil"/>
              <w:right w:val="nil"/>
            </w:tcBorders>
            <w:shd w:val="clear" w:color="auto" w:fill="auto"/>
            <w:noWrap/>
            <w:vAlign w:val="center"/>
            <w:hideMark/>
          </w:tcPr>
          <w:p w14:paraId="590A9B7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24.1 ± 2.49</w:t>
            </w:r>
          </w:p>
        </w:tc>
        <w:tc>
          <w:tcPr>
            <w:tcW w:w="554" w:type="pct"/>
            <w:tcBorders>
              <w:top w:val="nil"/>
              <w:left w:val="nil"/>
              <w:bottom w:val="nil"/>
              <w:right w:val="nil"/>
            </w:tcBorders>
            <w:shd w:val="clear" w:color="auto" w:fill="auto"/>
            <w:noWrap/>
            <w:vAlign w:val="center"/>
            <w:hideMark/>
          </w:tcPr>
          <w:p w14:paraId="06FBA26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62.2 ± 5.29</w:t>
            </w:r>
          </w:p>
        </w:tc>
        <w:tc>
          <w:tcPr>
            <w:tcW w:w="687" w:type="pct"/>
            <w:tcBorders>
              <w:top w:val="nil"/>
              <w:left w:val="nil"/>
              <w:bottom w:val="nil"/>
              <w:right w:val="nil"/>
            </w:tcBorders>
            <w:shd w:val="clear" w:color="auto" w:fill="auto"/>
            <w:noWrap/>
            <w:vAlign w:val="center"/>
            <w:hideMark/>
          </w:tcPr>
          <w:p w14:paraId="7E918E9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112.1 ± 5.40</w:t>
            </w:r>
          </w:p>
        </w:tc>
      </w:tr>
      <w:tr w:rsidR="00EF65F1" w14:paraId="166D6689" w14:textId="77777777">
        <w:trPr>
          <w:trHeight w:val="300"/>
        </w:trPr>
        <w:tc>
          <w:tcPr>
            <w:tcW w:w="1430" w:type="pct"/>
            <w:tcBorders>
              <w:top w:val="nil"/>
              <w:left w:val="nil"/>
              <w:bottom w:val="nil"/>
              <w:right w:val="nil"/>
            </w:tcBorders>
            <w:shd w:val="clear" w:color="auto" w:fill="auto"/>
            <w:noWrap/>
            <w:vAlign w:val="center"/>
            <w:hideMark/>
          </w:tcPr>
          <w:p w14:paraId="11234EC6"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529" w:type="pct"/>
            <w:tcBorders>
              <w:top w:val="nil"/>
              <w:left w:val="nil"/>
              <w:bottom w:val="nil"/>
              <w:right w:val="nil"/>
            </w:tcBorders>
            <w:shd w:val="clear" w:color="auto" w:fill="auto"/>
            <w:noWrap/>
            <w:vAlign w:val="center"/>
            <w:hideMark/>
          </w:tcPr>
          <w:p w14:paraId="1291A95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1.5</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0.13</w:t>
            </w:r>
          </w:p>
        </w:tc>
        <w:tc>
          <w:tcPr>
            <w:tcW w:w="571" w:type="pct"/>
            <w:tcBorders>
              <w:top w:val="nil"/>
              <w:left w:val="nil"/>
              <w:bottom w:val="nil"/>
              <w:right w:val="nil"/>
            </w:tcBorders>
            <w:shd w:val="clear" w:color="auto" w:fill="auto"/>
            <w:noWrap/>
            <w:vAlign w:val="center"/>
            <w:hideMark/>
          </w:tcPr>
          <w:p w14:paraId="791A5D4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3.4</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0.57</w:t>
            </w:r>
          </w:p>
        </w:tc>
        <w:tc>
          <w:tcPr>
            <w:tcW w:w="675" w:type="pct"/>
            <w:tcBorders>
              <w:top w:val="nil"/>
              <w:left w:val="nil"/>
              <w:bottom w:val="nil"/>
              <w:right w:val="nil"/>
            </w:tcBorders>
            <w:shd w:val="clear" w:color="auto" w:fill="auto"/>
            <w:noWrap/>
            <w:vAlign w:val="center"/>
            <w:hideMark/>
          </w:tcPr>
          <w:p w14:paraId="03792B2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10.0</w:t>
            </w:r>
            <w:r>
              <w:rPr>
                <w:rFonts w:ascii="Times New Roman" w:eastAsia="Times New Roman" w:hAnsi="Times New Roman" w:cs="Times New Roman"/>
                <w:color w:val="000000"/>
                <w:sz w:val="22"/>
                <w:szCs w:val="22"/>
                <w:vertAlign w:val="superscript"/>
                <w:lang w:eastAsia="en-ZA"/>
              </w:rPr>
              <w:t>c</w:t>
            </w:r>
            <w:r>
              <w:rPr>
                <w:rFonts w:ascii="Times New Roman" w:eastAsia="Times New Roman" w:hAnsi="Times New Roman" w:cs="Times New Roman"/>
                <w:color w:val="000000"/>
                <w:sz w:val="22"/>
                <w:szCs w:val="22"/>
                <w:lang w:eastAsia="en-ZA"/>
              </w:rPr>
              <w:t xml:space="preserve"> ± 1.00</w:t>
            </w:r>
          </w:p>
        </w:tc>
        <w:tc>
          <w:tcPr>
            <w:tcW w:w="554" w:type="pct"/>
            <w:tcBorders>
              <w:top w:val="nil"/>
              <w:left w:val="nil"/>
              <w:bottom w:val="nil"/>
              <w:right w:val="nil"/>
            </w:tcBorders>
            <w:shd w:val="clear" w:color="auto" w:fill="auto"/>
            <w:noWrap/>
            <w:vAlign w:val="center"/>
            <w:hideMark/>
          </w:tcPr>
          <w:p w14:paraId="5A7895F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23.4 ± 1.16</w:t>
            </w:r>
          </w:p>
        </w:tc>
        <w:tc>
          <w:tcPr>
            <w:tcW w:w="554" w:type="pct"/>
            <w:tcBorders>
              <w:top w:val="nil"/>
              <w:left w:val="nil"/>
              <w:bottom w:val="nil"/>
              <w:right w:val="nil"/>
            </w:tcBorders>
            <w:shd w:val="clear" w:color="auto" w:fill="auto"/>
            <w:noWrap/>
            <w:vAlign w:val="center"/>
            <w:hideMark/>
          </w:tcPr>
          <w:p w14:paraId="5F1ECE3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61.8 ± 3.51</w:t>
            </w:r>
          </w:p>
        </w:tc>
        <w:tc>
          <w:tcPr>
            <w:tcW w:w="687" w:type="pct"/>
            <w:tcBorders>
              <w:top w:val="nil"/>
              <w:left w:val="nil"/>
              <w:bottom w:val="nil"/>
              <w:right w:val="nil"/>
            </w:tcBorders>
            <w:shd w:val="clear" w:color="auto" w:fill="auto"/>
            <w:noWrap/>
            <w:vAlign w:val="center"/>
            <w:hideMark/>
          </w:tcPr>
          <w:p w14:paraId="3BD9325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109.2 ± 7.41</w:t>
            </w:r>
          </w:p>
        </w:tc>
      </w:tr>
      <w:tr w:rsidR="00EF65F1" w14:paraId="3EDE3CA0" w14:textId="77777777">
        <w:trPr>
          <w:trHeight w:val="300"/>
        </w:trPr>
        <w:tc>
          <w:tcPr>
            <w:tcW w:w="1430" w:type="pct"/>
            <w:tcBorders>
              <w:top w:val="nil"/>
              <w:left w:val="nil"/>
              <w:bottom w:val="nil"/>
              <w:right w:val="nil"/>
            </w:tcBorders>
            <w:shd w:val="clear" w:color="auto" w:fill="auto"/>
            <w:noWrap/>
            <w:vAlign w:val="center"/>
            <w:hideMark/>
          </w:tcPr>
          <w:p w14:paraId="7E036650"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529" w:type="pct"/>
            <w:tcBorders>
              <w:top w:val="nil"/>
              <w:left w:val="nil"/>
              <w:bottom w:val="nil"/>
              <w:right w:val="nil"/>
            </w:tcBorders>
            <w:shd w:val="clear" w:color="auto" w:fill="auto"/>
            <w:noWrap/>
            <w:vAlign w:val="center"/>
            <w:hideMark/>
          </w:tcPr>
          <w:p w14:paraId="6379156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0.40</w:t>
            </w:r>
          </w:p>
        </w:tc>
        <w:tc>
          <w:tcPr>
            <w:tcW w:w="571" w:type="pct"/>
            <w:tcBorders>
              <w:top w:val="nil"/>
              <w:left w:val="nil"/>
              <w:bottom w:val="nil"/>
              <w:right w:val="nil"/>
            </w:tcBorders>
            <w:shd w:val="clear" w:color="auto" w:fill="auto"/>
            <w:noWrap/>
            <w:vAlign w:val="center"/>
            <w:hideMark/>
          </w:tcPr>
          <w:p w14:paraId="3736101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4.2</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0.78</w:t>
            </w:r>
          </w:p>
        </w:tc>
        <w:tc>
          <w:tcPr>
            <w:tcW w:w="675" w:type="pct"/>
            <w:tcBorders>
              <w:top w:val="nil"/>
              <w:left w:val="nil"/>
              <w:bottom w:val="nil"/>
              <w:right w:val="nil"/>
            </w:tcBorders>
            <w:shd w:val="clear" w:color="auto" w:fill="auto"/>
            <w:noWrap/>
            <w:vAlign w:val="center"/>
            <w:hideMark/>
          </w:tcPr>
          <w:p w14:paraId="3013303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12.6</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1.53</w:t>
            </w:r>
          </w:p>
        </w:tc>
        <w:tc>
          <w:tcPr>
            <w:tcW w:w="554" w:type="pct"/>
            <w:tcBorders>
              <w:top w:val="nil"/>
              <w:left w:val="nil"/>
              <w:bottom w:val="nil"/>
              <w:right w:val="nil"/>
            </w:tcBorders>
            <w:shd w:val="clear" w:color="auto" w:fill="auto"/>
            <w:noWrap/>
            <w:vAlign w:val="center"/>
            <w:hideMark/>
          </w:tcPr>
          <w:p w14:paraId="6B2EB31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25.4 ± 2.48</w:t>
            </w:r>
          </w:p>
        </w:tc>
        <w:tc>
          <w:tcPr>
            <w:tcW w:w="554" w:type="pct"/>
            <w:tcBorders>
              <w:top w:val="nil"/>
              <w:left w:val="nil"/>
              <w:bottom w:val="nil"/>
              <w:right w:val="nil"/>
            </w:tcBorders>
            <w:shd w:val="clear" w:color="auto" w:fill="auto"/>
            <w:noWrap/>
            <w:vAlign w:val="center"/>
            <w:hideMark/>
          </w:tcPr>
          <w:p w14:paraId="7999106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63.0 ± 3.89</w:t>
            </w:r>
          </w:p>
        </w:tc>
        <w:tc>
          <w:tcPr>
            <w:tcW w:w="687" w:type="pct"/>
            <w:tcBorders>
              <w:top w:val="nil"/>
              <w:left w:val="nil"/>
              <w:bottom w:val="nil"/>
              <w:right w:val="nil"/>
            </w:tcBorders>
            <w:shd w:val="clear" w:color="auto" w:fill="auto"/>
            <w:noWrap/>
            <w:vAlign w:val="center"/>
            <w:hideMark/>
          </w:tcPr>
          <w:p w14:paraId="00184A1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110.9 ± 7.52</w:t>
            </w:r>
          </w:p>
        </w:tc>
      </w:tr>
      <w:tr w:rsidR="00EF65F1" w14:paraId="5BFBDCB0" w14:textId="77777777">
        <w:trPr>
          <w:trHeight w:val="300"/>
        </w:trPr>
        <w:tc>
          <w:tcPr>
            <w:tcW w:w="1430" w:type="pct"/>
            <w:tcBorders>
              <w:top w:val="nil"/>
              <w:left w:val="nil"/>
              <w:bottom w:val="nil"/>
              <w:right w:val="nil"/>
            </w:tcBorders>
            <w:shd w:val="clear" w:color="auto" w:fill="auto"/>
            <w:noWrap/>
            <w:vAlign w:val="center"/>
            <w:hideMark/>
          </w:tcPr>
          <w:p w14:paraId="6EC8A6C8"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529" w:type="pct"/>
            <w:tcBorders>
              <w:top w:val="nil"/>
              <w:left w:val="nil"/>
              <w:bottom w:val="nil"/>
              <w:right w:val="nil"/>
            </w:tcBorders>
            <w:shd w:val="clear" w:color="auto" w:fill="auto"/>
            <w:noWrap/>
            <w:vAlign w:val="center"/>
            <w:hideMark/>
          </w:tcPr>
          <w:p w14:paraId="22B33A4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1.05</w:t>
            </w:r>
          </w:p>
        </w:tc>
        <w:tc>
          <w:tcPr>
            <w:tcW w:w="571" w:type="pct"/>
            <w:tcBorders>
              <w:top w:val="nil"/>
              <w:left w:val="nil"/>
              <w:bottom w:val="nil"/>
              <w:right w:val="nil"/>
            </w:tcBorders>
            <w:shd w:val="clear" w:color="auto" w:fill="auto"/>
            <w:noWrap/>
            <w:vAlign w:val="center"/>
            <w:hideMark/>
          </w:tcPr>
          <w:p w14:paraId="50CF4D6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3.4</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0.89</w:t>
            </w:r>
          </w:p>
        </w:tc>
        <w:tc>
          <w:tcPr>
            <w:tcW w:w="675" w:type="pct"/>
            <w:tcBorders>
              <w:top w:val="nil"/>
              <w:left w:val="nil"/>
              <w:bottom w:val="nil"/>
              <w:right w:val="nil"/>
            </w:tcBorders>
            <w:shd w:val="clear" w:color="auto" w:fill="auto"/>
            <w:noWrap/>
            <w:vAlign w:val="center"/>
            <w:hideMark/>
          </w:tcPr>
          <w:p w14:paraId="3BD8FDD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12.0</w:t>
            </w:r>
            <w:r>
              <w:rPr>
                <w:rFonts w:ascii="Times New Roman" w:eastAsia="Times New Roman" w:hAnsi="Times New Roman" w:cs="Times New Roman"/>
                <w:color w:val="000000"/>
                <w:sz w:val="22"/>
                <w:szCs w:val="22"/>
                <w:vertAlign w:val="superscript"/>
                <w:lang w:eastAsia="en-ZA"/>
              </w:rPr>
              <w:t>abc</w:t>
            </w:r>
            <w:r>
              <w:rPr>
                <w:rFonts w:ascii="Times New Roman" w:eastAsia="Times New Roman" w:hAnsi="Times New Roman" w:cs="Times New Roman"/>
                <w:color w:val="000000"/>
                <w:sz w:val="22"/>
                <w:szCs w:val="22"/>
                <w:lang w:eastAsia="en-ZA"/>
              </w:rPr>
              <w:t xml:space="preserve"> ± 1.81</w:t>
            </w:r>
          </w:p>
        </w:tc>
        <w:tc>
          <w:tcPr>
            <w:tcW w:w="554" w:type="pct"/>
            <w:tcBorders>
              <w:top w:val="nil"/>
              <w:left w:val="nil"/>
              <w:bottom w:val="nil"/>
              <w:right w:val="nil"/>
            </w:tcBorders>
            <w:shd w:val="clear" w:color="auto" w:fill="auto"/>
            <w:noWrap/>
            <w:vAlign w:val="center"/>
            <w:hideMark/>
          </w:tcPr>
          <w:p w14:paraId="0E8F45B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25.2 ± 3.61</w:t>
            </w:r>
          </w:p>
        </w:tc>
        <w:tc>
          <w:tcPr>
            <w:tcW w:w="554" w:type="pct"/>
            <w:tcBorders>
              <w:top w:val="nil"/>
              <w:left w:val="nil"/>
              <w:bottom w:val="nil"/>
              <w:right w:val="nil"/>
            </w:tcBorders>
            <w:shd w:val="clear" w:color="auto" w:fill="auto"/>
            <w:noWrap/>
            <w:vAlign w:val="center"/>
            <w:hideMark/>
          </w:tcPr>
          <w:p w14:paraId="2972A68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61.9 ± 6.22</w:t>
            </w:r>
          </w:p>
        </w:tc>
        <w:tc>
          <w:tcPr>
            <w:tcW w:w="687" w:type="pct"/>
            <w:tcBorders>
              <w:top w:val="nil"/>
              <w:left w:val="nil"/>
              <w:bottom w:val="nil"/>
              <w:right w:val="nil"/>
            </w:tcBorders>
            <w:shd w:val="clear" w:color="auto" w:fill="auto"/>
            <w:noWrap/>
            <w:vAlign w:val="center"/>
            <w:hideMark/>
          </w:tcPr>
          <w:p w14:paraId="2E6B0DC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111.1 ± 10.97</w:t>
            </w:r>
          </w:p>
        </w:tc>
      </w:tr>
      <w:tr w:rsidR="00EF65F1" w14:paraId="371E70F6" w14:textId="77777777">
        <w:trPr>
          <w:trHeight w:val="300"/>
        </w:trPr>
        <w:tc>
          <w:tcPr>
            <w:tcW w:w="1430" w:type="pct"/>
            <w:tcBorders>
              <w:top w:val="nil"/>
              <w:left w:val="nil"/>
              <w:bottom w:val="nil"/>
              <w:right w:val="nil"/>
            </w:tcBorders>
            <w:shd w:val="clear" w:color="auto" w:fill="auto"/>
            <w:noWrap/>
            <w:vAlign w:val="center"/>
            <w:hideMark/>
          </w:tcPr>
          <w:p w14:paraId="684E2686"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529" w:type="pct"/>
            <w:tcBorders>
              <w:top w:val="nil"/>
              <w:left w:val="nil"/>
              <w:bottom w:val="nil"/>
              <w:right w:val="nil"/>
            </w:tcBorders>
            <w:shd w:val="clear" w:color="auto" w:fill="auto"/>
            <w:noWrap/>
            <w:vAlign w:val="center"/>
            <w:hideMark/>
          </w:tcPr>
          <w:p w14:paraId="1928D3A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0.88</w:t>
            </w:r>
          </w:p>
        </w:tc>
        <w:tc>
          <w:tcPr>
            <w:tcW w:w="571" w:type="pct"/>
            <w:tcBorders>
              <w:top w:val="nil"/>
              <w:left w:val="nil"/>
              <w:bottom w:val="nil"/>
              <w:right w:val="nil"/>
            </w:tcBorders>
            <w:shd w:val="clear" w:color="auto" w:fill="auto"/>
            <w:noWrap/>
            <w:vAlign w:val="center"/>
            <w:hideMark/>
          </w:tcPr>
          <w:p w14:paraId="4E4D440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1.12</w:t>
            </w:r>
          </w:p>
        </w:tc>
        <w:tc>
          <w:tcPr>
            <w:tcW w:w="675" w:type="pct"/>
            <w:tcBorders>
              <w:top w:val="nil"/>
              <w:left w:val="nil"/>
              <w:bottom w:val="nil"/>
              <w:right w:val="nil"/>
            </w:tcBorders>
            <w:shd w:val="clear" w:color="auto" w:fill="auto"/>
            <w:noWrap/>
            <w:vAlign w:val="center"/>
            <w:hideMark/>
          </w:tcPr>
          <w:p w14:paraId="0537928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11.7</w:t>
            </w:r>
            <w:r>
              <w:rPr>
                <w:rFonts w:ascii="Times New Roman" w:eastAsia="Times New Roman" w:hAnsi="Times New Roman" w:cs="Times New Roman"/>
                <w:color w:val="000000"/>
                <w:sz w:val="22"/>
                <w:szCs w:val="22"/>
                <w:vertAlign w:val="superscript"/>
                <w:lang w:eastAsia="en-ZA"/>
              </w:rPr>
              <w:t>abc</w:t>
            </w:r>
            <w:r>
              <w:rPr>
                <w:rFonts w:ascii="Times New Roman" w:eastAsia="Times New Roman" w:hAnsi="Times New Roman" w:cs="Times New Roman"/>
                <w:color w:val="000000"/>
                <w:sz w:val="22"/>
                <w:szCs w:val="22"/>
                <w:lang w:eastAsia="en-ZA"/>
              </w:rPr>
              <w:t xml:space="preserve"> ± 2.03</w:t>
            </w:r>
          </w:p>
        </w:tc>
        <w:tc>
          <w:tcPr>
            <w:tcW w:w="554" w:type="pct"/>
            <w:tcBorders>
              <w:top w:val="nil"/>
              <w:left w:val="nil"/>
              <w:bottom w:val="nil"/>
              <w:right w:val="nil"/>
            </w:tcBorders>
            <w:shd w:val="clear" w:color="auto" w:fill="auto"/>
            <w:noWrap/>
            <w:vAlign w:val="center"/>
            <w:hideMark/>
          </w:tcPr>
          <w:p w14:paraId="3FFCA0D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25.4 ± 2.67</w:t>
            </w:r>
          </w:p>
        </w:tc>
        <w:tc>
          <w:tcPr>
            <w:tcW w:w="554" w:type="pct"/>
            <w:tcBorders>
              <w:top w:val="nil"/>
              <w:left w:val="nil"/>
              <w:bottom w:val="nil"/>
              <w:right w:val="nil"/>
            </w:tcBorders>
            <w:shd w:val="clear" w:color="auto" w:fill="auto"/>
            <w:noWrap/>
            <w:vAlign w:val="center"/>
            <w:hideMark/>
          </w:tcPr>
          <w:p w14:paraId="59B3AF4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62.6 ± 4.95</w:t>
            </w:r>
          </w:p>
        </w:tc>
        <w:tc>
          <w:tcPr>
            <w:tcW w:w="687" w:type="pct"/>
            <w:tcBorders>
              <w:top w:val="nil"/>
              <w:left w:val="nil"/>
              <w:bottom w:val="nil"/>
              <w:right w:val="nil"/>
            </w:tcBorders>
            <w:shd w:val="clear" w:color="auto" w:fill="auto"/>
            <w:noWrap/>
            <w:vAlign w:val="center"/>
            <w:hideMark/>
          </w:tcPr>
          <w:p w14:paraId="5D58EA3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109.4 ± 8.18</w:t>
            </w:r>
          </w:p>
        </w:tc>
      </w:tr>
      <w:tr w:rsidR="00EF65F1" w14:paraId="13CC2873" w14:textId="77777777">
        <w:trPr>
          <w:trHeight w:val="300"/>
        </w:trPr>
        <w:tc>
          <w:tcPr>
            <w:tcW w:w="1430" w:type="pct"/>
            <w:tcBorders>
              <w:top w:val="nil"/>
              <w:left w:val="nil"/>
              <w:bottom w:val="nil"/>
              <w:right w:val="nil"/>
            </w:tcBorders>
            <w:shd w:val="clear" w:color="auto" w:fill="auto"/>
            <w:noWrap/>
            <w:vAlign w:val="center"/>
            <w:hideMark/>
          </w:tcPr>
          <w:p w14:paraId="25E0688F"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529" w:type="pct"/>
            <w:tcBorders>
              <w:top w:val="nil"/>
              <w:left w:val="nil"/>
              <w:bottom w:val="nil"/>
              <w:right w:val="nil"/>
            </w:tcBorders>
            <w:shd w:val="clear" w:color="auto" w:fill="auto"/>
            <w:noWrap/>
            <w:vAlign w:val="center"/>
            <w:hideMark/>
          </w:tcPr>
          <w:p w14:paraId="2D17EB9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0.8</w:t>
            </w:r>
            <w:r>
              <w:rPr>
                <w:rFonts w:ascii="Times New Roman" w:eastAsia="Times New Roman" w:hAnsi="Times New Roman" w:cs="Times New Roman"/>
                <w:color w:val="000000"/>
                <w:sz w:val="22"/>
                <w:szCs w:val="22"/>
                <w:vertAlign w:val="superscript"/>
                <w:lang w:eastAsia="en-ZA"/>
              </w:rPr>
              <w:t>b</w:t>
            </w:r>
            <w:r>
              <w:rPr>
                <w:rFonts w:ascii="Times New Roman" w:eastAsia="Times New Roman" w:hAnsi="Times New Roman" w:cs="Times New Roman"/>
                <w:color w:val="000000"/>
                <w:sz w:val="22"/>
                <w:szCs w:val="22"/>
                <w:lang w:eastAsia="en-ZA"/>
              </w:rPr>
              <w:t xml:space="preserve"> ± 0.22</w:t>
            </w:r>
          </w:p>
        </w:tc>
        <w:tc>
          <w:tcPr>
            <w:tcW w:w="571" w:type="pct"/>
            <w:tcBorders>
              <w:top w:val="nil"/>
              <w:left w:val="nil"/>
              <w:bottom w:val="nil"/>
              <w:right w:val="nil"/>
            </w:tcBorders>
            <w:shd w:val="clear" w:color="auto" w:fill="auto"/>
            <w:noWrap/>
            <w:vAlign w:val="center"/>
            <w:hideMark/>
          </w:tcPr>
          <w:p w14:paraId="09B6288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w:t>
            </w:r>
            <w:r>
              <w:rPr>
                <w:rFonts w:ascii="Times New Roman" w:eastAsia="Times New Roman" w:hAnsi="Times New Roman" w:cs="Times New Roman"/>
                <w:color w:val="000000"/>
                <w:sz w:val="22"/>
                <w:szCs w:val="22"/>
                <w:vertAlign w:val="superscript"/>
                <w:lang w:eastAsia="en-ZA"/>
              </w:rPr>
              <w:t>b</w:t>
            </w:r>
            <w:r>
              <w:rPr>
                <w:rFonts w:ascii="Times New Roman" w:eastAsia="Times New Roman" w:hAnsi="Times New Roman" w:cs="Times New Roman"/>
                <w:color w:val="000000"/>
                <w:sz w:val="22"/>
                <w:szCs w:val="22"/>
                <w:lang w:eastAsia="en-ZA"/>
              </w:rPr>
              <w:t xml:space="preserve"> ± 0.20</w:t>
            </w:r>
          </w:p>
        </w:tc>
        <w:tc>
          <w:tcPr>
            <w:tcW w:w="675" w:type="pct"/>
            <w:tcBorders>
              <w:top w:val="nil"/>
              <w:left w:val="nil"/>
              <w:bottom w:val="nil"/>
              <w:right w:val="nil"/>
            </w:tcBorders>
            <w:shd w:val="clear" w:color="auto" w:fill="auto"/>
            <w:noWrap/>
            <w:vAlign w:val="center"/>
            <w:hideMark/>
          </w:tcPr>
          <w:p w14:paraId="2C3D4B4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10.8</w:t>
            </w:r>
            <w:r>
              <w:rPr>
                <w:rFonts w:ascii="Times New Roman" w:eastAsia="Times New Roman" w:hAnsi="Times New Roman" w:cs="Times New Roman"/>
                <w:color w:val="000000"/>
                <w:sz w:val="22"/>
                <w:szCs w:val="22"/>
                <w:vertAlign w:val="superscript"/>
                <w:lang w:eastAsia="en-ZA"/>
              </w:rPr>
              <w:t>abc</w:t>
            </w:r>
            <w:r>
              <w:rPr>
                <w:rFonts w:ascii="Times New Roman" w:eastAsia="Times New Roman" w:hAnsi="Times New Roman" w:cs="Times New Roman"/>
                <w:color w:val="000000"/>
                <w:sz w:val="22"/>
                <w:szCs w:val="22"/>
                <w:lang w:eastAsia="en-ZA"/>
              </w:rPr>
              <w:t xml:space="preserve"> ± 0.98</w:t>
            </w:r>
          </w:p>
        </w:tc>
        <w:tc>
          <w:tcPr>
            <w:tcW w:w="554" w:type="pct"/>
            <w:tcBorders>
              <w:top w:val="nil"/>
              <w:left w:val="nil"/>
              <w:bottom w:val="nil"/>
              <w:right w:val="nil"/>
            </w:tcBorders>
            <w:shd w:val="clear" w:color="auto" w:fill="auto"/>
            <w:noWrap/>
            <w:vAlign w:val="center"/>
            <w:hideMark/>
          </w:tcPr>
          <w:p w14:paraId="467E089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24.0 ± 1.28</w:t>
            </w:r>
          </w:p>
        </w:tc>
        <w:tc>
          <w:tcPr>
            <w:tcW w:w="554" w:type="pct"/>
            <w:tcBorders>
              <w:top w:val="nil"/>
              <w:left w:val="nil"/>
              <w:bottom w:val="nil"/>
              <w:right w:val="nil"/>
            </w:tcBorders>
            <w:shd w:val="clear" w:color="auto" w:fill="auto"/>
            <w:noWrap/>
            <w:vAlign w:val="center"/>
            <w:hideMark/>
          </w:tcPr>
          <w:p w14:paraId="6C1D216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61.0 ± 4.64</w:t>
            </w:r>
          </w:p>
        </w:tc>
        <w:tc>
          <w:tcPr>
            <w:tcW w:w="687" w:type="pct"/>
            <w:tcBorders>
              <w:top w:val="nil"/>
              <w:left w:val="nil"/>
              <w:bottom w:val="nil"/>
              <w:right w:val="nil"/>
            </w:tcBorders>
            <w:shd w:val="clear" w:color="auto" w:fill="auto"/>
            <w:noWrap/>
            <w:vAlign w:val="center"/>
            <w:hideMark/>
          </w:tcPr>
          <w:p w14:paraId="3496AF3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110.3 ± 4.81</w:t>
            </w:r>
          </w:p>
        </w:tc>
      </w:tr>
      <w:tr w:rsidR="00EF65F1" w14:paraId="3FFFA899" w14:textId="77777777">
        <w:trPr>
          <w:trHeight w:val="300"/>
        </w:trPr>
        <w:tc>
          <w:tcPr>
            <w:tcW w:w="1430" w:type="pct"/>
            <w:tcBorders>
              <w:top w:val="nil"/>
              <w:left w:val="nil"/>
              <w:bottom w:val="nil"/>
              <w:right w:val="nil"/>
            </w:tcBorders>
            <w:shd w:val="clear" w:color="auto" w:fill="auto"/>
            <w:noWrap/>
            <w:vAlign w:val="center"/>
            <w:hideMark/>
          </w:tcPr>
          <w:p w14:paraId="1A386CF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529" w:type="pct"/>
            <w:tcBorders>
              <w:top w:val="nil"/>
              <w:left w:val="nil"/>
              <w:bottom w:val="nil"/>
              <w:right w:val="nil"/>
            </w:tcBorders>
            <w:shd w:val="clear" w:color="auto" w:fill="auto"/>
            <w:noWrap/>
            <w:vAlign w:val="center"/>
            <w:hideMark/>
          </w:tcPr>
          <w:p w14:paraId="01B9FC0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0.35</w:t>
            </w:r>
          </w:p>
        </w:tc>
        <w:tc>
          <w:tcPr>
            <w:tcW w:w="571" w:type="pct"/>
            <w:tcBorders>
              <w:top w:val="nil"/>
              <w:left w:val="nil"/>
              <w:bottom w:val="nil"/>
              <w:right w:val="nil"/>
            </w:tcBorders>
            <w:shd w:val="clear" w:color="auto" w:fill="auto"/>
            <w:noWrap/>
            <w:vAlign w:val="center"/>
            <w:hideMark/>
          </w:tcPr>
          <w:p w14:paraId="570580E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4.2</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0.57</w:t>
            </w:r>
          </w:p>
        </w:tc>
        <w:tc>
          <w:tcPr>
            <w:tcW w:w="675" w:type="pct"/>
            <w:tcBorders>
              <w:top w:val="nil"/>
              <w:left w:val="nil"/>
              <w:bottom w:val="nil"/>
              <w:right w:val="nil"/>
            </w:tcBorders>
            <w:shd w:val="clear" w:color="auto" w:fill="auto"/>
            <w:noWrap/>
            <w:vAlign w:val="center"/>
            <w:hideMark/>
          </w:tcPr>
          <w:p w14:paraId="092E6C1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13.0</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1.32</w:t>
            </w:r>
          </w:p>
        </w:tc>
        <w:tc>
          <w:tcPr>
            <w:tcW w:w="554" w:type="pct"/>
            <w:tcBorders>
              <w:top w:val="nil"/>
              <w:left w:val="nil"/>
              <w:bottom w:val="nil"/>
              <w:right w:val="nil"/>
            </w:tcBorders>
            <w:shd w:val="clear" w:color="auto" w:fill="auto"/>
            <w:noWrap/>
            <w:vAlign w:val="center"/>
            <w:hideMark/>
          </w:tcPr>
          <w:p w14:paraId="54F5A73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25.9 ± 1.89</w:t>
            </w:r>
          </w:p>
        </w:tc>
        <w:tc>
          <w:tcPr>
            <w:tcW w:w="554" w:type="pct"/>
            <w:tcBorders>
              <w:top w:val="nil"/>
              <w:left w:val="nil"/>
              <w:bottom w:val="nil"/>
              <w:right w:val="nil"/>
            </w:tcBorders>
            <w:shd w:val="clear" w:color="auto" w:fill="auto"/>
            <w:noWrap/>
            <w:vAlign w:val="center"/>
            <w:hideMark/>
          </w:tcPr>
          <w:p w14:paraId="6F1CC24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60.8 ± 5.86</w:t>
            </w:r>
          </w:p>
        </w:tc>
        <w:tc>
          <w:tcPr>
            <w:tcW w:w="687" w:type="pct"/>
            <w:tcBorders>
              <w:top w:val="nil"/>
              <w:left w:val="nil"/>
              <w:bottom w:val="nil"/>
              <w:right w:val="nil"/>
            </w:tcBorders>
            <w:shd w:val="clear" w:color="auto" w:fill="auto"/>
            <w:noWrap/>
            <w:vAlign w:val="center"/>
            <w:hideMark/>
          </w:tcPr>
          <w:p w14:paraId="3D56A4D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110.8 ± 8.65</w:t>
            </w:r>
          </w:p>
        </w:tc>
      </w:tr>
      <w:tr w:rsidR="00EF65F1" w14:paraId="0D01FFBA" w14:textId="77777777">
        <w:trPr>
          <w:trHeight w:val="300"/>
        </w:trPr>
        <w:tc>
          <w:tcPr>
            <w:tcW w:w="1430" w:type="pct"/>
            <w:tcBorders>
              <w:top w:val="nil"/>
              <w:left w:val="nil"/>
              <w:bottom w:val="nil"/>
              <w:right w:val="nil"/>
            </w:tcBorders>
            <w:shd w:val="clear" w:color="auto" w:fill="auto"/>
            <w:noWrap/>
            <w:vAlign w:val="center"/>
            <w:hideMark/>
          </w:tcPr>
          <w:p w14:paraId="4DF3C827"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529" w:type="pct"/>
            <w:tcBorders>
              <w:top w:val="nil"/>
              <w:left w:val="nil"/>
              <w:bottom w:val="nil"/>
              <w:right w:val="nil"/>
            </w:tcBorders>
            <w:shd w:val="clear" w:color="auto" w:fill="auto"/>
            <w:noWrap/>
            <w:vAlign w:val="center"/>
            <w:hideMark/>
          </w:tcPr>
          <w:p w14:paraId="1C52607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0.45</w:t>
            </w:r>
          </w:p>
        </w:tc>
        <w:tc>
          <w:tcPr>
            <w:tcW w:w="571" w:type="pct"/>
            <w:tcBorders>
              <w:top w:val="nil"/>
              <w:left w:val="nil"/>
              <w:bottom w:val="nil"/>
              <w:right w:val="nil"/>
            </w:tcBorders>
            <w:shd w:val="clear" w:color="auto" w:fill="auto"/>
            <w:noWrap/>
            <w:vAlign w:val="center"/>
            <w:hideMark/>
          </w:tcPr>
          <w:p w14:paraId="1F4B054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2.8</w:t>
            </w:r>
            <w:r>
              <w:rPr>
                <w:rFonts w:ascii="Times New Roman" w:eastAsia="Times New Roman" w:hAnsi="Times New Roman" w:cs="Times New Roman"/>
                <w:color w:val="000000"/>
                <w:sz w:val="22"/>
                <w:szCs w:val="22"/>
                <w:vertAlign w:val="superscript"/>
                <w:lang w:eastAsia="en-ZA"/>
              </w:rPr>
              <w:t xml:space="preserve"> ab</w:t>
            </w:r>
            <w:r>
              <w:rPr>
                <w:rFonts w:ascii="Times New Roman" w:eastAsia="Times New Roman" w:hAnsi="Times New Roman" w:cs="Times New Roman"/>
                <w:color w:val="000000"/>
                <w:sz w:val="22"/>
                <w:szCs w:val="22"/>
                <w:lang w:eastAsia="en-ZA"/>
              </w:rPr>
              <w:t xml:space="preserve"> ± 0.83</w:t>
            </w:r>
          </w:p>
        </w:tc>
        <w:tc>
          <w:tcPr>
            <w:tcW w:w="675" w:type="pct"/>
            <w:tcBorders>
              <w:top w:val="nil"/>
              <w:left w:val="nil"/>
              <w:bottom w:val="nil"/>
              <w:right w:val="nil"/>
            </w:tcBorders>
            <w:shd w:val="clear" w:color="auto" w:fill="auto"/>
            <w:noWrap/>
            <w:vAlign w:val="center"/>
            <w:hideMark/>
          </w:tcPr>
          <w:p w14:paraId="1C16450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10.6</w:t>
            </w:r>
            <w:r>
              <w:rPr>
                <w:rFonts w:ascii="Times New Roman" w:eastAsia="Times New Roman" w:hAnsi="Times New Roman" w:cs="Times New Roman"/>
                <w:color w:val="000000"/>
                <w:sz w:val="22"/>
                <w:szCs w:val="22"/>
                <w:vertAlign w:val="superscript"/>
                <w:lang w:eastAsia="en-ZA"/>
              </w:rPr>
              <w:t>bc</w:t>
            </w:r>
            <w:r>
              <w:rPr>
                <w:rFonts w:ascii="Times New Roman" w:eastAsia="Times New Roman" w:hAnsi="Times New Roman" w:cs="Times New Roman"/>
                <w:color w:val="000000"/>
                <w:sz w:val="22"/>
                <w:szCs w:val="22"/>
                <w:lang w:eastAsia="en-ZA"/>
              </w:rPr>
              <w:t xml:space="preserve"> ± 1.92</w:t>
            </w:r>
          </w:p>
        </w:tc>
        <w:tc>
          <w:tcPr>
            <w:tcW w:w="554" w:type="pct"/>
            <w:tcBorders>
              <w:top w:val="nil"/>
              <w:left w:val="nil"/>
              <w:bottom w:val="nil"/>
              <w:right w:val="nil"/>
            </w:tcBorders>
            <w:shd w:val="clear" w:color="auto" w:fill="auto"/>
            <w:noWrap/>
            <w:vAlign w:val="center"/>
            <w:hideMark/>
          </w:tcPr>
          <w:p w14:paraId="1D637F1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24.2 ± 2.07</w:t>
            </w:r>
          </w:p>
        </w:tc>
        <w:tc>
          <w:tcPr>
            <w:tcW w:w="554" w:type="pct"/>
            <w:tcBorders>
              <w:top w:val="nil"/>
              <w:left w:val="nil"/>
              <w:bottom w:val="nil"/>
              <w:right w:val="nil"/>
            </w:tcBorders>
            <w:shd w:val="clear" w:color="auto" w:fill="auto"/>
            <w:noWrap/>
            <w:vAlign w:val="center"/>
            <w:hideMark/>
          </w:tcPr>
          <w:p w14:paraId="0D0EF21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61.6 ± 4.28</w:t>
            </w:r>
          </w:p>
        </w:tc>
        <w:tc>
          <w:tcPr>
            <w:tcW w:w="687" w:type="pct"/>
            <w:tcBorders>
              <w:top w:val="nil"/>
              <w:left w:val="nil"/>
              <w:bottom w:val="nil"/>
              <w:right w:val="nil"/>
            </w:tcBorders>
            <w:shd w:val="clear" w:color="auto" w:fill="auto"/>
            <w:noWrap/>
            <w:vAlign w:val="center"/>
            <w:hideMark/>
          </w:tcPr>
          <w:p w14:paraId="11693AD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110.6 ± 8.82</w:t>
            </w:r>
          </w:p>
        </w:tc>
      </w:tr>
      <w:tr w:rsidR="00EF65F1" w14:paraId="693DBC16" w14:textId="77777777">
        <w:trPr>
          <w:trHeight w:val="300"/>
        </w:trPr>
        <w:tc>
          <w:tcPr>
            <w:tcW w:w="1430" w:type="pct"/>
            <w:tcBorders>
              <w:top w:val="nil"/>
              <w:left w:val="nil"/>
              <w:bottom w:val="nil"/>
              <w:right w:val="nil"/>
            </w:tcBorders>
            <w:shd w:val="clear" w:color="auto" w:fill="auto"/>
            <w:noWrap/>
            <w:vAlign w:val="center"/>
            <w:hideMark/>
          </w:tcPr>
          <w:p w14:paraId="20BC44F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529" w:type="pct"/>
            <w:tcBorders>
              <w:top w:val="nil"/>
              <w:left w:val="nil"/>
              <w:bottom w:val="nil"/>
              <w:right w:val="nil"/>
            </w:tcBorders>
            <w:shd w:val="clear" w:color="auto" w:fill="auto"/>
            <w:noWrap/>
            <w:vAlign w:val="center"/>
            <w:hideMark/>
          </w:tcPr>
          <w:p w14:paraId="71AE424B"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0.13</w:t>
            </w:r>
          </w:p>
        </w:tc>
        <w:tc>
          <w:tcPr>
            <w:tcW w:w="571" w:type="pct"/>
            <w:tcBorders>
              <w:top w:val="nil"/>
              <w:left w:val="nil"/>
              <w:bottom w:val="nil"/>
              <w:right w:val="nil"/>
            </w:tcBorders>
            <w:shd w:val="clear" w:color="auto" w:fill="auto"/>
            <w:noWrap/>
            <w:vAlign w:val="center"/>
            <w:hideMark/>
          </w:tcPr>
          <w:p w14:paraId="4532288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0.15</w:t>
            </w:r>
          </w:p>
        </w:tc>
        <w:tc>
          <w:tcPr>
            <w:tcW w:w="675" w:type="pct"/>
            <w:tcBorders>
              <w:top w:val="nil"/>
              <w:left w:val="nil"/>
              <w:bottom w:val="nil"/>
              <w:right w:val="nil"/>
            </w:tcBorders>
            <w:shd w:val="clear" w:color="auto" w:fill="auto"/>
            <w:noWrap/>
            <w:vAlign w:val="center"/>
            <w:hideMark/>
          </w:tcPr>
          <w:p w14:paraId="304A0230"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0.31</w:t>
            </w:r>
          </w:p>
        </w:tc>
        <w:tc>
          <w:tcPr>
            <w:tcW w:w="554" w:type="pct"/>
            <w:tcBorders>
              <w:top w:val="nil"/>
              <w:left w:val="nil"/>
              <w:bottom w:val="nil"/>
              <w:right w:val="nil"/>
            </w:tcBorders>
            <w:shd w:val="clear" w:color="auto" w:fill="auto"/>
            <w:noWrap/>
            <w:vAlign w:val="center"/>
            <w:hideMark/>
          </w:tcPr>
          <w:p w14:paraId="2242ACED"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0.40</w:t>
            </w:r>
          </w:p>
        </w:tc>
        <w:tc>
          <w:tcPr>
            <w:tcW w:w="554" w:type="pct"/>
            <w:tcBorders>
              <w:top w:val="nil"/>
              <w:left w:val="nil"/>
              <w:bottom w:val="nil"/>
              <w:right w:val="nil"/>
            </w:tcBorders>
            <w:shd w:val="clear" w:color="auto" w:fill="auto"/>
            <w:noWrap/>
            <w:vAlign w:val="center"/>
            <w:hideMark/>
          </w:tcPr>
          <w:p w14:paraId="72F0D07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0.73</w:t>
            </w:r>
          </w:p>
        </w:tc>
        <w:tc>
          <w:tcPr>
            <w:tcW w:w="687" w:type="pct"/>
            <w:tcBorders>
              <w:top w:val="nil"/>
              <w:left w:val="nil"/>
              <w:bottom w:val="nil"/>
              <w:right w:val="nil"/>
            </w:tcBorders>
            <w:shd w:val="clear" w:color="auto" w:fill="auto"/>
            <w:noWrap/>
            <w:vAlign w:val="center"/>
            <w:hideMark/>
          </w:tcPr>
          <w:p w14:paraId="1B7B6E2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1.17</w:t>
            </w:r>
          </w:p>
        </w:tc>
      </w:tr>
      <w:tr w:rsidR="00EF65F1" w14:paraId="20B40A48" w14:textId="77777777">
        <w:trPr>
          <w:trHeight w:val="315"/>
        </w:trPr>
        <w:tc>
          <w:tcPr>
            <w:tcW w:w="1430" w:type="pct"/>
            <w:tcBorders>
              <w:top w:val="nil"/>
              <w:left w:val="nil"/>
              <w:bottom w:val="single" w:sz="8" w:space="0" w:color="auto"/>
              <w:right w:val="nil"/>
            </w:tcBorders>
            <w:shd w:val="clear" w:color="auto" w:fill="auto"/>
            <w:noWrap/>
            <w:vAlign w:val="center"/>
            <w:hideMark/>
          </w:tcPr>
          <w:p w14:paraId="006583B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529" w:type="pct"/>
            <w:tcBorders>
              <w:top w:val="nil"/>
              <w:left w:val="nil"/>
              <w:bottom w:val="single" w:sz="8" w:space="0" w:color="auto"/>
              <w:right w:val="nil"/>
            </w:tcBorders>
            <w:shd w:val="clear" w:color="auto" w:fill="auto"/>
            <w:noWrap/>
            <w:vAlign w:val="center"/>
            <w:hideMark/>
          </w:tcPr>
          <w:p w14:paraId="517BCB2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0.030</w:t>
            </w:r>
          </w:p>
        </w:tc>
        <w:tc>
          <w:tcPr>
            <w:tcW w:w="571" w:type="pct"/>
            <w:tcBorders>
              <w:top w:val="nil"/>
              <w:left w:val="nil"/>
              <w:bottom w:val="single" w:sz="8" w:space="0" w:color="auto"/>
              <w:right w:val="nil"/>
            </w:tcBorders>
            <w:shd w:val="clear" w:color="auto" w:fill="auto"/>
            <w:noWrap/>
            <w:vAlign w:val="center"/>
            <w:hideMark/>
          </w:tcPr>
          <w:p w14:paraId="152D09F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0.005</w:t>
            </w:r>
          </w:p>
        </w:tc>
        <w:tc>
          <w:tcPr>
            <w:tcW w:w="675" w:type="pct"/>
            <w:tcBorders>
              <w:top w:val="nil"/>
              <w:left w:val="nil"/>
              <w:bottom w:val="single" w:sz="8" w:space="0" w:color="auto"/>
              <w:right w:val="nil"/>
            </w:tcBorders>
            <w:shd w:val="clear" w:color="auto" w:fill="auto"/>
            <w:noWrap/>
            <w:vAlign w:val="center"/>
            <w:hideMark/>
          </w:tcPr>
          <w:p w14:paraId="7BE4CB9B"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0.003</w:t>
            </w:r>
          </w:p>
        </w:tc>
        <w:tc>
          <w:tcPr>
            <w:tcW w:w="554" w:type="pct"/>
            <w:tcBorders>
              <w:top w:val="nil"/>
              <w:left w:val="nil"/>
              <w:bottom w:val="single" w:sz="8" w:space="0" w:color="auto"/>
              <w:right w:val="nil"/>
            </w:tcBorders>
            <w:shd w:val="clear" w:color="auto" w:fill="auto"/>
            <w:noWrap/>
            <w:vAlign w:val="center"/>
            <w:hideMark/>
          </w:tcPr>
          <w:p w14:paraId="1363E8F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0.173</w:t>
            </w:r>
          </w:p>
        </w:tc>
        <w:tc>
          <w:tcPr>
            <w:tcW w:w="554" w:type="pct"/>
            <w:tcBorders>
              <w:top w:val="nil"/>
              <w:left w:val="nil"/>
              <w:bottom w:val="single" w:sz="8" w:space="0" w:color="auto"/>
              <w:right w:val="nil"/>
            </w:tcBorders>
            <w:shd w:val="clear" w:color="auto" w:fill="auto"/>
            <w:noWrap/>
            <w:vAlign w:val="center"/>
            <w:hideMark/>
          </w:tcPr>
          <w:p w14:paraId="7AECA4FD"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0.739</w:t>
            </w:r>
          </w:p>
        </w:tc>
        <w:tc>
          <w:tcPr>
            <w:tcW w:w="687" w:type="pct"/>
            <w:tcBorders>
              <w:top w:val="nil"/>
              <w:left w:val="nil"/>
              <w:bottom w:val="single" w:sz="8" w:space="0" w:color="auto"/>
              <w:right w:val="nil"/>
            </w:tcBorders>
            <w:shd w:val="clear" w:color="auto" w:fill="auto"/>
            <w:noWrap/>
            <w:vAlign w:val="center"/>
            <w:hideMark/>
          </w:tcPr>
          <w:p w14:paraId="638281A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0.879</w:t>
            </w:r>
          </w:p>
        </w:tc>
      </w:tr>
      <w:tr w:rsidR="00EF65F1" w14:paraId="3E85F932" w14:textId="77777777">
        <w:trPr>
          <w:trHeight w:val="300"/>
        </w:trPr>
        <w:tc>
          <w:tcPr>
            <w:tcW w:w="3759" w:type="pct"/>
            <w:gridSpan w:val="5"/>
            <w:tcBorders>
              <w:top w:val="single" w:sz="4" w:space="0" w:color="auto"/>
              <w:left w:val="nil"/>
              <w:bottom w:val="nil"/>
              <w:right w:val="nil"/>
            </w:tcBorders>
            <w:shd w:val="clear" w:color="auto" w:fill="auto"/>
            <w:noWrap/>
            <w:vAlign w:val="bottom"/>
            <w:hideMark/>
          </w:tcPr>
          <w:p w14:paraId="35FB2B3F" w14:textId="77777777" w:rsidR="00EF65F1" w:rsidRDefault="00484A18">
            <w:pPr>
              <w:spacing w:after="0" w:line="240" w:lineRule="auto"/>
              <w:contextualSpacing/>
              <w:jc w:val="both"/>
              <w:rPr>
                <w:rFonts w:ascii="Times New Roman" w:eastAsia="Times New Roman" w:hAnsi="Times New Roman" w:cs="Times New Roman"/>
                <w:color w:val="000000"/>
                <w:szCs w:val="20"/>
                <w:lang w:eastAsia="en-ZA"/>
              </w:rPr>
            </w:pPr>
            <w:r>
              <w:rPr>
                <w:rFonts w:ascii="Times New Roman" w:eastAsia="Times New Roman" w:hAnsi="Times New Roman" w:cs="Times New Roman"/>
                <w:color w:val="000000"/>
                <w:szCs w:val="20"/>
                <w:vertAlign w:val="superscript"/>
                <w:lang w:eastAsia="en-ZA"/>
              </w:rPr>
              <w:t xml:space="preserve">abc </w:t>
            </w:r>
            <w:r>
              <w:rPr>
                <w:rFonts w:ascii="Times New Roman" w:eastAsia="Times New Roman" w:hAnsi="Times New Roman" w:cs="Times New Roman"/>
                <w:color w:val="000000"/>
                <w:szCs w:val="20"/>
                <w:lang w:eastAsia="en-ZA"/>
              </w:rPr>
              <w:t>Within a column: Means with different superscripts differ (P &lt; 0.05)</w:t>
            </w:r>
          </w:p>
        </w:tc>
        <w:tc>
          <w:tcPr>
            <w:tcW w:w="554" w:type="pct"/>
            <w:tcBorders>
              <w:top w:val="nil"/>
              <w:left w:val="nil"/>
              <w:bottom w:val="nil"/>
              <w:right w:val="nil"/>
            </w:tcBorders>
            <w:shd w:val="clear" w:color="auto" w:fill="auto"/>
            <w:noWrap/>
            <w:vAlign w:val="bottom"/>
            <w:hideMark/>
          </w:tcPr>
          <w:p w14:paraId="7FB6E779" w14:textId="77777777" w:rsidR="00EF65F1" w:rsidRDefault="00EF65F1">
            <w:pPr>
              <w:spacing w:after="0" w:line="240" w:lineRule="auto"/>
              <w:contextualSpacing/>
              <w:jc w:val="both"/>
              <w:rPr>
                <w:rFonts w:ascii="Times New Roman" w:eastAsia="Times New Roman" w:hAnsi="Times New Roman" w:cs="Times New Roman"/>
                <w:color w:val="000000"/>
                <w:sz w:val="22"/>
                <w:szCs w:val="22"/>
                <w:lang w:eastAsia="en-ZA"/>
              </w:rPr>
            </w:pPr>
          </w:p>
        </w:tc>
        <w:tc>
          <w:tcPr>
            <w:tcW w:w="687" w:type="pct"/>
            <w:tcBorders>
              <w:top w:val="nil"/>
              <w:left w:val="nil"/>
              <w:bottom w:val="nil"/>
              <w:right w:val="nil"/>
            </w:tcBorders>
            <w:shd w:val="clear" w:color="auto" w:fill="auto"/>
            <w:noWrap/>
            <w:vAlign w:val="bottom"/>
            <w:hideMark/>
          </w:tcPr>
          <w:p w14:paraId="26DB1A20"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bl>
    <w:p w14:paraId="34B5B627" w14:textId="77777777" w:rsidR="00EF65F1" w:rsidRDefault="00EF65F1">
      <w:pPr>
        <w:spacing w:after="0" w:line="360" w:lineRule="auto"/>
        <w:ind w:firstLine="567"/>
        <w:contextualSpacing/>
        <w:jc w:val="both"/>
        <w:rPr>
          <w:rFonts w:ascii="Times New Roman" w:hAnsi="Times New Roman" w:cs="Times New Roman"/>
          <w:sz w:val="22"/>
          <w:szCs w:val="22"/>
        </w:rPr>
        <w:sectPr w:rsidR="00EF65F1">
          <w:pgSz w:w="16838" w:h="11906" w:orient="landscape" w:code="9"/>
          <w:pgMar w:top="1440" w:right="1440" w:bottom="1440" w:left="1440" w:header="567" w:footer="794" w:gutter="0"/>
          <w:cols w:space="708"/>
          <w:vAlign w:val="center"/>
          <w:docGrid w:linePitch="360"/>
        </w:sectPr>
      </w:pPr>
    </w:p>
    <w:p w14:paraId="3A19B87B" w14:textId="13C926A4" w:rsidR="00EF65F1" w:rsidRDefault="00484A18">
      <w:pPr>
        <w:pStyle w:val="Caption"/>
        <w:keepNext/>
        <w:spacing w:after="0"/>
        <w:contextualSpacing/>
        <w:jc w:val="both"/>
        <w:rPr>
          <w:rFonts w:ascii="Times New Roman" w:hAnsi="Times New Roman" w:cs="Times New Roman"/>
          <w:i w:val="0"/>
          <w:color w:val="auto"/>
          <w:sz w:val="24"/>
          <w:szCs w:val="22"/>
        </w:rPr>
      </w:pPr>
      <w:r>
        <w:rPr>
          <w:rFonts w:ascii="Times New Roman" w:eastAsia="Times New Roman" w:hAnsi="Times New Roman" w:cs="Times New Roman"/>
          <w:iCs w:val="0"/>
          <w:color w:val="000000"/>
          <w:sz w:val="22"/>
          <w:szCs w:val="22"/>
          <w:lang w:val="en-ZA" w:eastAsia="en-ZA"/>
        </w:rPr>
        <w:lastRenderedPageBreak/>
        <w:tab/>
      </w:r>
      <w:bookmarkStart w:id="183" w:name="_Toc2349141"/>
      <w:r>
        <w:rPr>
          <w:rFonts w:ascii="Times New Roman" w:hAnsi="Times New Roman" w:cs="Times New Roman"/>
          <w:i w:val="0"/>
          <w:color w:val="auto"/>
          <w:sz w:val="24"/>
          <w:szCs w:val="22"/>
        </w:rPr>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Cumulative gas volumes (mL gas/g DM) of seven plant extracts analysed at 300 and 600 mg/kg DM dose level</w:t>
      </w:r>
      <w:bookmarkEnd w:id="183"/>
    </w:p>
    <w:tbl>
      <w:tblPr>
        <w:tblW w:w="5000" w:type="pct"/>
        <w:tblLook w:val="04A0" w:firstRow="1" w:lastRow="0" w:firstColumn="1" w:lastColumn="0" w:noHBand="0" w:noVBand="1"/>
      </w:tblPr>
      <w:tblGrid>
        <w:gridCol w:w="1416"/>
        <w:gridCol w:w="95"/>
        <w:gridCol w:w="1512"/>
        <w:gridCol w:w="373"/>
        <w:gridCol w:w="1700"/>
        <w:gridCol w:w="1700"/>
        <w:gridCol w:w="1700"/>
        <w:gridCol w:w="43"/>
        <w:gridCol w:w="1657"/>
        <w:gridCol w:w="1700"/>
        <w:gridCol w:w="1700"/>
        <w:gridCol w:w="1700"/>
        <w:gridCol w:w="102"/>
      </w:tblGrid>
      <w:tr w:rsidR="00EF65F1" w14:paraId="020FC49F" w14:textId="77777777">
        <w:trPr>
          <w:trHeight w:val="270"/>
        </w:trPr>
        <w:tc>
          <w:tcPr>
            <w:tcW w:w="491" w:type="pct"/>
            <w:gridSpan w:val="2"/>
            <w:tcBorders>
              <w:top w:val="single" w:sz="4" w:space="0" w:color="auto"/>
              <w:left w:val="nil"/>
              <w:bottom w:val="single" w:sz="8" w:space="0" w:color="auto"/>
              <w:right w:val="nil"/>
            </w:tcBorders>
            <w:shd w:val="clear" w:color="auto" w:fill="auto"/>
            <w:noWrap/>
            <w:vAlign w:val="bottom"/>
            <w:hideMark/>
          </w:tcPr>
          <w:p w14:paraId="07C7170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 </w:t>
            </w:r>
          </w:p>
        </w:tc>
        <w:tc>
          <w:tcPr>
            <w:tcW w:w="491" w:type="pct"/>
            <w:tcBorders>
              <w:top w:val="single" w:sz="4" w:space="0" w:color="auto"/>
              <w:left w:val="nil"/>
              <w:bottom w:val="single" w:sz="8" w:space="0" w:color="auto"/>
              <w:right w:val="nil"/>
            </w:tcBorders>
            <w:shd w:val="clear" w:color="auto" w:fill="auto"/>
            <w:noWrap/>
            <w:vAlign w:val="bottom"/>
            <w:hideMark/>
          </w:tcPr>
          <w:p w14:paraId="7BCA76C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 </w:t>
            </w:r>
          </w:p>
        </w:tc>
        <w:tc>
          <w:tcPr>
            <w:tcW w:w="4018" w:type="pct"/>
            <w:gridSpan w:val="10"/>
            <w:tcBorders>
              <w:top w:val="single" w:sz="4" w:space="0" w:color="auto"/>
              <w:left w:val="nil"/>
              <w:bottom w:val="single" w:sz="8" w:space="0" w:color="auto"/>
              <w:right w:val="nil"/>
            </w:tcBorders>
            <w:shd w:val="clear" w:color="auto" w:fill="auto"/>
            <w:noWrap/>
            <w:vAlign w:val="bottom"/>
            <w:hideMark/>
          </w:tcPr>
          <w:p w14:paraId="213B7BF9" w14:textId="77777777" w:rsidR="00EF65F1" w:rsidRPr="00364C97" w:rsidRDefault="00484A18">
            <w:pPr>
              <w:spacing w:after="0" w:line="240" w:lineRule="auto"/>
              <w:contextualSpacing/>
              <w:jc w:val="center"/>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Mean ± SD (mL gas/g DM)</w:t>
            </w:r>
          </w:p>
        </w:tc>
      </w:tr>
      <w:tr w:rsidR="00EF65F1" w14:paraId="6097D013" w14:textId="77777777">
        <w:trPr>
          <w:gridAfter w:val="1"/>
          <w:wAfter w:w="31" w:type="pct"/>
          <w:trHeight w:val="450"/>
        </w:trPr>
        <w:tc>
          <w:tcPr>
            <w:tcW w:w="460" w:type="pct"/>
            <w:tcBorders>
              <w:top w:val="nil"/>
              <w:left w:val="nil"/>
              <w:bottom w:val="single" w:sz="8" w:space="0" w:color="auto"/>
              <w:right w:val="nil"/>
            </w:tcBorders>
            <w:shd w:val="clear" w:color="auto" w:fill="auto"/>
            <w:noWrap/>
            <w:vAlign w:val="bottom"/>
            <w:hideMark/>
          </w:tcPr>
          <w:p w14:paraId="31F6ADFA"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Time Period</w:t>
            </w:r>
          </w:p>
        </w:tc>
        <w:tc>
          <w:tcPr>
            <w:tcW w:w="643" w:type="pct"/>
            <w:gridSpan w:val="3"/>
            <w:tcBorders>
              <w:top w:val="nil"/>
              <w:left w:val="nil"/>
              <w:bottom w:val="single" w:sz="8" w:space="0" w:color="auto"/>
              <w:right w:val="nil"/>
            </w:tcBorders>
            <w:shd w:val="clear" w:color="auto" w:fill="auto"/>
            <w:noWrap/>
            <w:vAlign w:val="bottom"/>
            <w:hideMark/>
          </w:tcPr>
          <w:p w14:paraId="5F7D1BB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Dose</w:t>
            </w:r>
          </w:p>
        </w:tc>
        <w:tc>
          <w:tcPr>
            <w:tcW w:w="552" w:type="pct"/>
            <w:tcBorders>
              <w:top w:val="nil"/>
              <w:left w:val="nil"/>
              <w:bottom w:val="single" w:sz="8" w:space="0" w:color="auto"/>
              <w:right w:val="nil"/>
            </w:tcBorders>
            <w:shd w:val="clear" w:color="auto" w:fill="auto"/>
            <w:vAlign w:val="center"/>
            <w:hideMark/>
          </w:tcPr>
          <w:p w14:paraId="5D9D791F"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Combretum erythrophyllum</w:t>
            </w:r>
          </w:p>
        </w:tc>
        <w:tc>
          <w:tcPr>
            <w:tcW w:w="552" w:type="pct"/>
            <w:tcBorders>
              <w:top w:val="nil"/>
              <w:left w:val="nil"/>
              <w:bottom w:val="single" w:sz="8" w:space="0" w:color="auto"/>
              <w:right w:val="nil"/>
            </w:tcBorders>
            <w:shd w:val="clear" w:color="auto" w:fill="auto"/>
            <w:vAlign w:val="center"/>
            <w:hideMark/>
          </w:tcPr>
          <w:p w14:paraId="7D3C9032"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Dodonaea viscosa</w:t>
            </w:r>
          </w:p>
        </w:tc>
        <w:tc>
          <w:tcPr>
            <w:tcW w:w="552" w:type="pct"/>
            <w:tcBorders>
              <w:top w:val="nil"/>
              <w:left w:val="nil"/>
              <w:bottom w:val="single" w:sz="8" w:space="0" w:color="auto"/>
              <w:right w:val="nil"/>
            </w:tcBorders>
            <w:shd w:val="clear" w:color="auto" w:fill="auto"/>
            <w:vAlign w:val="center"/>
            <w:hideMark/>
          </w:tcPr>
          <w:p w14:paraId="1774CA9F"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Heteropyxis natalensis</w:t>
            </w:r>
          </w:p>
        </w:tc>
        <w:tc>
          <w:tcPr>
            <w:tcW w:w="552" w:type="pct"/>
            <w:gridSpan w:val="2"/>
            <w:tcBorders>
              <w:top w:val="nil"/>
              <w:left w:val="nil"/>
              <w:bottom w:val="single" w:sz="8" w:space="0" w:color="auto"/>
              <w:right w:val="nil"/>
            </w:tcBorders>
            <w:shd w:val="clear" w:color="auto" w:fill="auto"/>
            <w:vAlign w:val="center"/>
            <w:hideMark/>
          </w:tcPr>
          <w:p w14:paraId="768E045C"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Sclerocarya birrea</w:t>
            </w:r>
          </w:p>
        </w:tc>
        <w:tc>
          <w:tcPr>
            <w:tcW w:w="552" w:type="pct"/>
            <w:tcBorders>
              <w:top w:val="nil"/>
              <w:left w:val="nil"/>
              <w:bottom w:val="single" w:sz="8" w:space="0" w:color="auto"/>
              <w:right w:val="nil"/>
            </w:tcBorders>
            <w:shd w:val="clear" w:color="auto" w:fill="auto"/>
            <w:vAlign w:val="center"/>
            <w:hideMark/>
          </w:tcPr>
          <w:p w14:paraId="414A2C04"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Erythrina lysistemon</w:t>
            </w:r>
          </w:p>
        </w:tc>
        <w:tc>
          <w:tcPr>
            <w:tcW w:w="552" w:type="pct"/>
            <w:tcBorders>
              <w:top w:val="nil"/>
              <w:left w:val="nil"/>
              <w:bottom w:val="single" w:sz="8" w:space="0" w:color="auto"/>
              <w:right w:val="nil"/>
            </w:tcBorders>
            <w:shd w:val="clear" w:color="auto" w:fill="auto"/>
            <w:vAlign w:val="center"/>
            <w:hideMark/>
          </w:tcPr>
          <w:p w14:paraId="55877330"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Searsia chirindensis</w:t>
            </w:r>
          </w:p>
        </w:tc>
        <w:tc>
          <w:tcPr>
            <w:tcW w:w="552" w:type="pct"/>
            <w:tcBorders>
              <w:top w:val="nil"/>
              <w:left w:val="nil"/>
              <w:bottom w:val="single" w:sz="8" w:space="0" w:color="auto"/>
              <w:right w:val="nil"/>
            </w:tcBorders>
            <w:shd w:val="clear" w:color="auto" w:fill="auto"/>
            <w:vAlign w:val="center"/>
            <w:hideMark/>
          </w:tcPr>
          <w:p w14:paraId="485ADB31"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Halleria lucida</w:t>
            </w:r>
          </w:p>
        </w:tc>
      </w:tr>
      <w:tr w:rsidR="00EF65F1" w14:paraId="2F6E995E"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3B164A9C"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2h</w:t>
            </w:r>
          </w:p>
        </w:tc>
        <w:tc>
          <w:tcPr>
            <w:tcW w:w="643" w:type="pct"/>
            <w:gridSpan w:val="3"/>
            <w:tcBorders>
              <w:top w:val="nil"/>
              <w:left w:val="nil"/>
              <w:bottom w:val="nil"/>
              <w:right w:val="nil"/>
            </w:tcBorders>
            <w:shd w:val="clear" w:color="auto" w:fill="auto"/>
            <w:vAlign w:val="center"/>
            <w:hideMark/>
          </w:tcPr>
          <w:p w14:paraId="6139171D"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6638A89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tcBorders>
              <w:top w:val="nil"/>
              <w:left w:val="nil"/>
              <w:bottom w:val="nil"/>
              <w:right w:val="nil"/>
            </w:tcBorders>
            <w:shd w:val="clear" w:color="auto" w:fill="auto"/>
            <w:noWrap/>
            <w:hideMark/>
          </w:tcPr>
          <w:p w14:paraId="26A7DE9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tcBorders>
              <w:top w:val="nil"/>
              <w:left w:val="nil"/>
              <w:bottom w:val="nil"/>
              <w:right w:val="nil"/>
            </w:tcBorders>
            <w:shd w:val="clear" w:color="auto" w:fill="auto"/>
            <w:noWrap/>
            <w:hideMark/>
          </w:tcPr>
          <w:p w14:paraId="1113939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gridSpan w:val="2"/>
            <w:tcBorders>
              <w:top w:val="nil"/>
              <w:left w:val="nil"/>
              <w:bottom w:val="nil"/>
              <w:right w:val="nil"/>
            </w:tcBorders>
            <w:shd w:val="clear" w:color="auto" w:fill="auto"/>
            <w:noWrap/>
            <w:hideMark/>
          </w:tcPr>
          <w:p w14:paraId="3710B81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tcBorders>
              <w:top w:val="nil"/>
              <w:left w:val="nil"/>
              <w:bottom w:val="nil"/>
              <w:right w:val="nil"/>
            </w:tcBorders>
            <w:shd w:val="clear" w:color="auto" w:fill="auto"/>
            <w:noWrap/>
            <w:hideMark/>
          </w:tcPr>
          <w:p w14:paraId="1772BD0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tcBorders>
              <w:top w:val="nil"/>
              <w:left w:val="nil"/>
              <w:bottom w:val="nil"/>
              <w:right w:val="nil"/>
            </w:tcBorders>
            <w:shd w:val="clear" w:color="auto" w:fill="auto"/>
            <w:noWrap/>
            <w:hideMark/>
          </w:tcPr>
          <w:p w14:paraId="27CA35E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c>
          <w:tcPr>
            <w:tcW w:w="552" w:type="pct"/>
            <w:tcBorders>
              <w:top w:val="nil"/>
              <w:left w:val="nil"/>
              <w:bottom w:val="nil"/>
              <w:right w:val="nil"/>
            </w:tcBorders>
            <w:shd w:val="clear" w:color="auto" w:fill="auto"/>
            <w:noWrap/>
            <w:hideMark/>
          </w:tcPr>
          <w:p w14:paraId="13834EB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0.40</w:t>
            </w:r>
          </w:p>
        </w:tc>
      </w:tr>
      <w:tr w:rsidR="00EF65F1" w14:paraId="6DDD6356"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40FE8669"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7F774D1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1ED69C7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1.6 ± 1.33</w:t>
            </w:r>
          </w:p>
        </w:tc>
        <w:tc>
          <w:tcPr>
            <w:tcW w:w="552" w:type="pct"/>
            <w:tcBorders>
              <w:top w:val="nil"/>
              <w:left w:val="nil"/>
              <w:bottom w:val="nil"/>
              <w:right w:val="nil"/>
            </w:tcBorders>
            <w:shd w:val="clear" w:color="auto" w:fill="auto"/>
            <w:noWrap/>
            <w:vAlign w:val="center"/>
            <w:hideMark/>
          </w:tcPr>
          <w:p w14:paraId="2A3C706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1.8 ± 0.51</w:t>
            </w:r>
          </w:p>
        </w:tc>
        <w:tc>
          <w:tcPr>
            <w:tcW w:w="552" w:type="pct"/>
            <w:tcBorders>
              <w:top w:val="nil"/>
              <w:left w:val="nil"/>
              <w:bottom w:val="nil"/>
              <w:right w:val="nil"/>
            </w:tcBorders>
            <w:shd w:val="clear" w:color="auto" w:fill="auto"/>
            <w:noWrap/>
            <w:vAlign w:val="center"/>
            <w:hideMark/>
          </w:tcPr>
          <w:p w14:paraId="6BB0A84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2.1 ± 0.41</w:t>
            </w:r>
          </w:p>
        </w:tc>
        <w:tc>
          <w:tcPr>
            <w:tcW w:w="552" w:type="pct"/>
            <w:gridSpan w:val="2"/>
            <w:tcBorders>
              <w:top w:val="nil"/>
              <w:left w:val="nil"/>
              <w:bottom w:val="nil"/>
              <w:right w:val="nil"/>
            </w:tcBorders>
            <w:shd w:val="clear" w:color="auto" w:fill="auto"/>
            <w:noWrap/>
            <w:vAlign w:val="center"/>
            <w:hideMark/>
          </w:tcPr>
          <w:p w14:paraId="7333D67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1.8 ± 0.74</w:t>
            </w:r>
          </w:p>
        </w:tc>
        <w:tc>
          <w:tcPr>
            <w:tcW w:w="552" w:type="pct"/>
            <w:tcBorders>
              <w:top w:val="nil"/>
              <w:left w:val="nil"/>
              <w:bottom w:val="nil"/>
              <w:right w:val="nil"/>
            </w:tcBorders>
            <w:shd w:val="clear" w:color="auto" w:fill="auto"/>
            <w:noWrap/>
            <w:vAlign w:val="center"/>
            <w:hideMark/>
          </w:tcPr>
          <w:p w14:paraId="26B6D7F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1.4 ± 0.77</w:t>
            </w:r>
          </w:p>
        </w:tc>
        <w:tc>
          <w:tcPr>
            <w:tcW w:w="552" w:type="pct"/>
            <w:tcBorders>
              <w:top w:val="nil"/>
              <w:left w:val="nil"/>
              <w:bottom w:val="nil"/>
              <w:right w:val="nil"/>
            </w:tcBorders>
            <w:shd w:val="clear" w:color="auto" w:fill="auto"/>
            <w:noWrap/>
            <w:vAlign w:val="center"/>
            <w:hideMark/>
          </w:tcPr>
          <w:p w14:paraId="4F87DEA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2.1 ± 0.70</w:t>
            </w:r>
          </w:p>
        </w:tc>
        <w:tc>
          <w:tcPr>
            <w:tcW w:w="552" w:type="pct"/>
            <w:tcBorders>
              <w:top w:val="nil"/>
              <w:left w:val="nil"/>
              <w:bottom w:val="nil"/>
              <w:right w:val="nil"/>
            </w:tcBorders>
            <w:shd w:val="clear" w:color="auto" w:fill="auto"/>
            <w:noWrap/>
            <w:vAlign w:val="center"/>
            <w:hideMark/>
          </w:tcPr>
          <w:p w14:paraId="2A75377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1.3 ± 0.44</w:t>
            </w:r>
          </w:p>
        </w:tc>
      </w:tr>
      <w:tr w:rsidR="00EF65F1" w14:paraId="511197F6"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6138C04B"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5935E65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03D39E4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1.5 ± 0.13</w:t>
            </w:r>
          </w:p>
        </w:tc>
        <w:tc>
          <w:tcPr>
            <w:tcW w:w="552" w:type="pct"/>
            <w:tcBorders>
              <w:top w:val="nil"/>
              <w:left w:val="nil"/>
              <w:bottom w:val="nil"/>
              <w:right w:val="nil"/>
            </w:tcBorders>
            <w:shd w:val="clear" w:color="auto" w:fill="auto"/>
            <w:noWrap/>
            <w:vAlign w:val="center"/>
            <w:hideMark/>
          </w:tcPr>
          <w:p w14:paraId="686C0CD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2.2 ± 0.40</w:t>
            </w:r>
          </w:p>
        </w:tc>
        <w:tc>
          <w:tcPr>
            <w:tcW w:w="552" w:type="pct"/>
            <w:tcBorders>
              <w:top w:val="nil"/>
              <w:left w:val="nil"/>
              <w:bottom w:val="nil"/>
              <w:right w:val="nil"/>
            </w:tcBorders>
            <w:shd w:val="clear" w:color="auto" w:fill="auto"/>
            <w:noWrap/>
            <w:vAlign w:val="center"/>
            <w:hideMark/>
          </w:tcPr>
          <w:p w14:paraId="1435886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 ± 1.05</w:t>
            </w:r>
          </w:p>
        </w:tc>
        <w:tc>
          <w:tcPr>
            <w:tcW w:w="552" w:type="pct"/>
            <w:gridSpan w:val="2"/>
            <w:tcBorders>
              <w:top w:val="nil"/>
              <w:left w:val="nil"/>
              <w:bottom w:val="nil"/>
              <w:right w:val="nil"/>
            </w:tcBorders>
            <w:shd w:val="clear" w:color="auto" w:fill="auto"/>
            <w:noWrap/>
            <w:vAlign w:val="center"/>
            <w:hideMark/>
          </w:tcPr>
          <w:p w14:paraId="64BE60E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2.2 ± 0.88</w:t>
            </w:r>
          </w:p>
        </w:tc>
        <w:tc>
          <w:tcPr>
            <w:tcW w:w="552" w:type="pct"/>
            <w:tcBorders>
              <w:top w:val="nil"/>
              <w:left w:val="nil"/>
              <w:bottom w:val="nil"/>
              <w:right w:val="nil"/>
            </w:tcBorders>
            <w:shd w:val="clear" w:color="auto" w:fill="auto"/>
            <w:noWrap/>
            <w:vAlign w:val="center"/>
            <w:hideMark/>
          </w:tcPr>
          <w:p w14:paraId="76998D4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0.8 ± 0.22</w:t>
            </w:r>
          </w:p>
        </w:tc>
        <w:tc>
          <w:tcPr>
            <w:tcW w:w="552" w:type="pct"/>
            <w:tcBorders>
              <w:top w:val="nil"/>
              <w:left w:val="nil"/>
              <w:bottom w:val="nil"/>
              <w:right w:val="nil"/>
            </w:tcBorders>
            <w:shd w:val="clear" w:color="auto" w:fill="auto"/>
            <w:noWrap/>
            <w:vAlign w:val="center"/>
            <w:hideMark/>
          </w:tcPr>
          <w:p w14:paraId="7BCE08E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2.0 ± 0.35</w:t>
            </w:r>
          </w:p>
        </w:tc>
        <w:tc>
          <w:tcPr>
            <w:tcW w:w="552" w:type="pct"/>
            <w:tcBorders>
              <w:top w:val="nil"/>
              <w:left w:val="nil"/>
              <w:bottom w:val="nil"/>
              <w:right w:val="nil"/>
            </w:tcBorders>
            <w:shd w:val="clear" w:color="auto" w:fill="auto"/>
            <w:noWrap/>
            <w:vAlign w:val="center"/>
            <w:hideMark/>
          </w:tcPr>
          <w:p w14:paraId="2A38689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1.2 ± 0.45</w:t>
            </w:r>
          </w:p>
        </w:tc>
      </w:tr>
      <w:tr w:rsidR="00EF65F1" w14:paraId="1C44950A"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2AFFA52A"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2C700C3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SEM</w:t>
            </w:r>
          </w:p>
        </w:tc>
        <w:tc>
          <w:tcPr>
            <w:tcW w:w="552" w:type="pct"/>
            <w:tcBorders>
              <w:top w:val="nil"/>
              <w:left w:val="nil"/>
              <w:bottom w:val="nil"/>
              <w:right w:val="nil"/>
            </w:tcBorders>
            <w:shd w:val="clear" w:color="auto" w:fill="auto"/>
            <w:noWrap/>
            <w:vAlign w:val="bottom"/>
            <w:hideMark/>
          </w:tcPr>
          <w:p w14:paraId="61911FD3"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0.23</w:t>
            </w:r>
          </w:p>
        </w:tc>
        <w:tc>
          <w:tcPr>
            <w:tcW w:w="552" w:type="pct"/>
            <w:tcBorders>
              <w:top w:val="nil"/>
              <w:left w:val="nil"/>
              <w:bottom w:val="nil"/>
              <w:right w:val="nil"/>
            </w:tcBorders>
            <w:shd w:val="clear" w:color="auto" w:fill="auto"/>
            <w:noWrap/>
            <w:vAlign w:val="bottom"/>
            <w:hideMark/>
          </w:tcPr>
          <w:p w14:paraId="177EC1F0"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0.16</w:t>
            </w:r>
          </w:p>
        </w:tc>
        <w:tc>
          <w:tcPr>
            <w:tcW w:w="552" w:type="pct"/>
            <w:tcBorders>
              <w:top w:val="nil"/>
              <w:left w:val="nil"/>
              <w:bottom w:val="nil"/>
              <w:right w:val="nil"/>
            </w:tcBorders>
            <w:shd w:val="clear" w:color="auto" w:fill="auto"/>
            <w:noWrap/>
            <w:vAlign w:val="bottom"/>
            <w:hideMark/>
          </w:tcPr>
          <w:p w14:paraId="74E2D75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0.24</w:t>
            </w:r>
          </w:p>
        </w:tc>
        <w:tc>
          <w:tcPr>
            <w:tcW w:w="552" w:type="pct"/>
            <w:gridSpan w:val="2"/>
            <w:tcBorders>
              <w:top w:val="nil"/>
              <w:left w:val="nil"/>
              <w:bottom w:val="nil"/>
              <w:right w:val="nil"/>
            </w:tcBorders>
            <w:shd w:val="clear" w:color="auto" w:fill="auto"/>
            <w:noWrap/>
            <w:vAlign w:val="bottom"/>
            <w:hideMark/>
          </w:tcPr>
          <w:p w14:paraId="3D6B5B6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0.23</w:t>
            </w:r>
          </w:p>
        </w:tc>
        <w:tc>
          <w:tcPr>
            <w:tcW w:w="552" w:type="pct"/>
            <w:tcBorders>
              <w:top w:val="nil"/>
              <w:left w:val="nil"/>
              <w:bottom w:val="nil"/>
              <w:right w:val="nil"/>
            </w:tcBorders>
            <w:shd w:val="clear" w:color="auto" w:fill="auto"/>
            <w:noWrap/>
            <w:vAlign w:val="bottom"/>
            <w:hideMark/>
          </w:tcPr>
          <w:p w14:paraId="5A9E4693"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0.19</w:t>
            </w:r>
          </w:p>
        </w:tc>
        <w:tc>
          <w:tcPr>
            <w:tcW w:w="552" w:type="pct"/>
            <w:tcBorders>
              <w:top w:val="nil"/>
              <w:left w:val="nil"/>
              <w:bottom w:val="nil"/>
              <w:right w:val="nil"/>
            </w:tcBorders>
            <w:shd w:val="clear" w:color="auto" w:fill="auto"/>
            <w:noWrap/>
            <w:vAlign w:val="bottom"/>
            <w:hideMark/>
          </w:tcPr>
          <w:p w14:paraId="05064C2C"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0.18</w:t>
            </w:r>
          </w:p>
        </w:tc>
        <w:tc>
          <w:tcPr>
            <w:tcW w:w="552" w:type="pct"/>
            <w:tcBorders>
              <w:top w:val="nil"/>
              <w:left w:val="nil"/>
              <w:bottom w:val="nil"/>
              <w:right w:val="nil"/>
            </w:tcBorders>
            <w:shd w:val="clear" w:color="auto" w:fill="auto"/>
            <w:noWrap/>
            <w:vAlign w:val="bottom"/>
            <w:hideMark/>
          </w:tcPr>
          <w:p w14:paraId="5DA4F47F"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0.13</w:t>
            </w:r>
          </w:p>
        </w:tc>
      </w:tr>
      <w:tr w:rsidR="00EF65F1" w14:paraId="09AB6E9D"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0E165F8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0B5A743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2828223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0.98</w:t>
            </w:r>
          </w:p>
        </w:tc>
        <w:tc>
          <w:tcPr>
            <w:tcW w:w="552" w:type="pct"/>
            <w:tcBorders>
              <w:top w:val="nil"/>
              <w:left w:val="nil"/>
              <w:bottom w:val="single" w:sz="4" w:space="0" w:color="auto"/>
              <w:right w:val="nil"/>
            </w:tcBorders>
            <w:shd w:val="clear" w:color="auto" w:fill="auto"/>
            <w:noWrap/>
            <w:vAlign w:val="bottom"/>
            <w:hideMark/>
          </w:tcPr>
          <w:p w14:paraId="26B65EF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0.36</w:t>
            </w:r>
          </w:p>
        </w:tc>
        <w:tc>
          <w:tcPr>
            <w:tcW w:w="552" w:type="pct"/>
            <w:tcBorders>
              <w:top w:val="nil"/>
              <w:left w:val="nil"/>
              <w:bottom w:val="single" w:sz="4" w:space="0" w:color="auto"/>
              <w:right w:val="nil"/>
            </w:tcBorders>
            <w:shd w:val="clear" w:color="auto" w:fill="auto"/>
            <w:noWrap/>
            <w:vAlign w:val="bottom"/>
            <w:hideMark/>
          </w:tcPr>
          <w:p w14:paraId="3D661DA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0.47</w:t>
            </w:r>
          </w:p>
        </w:tc>
        <w:tc>
          <w:tcPr>
            <w:tcW w:w="552" w:type="pct"/>
            <w:gridSpan w:val="2"/>
            <w:tcBorders>
              <w:top w:val="nil"/>
              <w:left w:val="nil"/>
              <w:bottom w:val="single" w:sz="4" w:space="0" w:color="auto"/>
              <w:right w:val="nil"/>
            </w:tcBorders>
            <w:shd w:val="clear" w:color="auto" w:fill="auto"/>
            <w:noWrap/>
            <w:vAlign w:val="bottom"/>
            <w:hideMark/>
          </w:tcPr>
          <w:p w14:paraId="118C1CB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0.60</w:t>
            </w:r>
          </w:p>
        </w:tc>
        <w:tc>
          <w:tcPr>
            <w:tcW w:w="552" w:type="pct"/>
            <w:tcBorders>
              <w:top w:val="nil"/>
              <w:left w:val="nil"/>
              <w:bottom w:val="single" w:sz="4" w:space="0" w:color="auto"/>
              <w:right w:val="nil"/>
            </w:tcBorders>
            <w:shd w:val="clear" w:color="auto" w:fill="auto"/>
            <w:noWrap/>
            <w:vAlign w:val="bottom"/>
            <w:hideMark/>
          </w:tcPr>
          <w:p w14:paraId="4736167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0.34</w:t>
            </w:r>
          </w:p>
        </w:tc>
        <w:tc>
          <w:tcPr>
            <w:tcW w:w="552" w:type="pct"/>
            <w:tcBorders>
              <w:top w:val="nil"/>
              <w:left w:val="nil"/>
              <w:bottom w:val="single" w:sz="4" w:space="0" w:color="auto"/>
              <w:right w:val="nil"/>
            </w:tcBorders>
            <w:shd w:val="clear" w:color="auto" w:fill="auto"/>
            <w:noWrap/>
            <w:vAlign w:val="bottom"/>
            <w:hideMark/>
          </w:tcPr>
          <w:p w14:paraId="0108640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0.23</w:t>
            </w:r>
          </w:p>
        </w:tc>
        <w:tc>
          <w:tcPr>
            <w:tcW w:w="552" w:type="pct"/>
            <w:tcBorders>
              <w:top w:val="nil"/>
              <w:left w:val="nil"/>
              <w:bottom w:val="single" w:sz="4" w:space="0" w:color="auto"/>
              <w:right w:val="nil"/>
            </w:tcBorders>
            <w:shd w:val="clear" w:color="auto" w:fill="auto"/>
            <w:noWrap/>
            <w:vAlign w:val="bottom"/>
            <w:hideMark/>
          </w:tcPr>
          <w:p w14:paraId="39F1BB4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0.80</w:t>
            </w:r>
          </w:p>
        </w:tc>
      </w:tr>
      <w:tr w:rsidR="00EF65F1" w14:paraId="0CCAE42B"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10BF42B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4h</w:t>
            </w:r>
          </w:p>
        </w:tc>
        <w:tc>
          <w:tcPr>
            <w:tcW w:w="643" w:type="pct"/>
            <w:gridSpan w:val="3"/>
            <w:tcBorders>
              <w:top w:val="nil"/>
              <w:left w:val="nil"/>
              <w:bottom w:val="nil"/>
              <w:right w:val="nil"/>
            </w:tcBorders>
            <w:shd w:val="clear" w:color="auto" w:fill="auto"/>
            <w:vAlign w:val="center"/>
            <w:hideMark/>
          </w:tcPr>
          <w:p w14:paraId="146F63D7"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1055DE2A" w14:textId="77777777" w:rsidR="00EF65F1" w:rsidRPr="00364C97" w:rsidRDefault="00484A18">
            <w:pPr>
              <w:spacing w:after="0" w:line="240" w:lineRule="auto"/>
              <w:contextualSpacing/>
              <w:jc w:val="both"/>
              <w:rPr>
                <w:rFonts w:ascii="Times New Roman" w:eastAsia="Times New Roman" w:hAnsi="Times New Roman" w:cs="Times New Roman"/>
                <w:sz w:val="22"/>
                <w:szCs w:val="22"/>
                <w:vertAlign w:val="subscript"/>
                <w:lang w:eastAsia="en-ZA"/>
              </w:rPr>
            </w:pPr>
            <w:r w:rsidRPr="00364C97">
              <w:rPr>
                <w:rFonts w:ascii="Times New Roman" w:eastAsia="Times New Roman" w:hAnsi="Times New Roman" w:cs="Times New Roman"/>
                <w:sz w:val="22"/>
                <w:szCs w:val="22"/>
                <w:lang w:eastAsia="en-ZA"/>
              </w:rPr>
              <w:t>3.3 ± 0.10</w:t>
            </w:r>
          </w:p>
        </w:tc>
        <w:tc>
          <w:tcPr>
            <w:tcW w:w="552" w:type="pct"/>
            <w:tcBorders>
              <w:top w:val="nil"/>
              <w:left w:val="nil"/>
              <w:bottom w:val="nil"/>
              <w:right w:val="nil"/>
            </w:tcBorders>
            <w:shd w:val="clear" w:color="auto" w:fill="auto"/>
            <w:noWrap/>
            <w:vAlign w:val="center"/>
            <w:hideMark/>
          </w:tcPr>
          <w:p w14:paraId="4938A76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0.10</w:t>
            </w:r>
          </w:p>
        </w:tc>
        <w:tc>
          <w:tcPr>
            <w:tcW w:w="552" w:type="pct"/>
            <w:tcBorders>
              <w:top w:val="nil"/>
              <w:left w:val="nil"/>
              <w:bottom w:val="nil"/>
              <w:right w:val="nil"/>
            </w:tcBorders>
            <w:shd w:val="clear" w:color="auto" w:fill="auto"/>
            <w:noWrap/>
            <w:vAlign w:val="center"/>
            <w:hideMark/>
          </w:tcPr>
          <w:p w14:paraId="1D7C0D5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0.10</w:t>
            </w:r>
          </w:p>
        </w:tc>
        <w:tc>
          <w:tcPr>
            <w:tcW w:w="552" w:type="pct"/>
            <w:gridSpan w:val="2"/>
            <w:tcBorders>
              <w:top w:val="nil"/>
              <w:left w:val="nil"/>
              <w:bottom w:val="nil"/>
              <w:right w:val="nil"/>
            </w:tcBorders>
            <w:shd w:val="clear" w:color="auto" w:fill="auto"/>
            <w:noWrap/>
            <w:vAlign w:val="center"/>
            <w:hideMark/>
          </w:tcPr>
          <w:p w14:paraId="3B17948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0.10</w:t>
            </w:r>
          </w:p>
        </w:tc>
        <w:tc>
          <w:tcPr>
            <w:tcW w:w="552" w:type="pct"/>
            <w:tcBorders>
              <w:top w:val="nil"/>
              <w:left w:val="nil"/>
              <w:bottom w:val="nil"/>
              <w:right w:val="nil"/>
            </w:tcBorders>
            <w:shd w:val="clear" w:color="auto" w:fill="auto"/>
            <w:noWrap/>
            <w:vAlign w:val="center"/>
            <w:hideMark/>
          </w:tcPr>
          <w:p w14:paraId="12AA9A9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w:t>
            </w:r>
            <w:r w:rsidRPr="00364C97">
              <w:rPr>
                <w:rFonts w:ascii="Times New Roman" w:eastAsia="Times New Roman" w:hAnsi="Times New Roman" w:cs="Times New Roman"/>
                <w:sz w:val="22"/>
                <w:szCs w:val="22"/>
                <w:vertAlign w:val="superscript"/>
                <w:lang w:eastAsia="en-ZA"/>
              </w:rPr>
              <w:t>a</w:t>
            </w:r>
            <w:r w:rsidRPr="00364C97">
              <w:rPr>
                <w:rFonts w:ascii="Times New Roman" w:eastAsia="Times New Roman" w:hAnsi="Times New Roman" w:cs="Times New Roman"/>
                <w:sz w:val="22"/>
                <w:szCs w:val="22"/>
                <w:lang w:eastAsia="en-ZA"/>
              </w:rPr>
              <w:t xml:space="preserve"> ± 0.10</w:t>
            </w:r>
          </w:p>
        </w:tc>
        <w:tc>
          <w:tcPr>
            <w:tcW w:w="552" w:type="pct"/>
            <w:tcBorders>
              <w:top w:val="nil"/>
              <w:left w:val="nil"/>
              <w:bottom w:val="nil"/>
              <w:right w:val="nil"/>
            </w:tcBorders>
            <w:shd w:val="clear" w:color="auto" w:fill="auto"/>
            <w:noWrap/>
            <w:vAlign w:val="center"/>
            <w:hideMark/>
          </w:tcPr>
          <w:p w14:paraId="35F8B97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w:t>
            </w:r>
            <w:r w:rsidRPr="00364C97">
              <w:rPr>
                <w:rFonts w:ascii="Times New Roman" w:eastAsia="Times New Roman" w:hAnsi="Times New Roman" w:cs="Times New Roman"/>
                <w:sz w:val="22"/>
                <w:szCs w:val="22"/>
                <w:vertAlign w:val="superscript"/>
                <w:lang w:eastAsia="en-ZA"/>
              </w:rPr>
              <w:t>b</w:t>
            </w:r>
            <w:r w:rsidRPr="00364C97">
              <w:rPr>
                <w:rFonts w:ascii="Times New Roman" w:eastAsia="Times New Roman" w:hAnsi="Times New Roman" w:cs="Times New Roman"/>
                <w:sz w:val="22"/>
                <w:szCs w:val="22"/>
                <w:lang w:eastAsia="en-ZA"/>
              </w:rPr>
              <w:t xml:space="preserve"> ± 0.10</w:t>
            </w:r>
          </w:p>
        </w:tc>
        <w:tc>
          <w:tcPr>
            <w:tcW w:w="552" w:type="pct"/>
            <w:tcBorders>
              <w:top w:val="nil"/>
              <w:left w:val="nil"/>
              <w:bottom w:val="nil"/>
              <w:right w:val="nil"/>
            </w:tcBorders>
            <w:shd w:val="clear" w:color="auto" w:fill="auto"/>
            <w:noWrap/>
            <w:vAlign w:val="center"/>
            <w:hideMark/>
          </w:tcPr>
          <w:p w14:paraId="21EFEFA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0.10</w:t>
            </w:r>
          </w:p>
        </w:tc>
      </w:tr>
      <w:tr w:rsidR="00EF65F1" w14:paraId="317DFC21"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5EA0060F"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3C154F6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1893259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2.02</w:t>
            </w:r>
          </w:p>
        </w:tc>
        <w:tc>
          <w:tcPr>
            <w:tcW w:w="552" w:type="pct"/>
            <w:tcBorders>
              <w:top w:val="nil"/>
              <w:left w:val="nil"/>
              <w:bottom w:val="nil"/>
              <w:right w:val="nil"/>
            </w:tcBorders>
            <w:shd w:val="clear" w:color="auto" w:fill="auto"/>
            <w:noWrap/>
            <w:vAlign w:val="center"/>
            <w:hideMark/>
          </w:tcPr>
          <w:p w14:paraId="6015D42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3.3 ± 1.04</w:t>
            </w:r>
          </w:p>
        </w:tc>
        <w:tc>
          <w:tcPr>
            <w:tcW w:w="552" w:type="pct"/>
            <w:tcBorders>
              <w:top w:val="nil"/>
              <w:left w:val="nil"/>
              <w:bottom w:val="nil"/>
              <w:right w:val="nil"/>
            </w:tcBorders>
            <w:shd w:val="clear" w:color="auto" w:fill="auto"/>
            <w:noWrap/>
            <w:vAlign w:val="center"/>
            <w:hideMark/>
          </w:tcPr>
          <w:p w14:paraId="407945F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3.7 ± 0.47</w:t>
            </w:r>
          </w:p>
        </w:tc>
        <w:tc>
          <w:tcPr>
            <w:tcW w:w="552" w:type="pct"/>
            <w:gridSpan w:val="2"/>
            <w:tcBorders>
              <w:top w:val="nil"/>
              <w:left w:val="nil"/>
              <w:bottom w:val="nil"/>
              <w:right w:val="nil"/>
            </w:tcBorders>
            <w:shd w:val="clear" w:color="auto" w:fill="auto"/>
            <w:noWrap/>
            <w:vAlign w:val="center"/>
            <w:hideMark/>
          </w:tcPr>
          <w:p w14:paraId="077D23F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4.2 ± 0.44</w:t>
            </w:r>
          </w:p>
        </w:tc>
        <w:tc>
          <w:tcPr>
            <w:tcW w:w="552" w:type="pct"/>
            <w:tcBorders>
              <w:top w:val="nil"/>
              <w:left w:val="nil"/>
              <w:bottom w:val="nil"/>
              <w:right w:val="nil"/>
            </w:tcBorders>
            <w:shd w:val="clear" w:color="auto" w:fill="auto"/>
            <w:noWrap/>
            <w:vAlign w:val="center"/>
            <w:hideMark/>
          </w:tcPr>
          <w:p w14:paraId="66D9866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2.7</w:t>
            </w:r>
            <w:r w:rsidRPr="00364C97">
              <w:rPr>
                <w:rFonts w:ascii="Times New Roman" w:eastAsia="Times New Roman" w:hAnsi="Times New Roman" w:cs="Times New Roman"/>
                <w:sz w:val="22"/>
                <w:szCs w:val="22"/>
                <w:vertAlign w:val="superscript"/>
                <w:lang w:eastAsia="en-ZA"/>
              </w:rPr>
              <w:t>b</w:t>
            </w:r>
            <w:r w:rsidRPr="00364C97">
              <w:rPr>
                <w:rFonts w:ascii="Times New Roman" w:eastAsia="Times New Roman" w:hAnsi="Times New Roman" w:cs="Times New Roman"/>
                <w:sz w:val="22"/>
                <w:szCs w:val="22"/>
                <w:lang w:eastAsia="en-ZA"/>
              </w:rPr>
              <w:t xml:space="preserve"> ± 0.16</w:t>
            </w:r>
          </w:p>
        </w:tc>
        <w:tc>
          <w:tcPr>
            <w:tcW w:w="552" w:type="pct"/>
            <w:tcBorders>
              <w:top w:val="nil"/>
              <w:left w:val="nil"/>
              <w:bottom w:val="nil"/>
              <w:right w:val="nil"/>
            </w:tcBorders>
            <w:shd w:val="clear" w:color="auto" w:fill="auto"/>
            <w:noWrap/>
            <w:vAlign w:val="center"/>
            <w:hideMark/>
          </w:tcPr>
          <w:p w14:paraId="42062F2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4.5</w:t>
            </w:r>
            <w:r w:rsidRPr="00364C97">
              <w:rPr>
                <w:rFonts w:ascii="Times New Roman" w:eastAsia="Times New Roman" w:hAnsi="Times New Roman" w:cs="Times New Roman"/>
                <w:sz w:val="22"/>
                <w:szCs w:val="22"/>
                <w:vertAlign w:val="superscript"/>
                <w:lang w:eastAsia="en-ZA"/>
              </w:rPr>
              <w:t>a</w:t>
            </w:r>
            <w:r w:rsidRPr="00364C97">
              <w:rPr>
                <w:rFonts w:ascii="Times New Roman" w:eastAsia="Times New Roman" w:hAnsi="Times New Roman" w:cs="Times New Roman"/>
                <w:sz w:val="22"/>
                <w:szCs w:val="22"/>
                <w:lang w:eastAsia="en-ZA"/>
              </w:rPr>
              <w:t xml:space="preserve"> ± 0.69</w:t>
            </w:r>
          </w:p>
        </w:tc>
        <w:tc>
          <w:tcPr>
            <w:tcW w:w="552" w:type="pct"/>
            <w:tcBorders>
              <w:top w:val="nil"/>
              <w:left w:val="nil"/>
              <w:bottom w:val="nil"/>
              <w:right w:val="nil"/>
            </w:tcBorders>
            <w:shd w:val="clear" w:color="auto" w:fill="auto"/>
            <w:noWrap/>
            <w:vAlign w:val="center"/>
            <w:hideMark/>
          </w:tcPr>
          <w:p w14:paraId="024BD02D"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 ± 0.78</w:t>
            </w:r>
          </w:p>
        </w:tc>
      </w:tr>
      <w:tr w:rsidR="00EF65F1" w14:paraId="4F2139F1"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493E5728"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77A269D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2CC3C59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3.4 ± 0.57</w:t>
            </w:r>
          </w:p>
        </w:tc>
        <w:tc>
          <w:tcPr>
            <w:tcW w:w="552" w:type="pct"/>
            <w:tcBorders>
              <w:top w:val="nil"/>
              <w:left w:val="nil"/>
              <w:bottom w:val="nil"/>
              <w:right w:val="nil"/>
            </w:tcBorders>
            <w:shd w:val="clear" w:color="auto" w:fill="auto"/>
            <w:noWrap/>
            <w:vAlign w:val="center"/>
            <w:hideMark/>
          </w:tcPr>
          <w:p w14:paraId="6D80BD6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4.2 ± 0.78</w:t>
            </w:r>
          </w:p>
        </w:tc>
        <w:tc>
          <w:tcPr>
            <w:tcW w:w="552" w:type="pct"/>
            <w:tcBorders>
              <w:top w:val="nil"/>
              <w:left w:val="nil"/>
              <w:bottom w:val="nil"/>
              <w:right w:val="nil"/>
            </w:tcBorders>
            <w:shd w:val="clear" w:color="auto" w:fill="auto"/>
            <w:noWrap/>
            <w:vAlign w:val="center"/>
            <w:hideMark/>
          </w:tcPr>
          <w:p w14:paraId="7EEFCA9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3.4 ± 0.89</w:t>
            </w:r>
          </w:p>
        </w:tc>
        <w:tc>
          <w:tcPr>
            <w:tcW w:w="552" w:type="pct"/>
            <w:gridSpan w:val="2"/>
            <w:tcBorders>
              <w:top w:val="nil"/>
              <w:left w:val="nil"/>
              <w:bottom w:val="nil"/>
              <w:right w:val="nil"/>
            </w:tcBorders>
            <w:shd w:val="clear" w:color="auto" w:fill="auto"/>
            <w:noWrap/>
            <w:vAlign w:val="center"/>
            <w:hideMark/>
          </w:tcPr>
          <w:p w14:paraId="503B4A6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3.2 ± 1.12</w:t>
            </w:r>
          </w:p>
        </w:tc>
        <w:tc>
          <w:tcPr>
            <w:tcW w:w="552" w:type="pct"/>
            <w:tcBorders>
              <w:top w:val="nil"/>
              <w:left w:val="nil"/>
              <w:bottom w:val="nil"/>
              <w:right w:val="nil"/>
            </w:tcBorders>
            <w:shd w:val="clear" w:color="auto" w:fill="auto"/>
            <w:noWrap/>
            <w:vAlign w:val="center"/>
            <w:hideMark/>
          </w:tcPr>
          <w:p w14:paraId="0DA366D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w:t>
            </w:r>
            <w:r w:rsidRPr="00364C97">
              <w:rPr>
                <w:rFonts w:ascii="Times New Roman" w:eastAsia="Times New Roman" w:hAnsi="Times New Roman" w:cs="Times New Roman"/>
                <w:sz w:val="22"/>
                <w:szCs w:val="22"/>
                <w:vertAlign w:val="superscript"/>
                <w:lang w:eastAsia="en-ZA"/>
              </w:rPr>
              <w:t>b</w:t>
            </w:r>
            <w:r w:rsidRPr="00364C97">
              <w:rPr>
                <w:rFonts w:ascii="Times New Roman" w:eastAsia="Times New Roman" w:hAnsi="Times New Roman" w:cs="Times New Roman"/>
                <w:sz w:val="22"/>
                <w:szCs w:val="22"/>
                <w:lang w:eastAsia="en-ZA"/>
              </w:rPr>
              <w:t xml:space="preserve"> ± 0.20</w:t>
            </w:r>
          </w:p>
        </w:tc>
        <w:tc>
          <w:tcPr>
            <w:tcW w:w="552" w:type="pct"/>
            <w:tcBorders>
              <w:top w:val="nil"/>
              <w:left w:val="nil"/>
              <w:bottom w:val="nil"/>
              <w:right w:val="nil"/>
            </w:tcBorders>
            <w:shd w:val="clear" w:color="auto" w:fill="auto"/>
            <w:noWrap/>
            <w:vAlign w:val="center"/>
            <w:hideMark/>
          </w:tcPr>
          <w:p w14:paraId="50ADB3ED"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4.2</w:t>
            </w:r>
            <w:r w:rsidRPr="00364C97">
              <w:rPr>
                <w:rFonts w:ascii="Times New Roman" w:eastAsia="Times New Roman" w:hAnsi="Times New Roman" w:cs="Times New Roman"/>
                <w:sz w:val="22"/>
                <w:szCs w:val="22"/>
                <w:vertAlign w:val="superscript"/>
                <w:lang w:eastAsia="en-ZA"/>
              </w:rPr>
              <w:t>ab</w:t>
            </w:r>
            <w:r w:rsidRPr="00364C97">
              <w:rPr>
                <w:rFonts w:ascii="Times New Roman" w:eastAsia="Times New Roman" w:hAnsi="Times New Roman" w:cs="Times New Roman"/>
                <w:sz w:val="22"/>
                <w:szCs w:val="22"/>
                <w:lang w:eastAsia="en-ZA"/>
              </w:rPr>
              <w:t xml:space="preserve"> ± 0.57</w:t>
            </w:r>
          </w:p>
        </w:tc>
        <w:tc>
          <w:tcPr>
            <w:tcW w:w="552" w:type="pct"/>
            <w:tcBorders>
              <w:top w:val="nil"/>
              <w:left w:val="nil"/>
              <w:bottom w:val="nil"/>
              <w:right w:val="nil"/>
            </w:tcBorders>
            <w:shd w:val="clear" w:color="auto" w:fill="auto"/>
            <w:noWrap/>
            <w:vAlign w:val="center"/>
            <w:hideMark/>
          </w:tcPr>
          <w:p w14:paraId="32DC792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2.8 ± 0.83</w:t>
            </w:r>
          </w:p>
        </w:tc>
      </w:tr>
      <w:tr w:rsidR="00EF65F1" w14:paraId="2A283DDB"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48B8ABCA"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6FA34B0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SEM</w:t>
            </w:r>
          </w:p>
        </w:tc>
        <w:tc>
          <w:tcPr>
            <w:tcW w:w="552" w:type="pct"/>
            <w:tcBorders>
              <w:top w:val="nil"/>
              <w:left w:val="nil"/>
              <w:bottom w:val="nil"/>
              <w:right w:val="nil"/>
            </w:tcBorders>
            <w:shd w:val="clear" w:color="auto" w:fill="auto"/>
            <w:noWrap/>
            <w:vAlign w:val="bottom"/>
            <w:hideMark/>
          </w:tcPr>
          <w:p w14:paraId="66826C43"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0.35</w:t>
            </w:r>
          </w:p>
        </w:tc>
        <w:tc>
          <w:tcPr>
            <w:tcW w:w="552" w:type="pct"/>
            <w:tcBorders>
              <w:top w:val="nil"/>
              <w:left w:val="nil"/>
              <w:bottom w:val="nil"/>
              <w:right w:val="nil"/>
            </w:tcBorders>
            <w:shd w:val="clear" w:color="auto" w:fill="auto"/>
            <w:noWrap/>
            <w:vAlign w:val="bottom"/>
            <w:hideMark/>
          </w:tcPr>
          <w:p w14:paraId="3480380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0.27</w:t>
            </w:r>
          </w:p>
        </w:tc>
        <w:tc>
          <w:tcPr>
            <w:tcW w:w="552" w:type="pct"/>
            <w:tcBorders>
              <w:top w:val="nil"/>
              <w:left w:val="nil"/>
              <w:bottom w:val="nil"/>
              <w:right w:val="nil"/>
            </w:tcBorders>
            <w:shd w:val="clear" w:color="auto" w:fill="auto"/>
            <w:noWrap/>
            <w:vAlign w:val="bottom"/>
            <w:hideMark/>
          </w:tcPr>
          <w:p w14:paraId="35F16D4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0.18</w:t>
            </w:r>
          </w:p>
        </w:tc>
        <w:tc>
          <w:tcPr>
            <w:tcW w:w="552" w:type="pct"/>
            <w:gridSpan w:val="2"/>
            <w:tcBorders>
              <w:top w:val="nil"/>
              <w:left w:val="nil"/>
              <w:bottom w:val="nil"/>
              <w:right w:val="nil"/>
            </w:tcBorders>
            <w:shd w:val="clear" w:color="auto" w:fill="auto"/>
            <w:noWrap/>
            <w:vAlign w:val="bottom"/>
            <w:hideMark/>
          </w:tcPr>
          <w:p w14:paraId="09F9503A"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0.25</w:t>
            </w:r>
          </w:p>
        </w:tc>
        <w:tc>
          <w:tcPr>
            <w:tcW w:w="552" w:type="pct"/>
            <w:tcBorders>
              <w:top w:val="nil"/>
              <w:left w:val="nil"/>
              <w:bottom w:val="nil"/>
              <w:right w:val="nil"/>
            </w:tcBorders>
            <w:shd w:val="clear" w:color="auto" w:fill="auto"/>
            <w:noWrap/>
            <w:vAlign w:val="bottom"/>
            <w:hideMark/>
          </w:tcPr>
          <w:p w14:paraId="3C876CF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0.14</w:t>
            </w:r>
          </w:p>
        </w:tc>
        <w:tc>
          <w:tcPr>
            <w:tcW w:w="552" w:type="pct"/>
            <w:tcBorders>
              <w:top w:val="nil"/>
              <w:left w:val="nil"/>
              <w:bottom w:val="nil"/>
              <w:right w:val="nil"/>
            </w:tcBorders>
            <w:shd w:val="clear" w:color="auto" w:fill="auto"/>
            <w:noWrap/>
            <w:vAlign w:val="bottom"/>
            <w:hideMark/>
          </w:tcPr>
          <w:p w14:paraId="326C9D9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0.23</w:t>
            </w:r>
          </w:p>
        </w:tc>
        <w:tc>
          <w:tcPr>
            <w:tcW w:w="552" w:type="pct"/>
            <w:tcBorders>
              <w:top w:val="nil"/>
              <w:left w:val="nil"/>
              <w:bottom w:val="nil"/>
              <w:right w:val="nil"/>
            </w:tcBorders>
            <w:shd w:val="clear" w:color="auto" w:fill="auto"/>
            <w:noWrap/>
            <w:vAlign w:val="bottom"/>
            <w:hideMark/>
          </w:tcPr>
          <w:p w14:paraId="0BE6A3D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0.20</w:t>
            </w:r>
          </w:p>
        </w:tc>
      </w:tr>
      <w:tr w:rsidR="00EF65F1" w14:paraId="08677730"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64D9D0B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1329451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314B5A5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0.99</w:t>
            </w:r>
          </w:p>
        </w:tc>
        <w:tc>
          <w:tcPr>
            <w:tcW w:w="552" w:type="pct"/>
            <w:tcBorders>
              <w:top w:val="nil"/>
              <w:left w:val="nil"/>
              <w:bottom w:val="single" w:sz="4" w:space="0" w:color="auto"/>
              <w:right w:val="nil"/>
            </w:tcBorders>
            <w:shd w:val="clear" w:color="auto" w:fill="auto"/>
            <w:noWrap/>
            <w:vAlign w:val="bottom"/>
            <w:hideMark/>
          </w:tcPr>
          <w:p w14:paraId="32D4B7A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0.24</w:t>
            </w:r>
          </w:p>
        </w:tc>
        <w:tc>
          <w:tcPr>
            <w:tcW w:w="552" w:type="pct"/>
            <w:tcBorders>
              <w:top w:val="nil"/>
              <w:left w:val="nil"/>
              <w:bottom w:val="single" w:sz="4" w:space="0" w:color="auto"/>
              <w:right w:val="nil"/>
            </w:tcBorders>
            <w:shd w:val="clear" w:color="auto" w:fill="auto"/>
            <w:noWrap/>
            <w:vAlign w:val="bottom"/>
            <w:hideMark/>
          </w:tcPr>
          <w:p w14:paraId="259686E4"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0.65</w:t>
            </w:r>
          </w:p>
        </w:tc>
        <w:tc>
          <w:tcPr>
            <w:tcW w:w="552" w:type="pct"/>
            <w:gridSpan w:val="2"/>
            <w:tcBorders>
              <w:top w:val="nil"/>
              <w:left w:val="nil"/>
              <w:bottom w:val="single" w:sz="4" w:space="0" w:color="auto"/>
              <w:right w:val="nil"/>
            </w:tcBorders>
            <w:shd w:val="clear" w:color="auto" w:fill="auto"/>
            <w:noWrap/>
            <w:vAlign w:val="bottom"/>
            <w:hideMark/>
          </w:tcPr>
          <w:p w14:paraId="1AC1B10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0.18</w:t>
            </w:r>
          </w:p>
        </w:tc>
        <w:tc>
          <w:tcPr>
            <w:tcW w:w="552" w:type="pct"/>
            <w:tcBorders>
              <w:top w:val="nil"/>
              <w:left w:val="nil"/>
              <w:bottom w:val="single" w:sz="4" w:space="0" w:color="auto"/>
              <w:right w:val="nil"/>
            </w:tcBorders>
            <w:shd w:val="clear" w:color="auto" w:fill="auto"/>
            <w:noWrap/>
            <w:vAlign w:val="bottom"/>
            <w:hideMark/>
          </w:tcPr>
          <w:p w14:paraId="13B0DEA4"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0.01</w:t>
            </w:r>
          </w:p>
        </w:tc>
        <w:tc>
          <w:tcPr>
            <w:tcW w:w="552" w:type="pct"/>
            <w:tcBorders>
              <w:top w:val="nil"/>
              <w:left w:val="nil"/>
              <w:bottom w:val="single" w:sz="4" w:space="0" w:color="auto"/>
              <w:right w:val="nil"/>
            </w:tcBorders>
            <w:shd w:val="clear" w:color="auto" w:fill="auto"/>
            <w:noWrap/>
            <w:vAlign w:val="bottom"/>
            <w:hideMark/>
          </w:tcPr>
          <w:p w14:paraId="0359FA8C"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0.05</w:t>
            </w:r>
          </w:p>
        </w:tc>
        <w:tc>
          <w:tcPr>
            <w:tcW w:w="552" w:type="pct"/>
            <w:tcBorders>
              <w:top w:val="nil"/>
              <w:left w:val="nil"/>
              <w:bottom w:val="single" w:sz="4" w:space="0" w:color="auto"/>
              <w:right w:val="nil"/>
            </w:tcBorders>
            <w:shd w:val="clear" w:color="auto" w:fill="auto"/>
            <w:noWrap/>
            <w:vAlign w:val="bottom"/>
            <w:hideMark/>
          </w:tcPr>
          <w:p w14:paraId="2DED6C7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0.68</w:t>
            </w:r>
          </w:p>
        </w:tc>
      </w:tr>
      <w:tr w:rsidR="00EF65F1" w14:paraId="4D0C44FB"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04543160"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8h</w:t>
            </w:r>
          </w:p>
        </w:tc>
        <w:tc>
          <w:tcPr>
            <w:tcW w:w="643" w:type="pct"/>
            <w:gridSpan w:val="3"/>
            <w:tcBorders>
              <w:top w:val="nil"/>
              <w:left w:val="nil"/>
              <w:bottom w:val="nil"/>
              <w:right w:val="nil"/>
            </w:tcBorders>
            <w:shd w:val="clear" w:color="auto" w:fill="auto"/>
            <w:vAlign w:val="center"/>
            <w:hideMark/>
          </w:tcPr>
          <w:p w14:paraId="2CF6E78C"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171DBE2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w:t>
            </w:r>
          </w:p>
        </w:tc>
        <w:tc>
          <w:tcPr>
            <w:tcW w:w="552" w:type="pct"/>
            <w:tcBorders>
              <w:top w:val="nil"/>
              <w:left w:val="nil"/>
              <w:bottom w:val="nil"/>
              <w:right w:val="nil"/>
            </w:tcBorders>
            <w:shd w:val="clear" w:color="auto" w:fill="auto"/>
            <w:noWrap/>
            <w:vAlign w:val="center"/>
            <w:hideMark/>
          </w:tcPr>
          <w:p w14:paraId="6B13AA6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w:t>
            </w:r>
          </w:p>
        </w:tc>
        <w:tc>
          <w:tcPr>
            <w:tcW w:w="552" w:type="pct"/>
            <w:tcBorders>
              <w:top w:val="nil"/>
              <w:left w:val="nil"/>
              <w:bottom w:val="nil"/>
              <w:right w:val="nil"/>
            </w:tcBorders>
            <w:shd w:val="clear" w:color="auto" w:fill="auto"/>
            <w:noWrap/>
            <w:vAlign w:val="center"/>
            <w:hideMark/>
          </w:tcPr>
          <w:p w14:paraId="6C7D87B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w:t>
            </w:r>
          </w:p>
        </w:tc>
        <w:tc>
          <w:tcPr>
            <w:tcW w:w="552" w:type="pct"/>
            <w:gridSpan w:val="2"/>
            <w:tcBorders>
              <w:top w:val="nil"/>
              <w:left w:val="nil"/>
              <w:bottom w:val="nil"/>
              <w:right w:val="nil"/>
            </w:tcBorders>
            <w:shd w:val="clear" w:color="auto" w:fill="auto"/>
            <w:noWrap/>
            <w:vAlign w:val="center"/>
            <w:hideMark/>
          </w:tcPr>
          <w:p w14:paraId="26CC3DD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w:t>
            </w:r>
          </w:p>
        </w:tc>
        <w:tc>
          <w:tcPr>
            <w:tcW w:w="552" w:type="pct"/>
            <w:tcBorders>
              <w:top w:val="nil"/>
              <w:left w:val="nil"/>
              <w:bottom w:val="nil"/>
              <w:right w:val="nil"/>
            </w:tcBorders>
            <w:shd w:val="clear" w:color="auto" w:fill="auto"/>
            <w:noWrap/>
            <w:vAlign w:val="center"/>
            <w:hideMark/>
          </w:tcPr>
          <w:p w14:paraId="046D2A2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w:t>
            </w:r>
          </w:p>
        </w:tc>
        <w:tc>
          <w:tcPr>
            <w:tcW w:w="552" w:type="pct"/>
            <w:tcBorders>
              <w:top w:val="nil"/>
              <w:left w:val="nil"/>
              <w:bottom w:val="nil"/>
              <w:right w:val="nil"/>
            </w:tcBorders>
            <w:shd w:val="clear" w:color="auto" w:fill="auto"/>
            <w:noWrap/>
            <w:vAlign w:val="center"/>
            <w:hideMark/>
          </w:tcPr>
          <w:p w14:paraId="6AF7448D"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w:t>
            </w:r>
            <w:r w:rsidRPr="00364C97">
              <w:rPr>
                <w:rFonts w:ascii="Times New Roman" w:eastAsia="Times New Roman" w:hAnsi="Times New Roman" w:cs="Times New Roman"/>
                <w:sz w:val="22"/>
                <w:szCs w:val="22"/>
                <w:vertAlign w:val="superscript"/>
                <w:lang w:eastAsia="en-ZA"/>
              </w:rPr>
              <w:t>b</w:t>
            </w:r>
            <w:r w:rsidRPr="00364C97">
              <w:rPr>
                <w:rFonts w:ascii="Times New Roman" w:eastAsia="Times New Roman" w:hAnsi="Times New Roman" w:cs="Times New Roman"/>
                <w:sz w:val="22"/>
                <w:szCs w:val="22"/>
                <w:lang w:eastAsia="en-ZA"/>
              </w:rPr>
              <w:t xml:space="preserve"> ± 1.40</w:t>
            </w:r>
          </w:p>
        </w:tc>
        <w:tc>
          <w:tcPr>
            <w:tcW w:w="552" w:type="pct"/>
            <w:tcBorders>
              <w:top w:val="nil"/>
              <w:left w:val="nil"/>
              <w:bottom w:val="nil"/>
              <w:right w:val="nil"/>
            </w:tcBorders>
            <w:shd w:val="clear" w:color="auto" w:fill="auto"/>
            <w:noWrap/>
            <w:vAlign w:val="center"/>
            <w:hideMark/>
          </w:tcPr>
          <w:p w14:paraId="2B0DD76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1.40</w:t>
            </w:r>
          </w:p>
        </w:tc>
      </w:tr>
      <w:tr w:rsidR="00EF65F1" w14:paraId="06DF8774"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6ABF397B"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450D1DE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2340977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11.4 ± 2.12</w:t>
            </w:r>
          </w:p>
        </w:tc>
        <w:tc>
          <w:tcPr>
            <w:tcW w:w="552" w:type="pct"/>
            <w:tcBorders>
              <w:top w:val="nil"/>
              <w:left w:val="nil"/>
              <w:bottom w:val="nil"/>
              <w:right w:val="nil"/>
            </w:tcBorders>
            <w:shd w:val="clear" w:color="auto" w:fill="auto"/>
            <w:noWrap/>
            <w:vAlign w:val="center"/>
            <w:hideMark/>
          </w:tcPr>
          <w:p w14:paraId="000039D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1.25</w:t>
            </w:r>
          </w:p>
        </w:tc>
        <w:tc>
          <w:tcPr>
            <w:tcW w:w="552" w:type="pct"/>
            <w:tcBorders>
              <w:top w:val="nil"/>
              <w:left w:val="nil"/>
              <w:bottom w:val="nil"/>
              <w:right w:val="nil"/>
            </w:tcBorders>
            <w:shd w:val="clear" w:color="auto" w:fill="auto"/>
            <w:noWrap/>
            <w:vAlign w:val="center"/>
            <w:hideMark/>
          </w:tcPr>
          <w:p w14:paraId="23B836D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12.1 ± 1.48</w:t>
            </w:r>
          </w:p>
        </w:tc>
        <w:tc>
          <w:tcPr>
            <w:tcW w:w="552" w:type="pct"/>
            <w:gridSpan w:val="2"/>
            <w:tcBorders>
              <w:top w:val="nil"/>
              <w:left w:val="nil"/>
              <w:bottom w:val="nil"/>
              <w:right w:val="nil"/>
            </w:tcBorders>
            <w:shd w:val="clear" w:color="auto" w:fill="auto"/>
            <w:noWrap/>
            <w:vAlign w:val="center"/>
            <w:hideMark/>
          </w:tcPr>
          <w:p w14:paraId="6D1BA28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12.8 ± 0.83</w:t>
            </w:r>
          </w:p>
        </w:tc>
        <w:tc>
          <w:tcPr>
            <w:tcW w:w="552" w:type="pct"/>
            <w:tcBorders>
              <w:top w:val="nil"/>
              <w:left w:val="nil"/>
              <w:bottom w:val="nil"/>
              <w:right w:val="nil"/>
            </w:tcBorders>
            <w:shd w:val="clear" w:color="auto" w:fill="auto"/>
            <w:noWrap/>
            <w:vAlign w:val="center"/>
            <w:hideMark/>
          </w:tcPr>
          <w:p w14:paraId="5836076D"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 ± 2.42</w:t>
            </w:r>
          </w:p>
        </w:tc>
        <w:tc>
          <w:tcPr>
            <w:tcW w:w="552" w:type="pct"/>
            <w:tcBorders>
              <w:top w:val="nil"/>
              <w:left w:val="nil"/>
              <w:bottom w:val="nil"/>
              <w:right w:val="nil"/>
            </w:tcBorders>
            <w:shd w:val="clear" w:color="auto" w:fill="auto"/>
            <w:noWrap/>
            <w:vAlign w:val="center"/>
            <w:hideMark/>
          </w:tcPr>
          <w:p w14:paraId="2BC7D56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13.3</w:t>
            </w:r>
            <w:r w:rsidRPr="00364C97">
              <w:rPr>
                <w:rFonts w:ascii="Times New Roman" w:eastAsia="Times New Roman" w:hAnsi="Times New Roman" w:cs="Times New Roman"/>
                <w:sz w:val="22"/>
                <w:szCs w:val="22"/>
                <w:vertAlign w:val="superscript"/>
                <w:lang w:eastAsia="en-ZA"/>
              </w:rPr>
              <w:t>a</w:t>
            </w:r>
            <w:r w:rsidRPr="00364C97">
              <w:rPr>
                <w:rFonts w:ascii="Times New Roman" w:eastAsia="Times New Roman" w:hAnsi="Times New Roman" w:cs="Times New Roman"/>
                <w:sz w:val="22"/>
                <w:szCs w:val="22"/>
                <w:lang w:eastAsia="en-ZA"/>
              </w:rPr>
              <w:t xml:space="preserve"> ± 1.50</w:t>
            </w:r>
          </w:p>
        </w:tc>
        <w:tc>
          <w:tcPr>
            <w:tcW w:w="552" w:type="pct"/>
            <w:tcBorders>
              <w:top w:val="nil"/>
              <w:left w:val="nil"/>
              <w:bottom w:val="nil"/>
              <w:right w:val="nil"/>
            </w:tcBorders>
            <w:shd w:val="clear" w:color="auto" w:fill="auto"/>
            <w:noWrap/>
            <w:vAlign w:val="center"/>
            <w:hideMark/>
          </w:tcPr>
          <w:p w14:paraId="2C52FDC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11.3 ± 2.40</w:t>
            </w:r>
          </w:p>
        </w:tc>
      </w:tr>
      <w:tr w:rsidR="00EF65F1" w14:paraId="065821A6"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485C28C9"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129570F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0A1BE50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10.0 ± 1.00</w:t>
            </w:r>
          </w:p>
        </w:tc>
        <w:tc>
          <w:tcPr>
            <w:tcW w:w="552" w:type="pct"/>
            <w:tcBorders>
              <w:top w:val="nil"/>
              <w:left w:val="nil"/>
              <w:bottom w:val="nil"/>
              <w:right w:val="nil"/>
            </w:tcBorders>
            <w:shd w:val="clear" w:color="auto" w:fill="auto"/>
            <w:noWrap/>
            <w:vAlign w:val="center"/>
            <w:hideMark/>
          </w:tcPr>
          <w:p w14:paraId="6B2D74C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12.6 ± 1.53</w:t>
            </w:r>
          </w:p>
        </w:tc>
        <w:tc>
          <w:tcPr>
            <w:tcW w:w="552" w:type="pct"/>
            <w:tcBorders>
              <w:top w:val="nil"/>
              <w:left w:val="nil"/>
              <w:bottom w:val="nil"/>
              <w:right w:val="nil"/>
            </w:tcBorders>
            <w:shd w:val="clear" w:color="auto" w:fill="auto"/>
            <w:noWrap/>
            <w:vAlign w:val="center"/>
            <w:hideMark/>
          </w:tcPr>
          <w:p w14:paraId="49E634E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12.0 ± 1.81</w:t>
            </w:r>
          </w:p>
        </w:tc>
        <w:tc>
          <w:tcPr>
            <w:tcW w:w="552" w:type="pct"/>
            <w:gridSpan w:val="2"/>
            <w:tcBorders>
              <w:top w:val="nil"/>
              <w:left w:val="nil"/>
              <w:bottom w:val="nil"/>
              <w:right w:val="nil"/>
            </w:tcBorders>
            <w:shd w:val="clear" w:color="auto" w:fill="auto"/>
            <w:noWrap/>
            <w:vAlign w:val="center"/>
            <w:hideMark/>
          </w:tcPr>
          <w:p w14:paraId="1F88AC1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11.7 ± 2.03</w:t>
            </w:r>
          </w:p>
        </w:tc>
        <w:tc>
          <w:tcPr>
            <w:tcW w:w="552" w:type="pct"/>
            <w:tcBorders>
              <w:top w:val="nil"/>
              <w:left w:val="nil"/>
              <w:bottom w:val="nil"/>
              <w:right w:val="nil"/>
            </w:tcBorders>
            <w:shd w:val="clear" w:color="auto" w:fill="auto"/>
            <w:noWrap/>
            <w:vAlign w:val="center"/>
            <w:hideMark/>
          </w:tcPr>
          <w:p w14:paraId="593E688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10.8 ± 0.98</w:t>
            </w:r>
          </w:p>
        </w:tc>
        <w:tc>
          <w:tcPr>
            <w:tcW w:w="552" w:type="pct"/>
            <w:tcBorders>
              <w:top w:val="nil"/>
              <w:left w:val="nil"/>
              <w:bottom w:val="nil"/>
              <w:right w:val="nil"/>
            </w:tcBorders>
            <w:shd w:val="clear" w:color="auto" w:fill="auto"/>
            <w:noWrap/>
            <w:vAlign w:val="center"/>
            <w:hideMark/>
          </w:tcPr>
          <w:p w14:paraId="4A3C3CF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13.0</w:t>
            </w:r>
            <w:r w:rsidRPr="00364C97">
              <w:rPr>
                <w:rFonts w:ascii="Times New Roman" w:eastAsia="Times New Roman" w:hAnsi="Times New Roman" w:cs="Times New Roman"/>
                <w:sz w:val="22"/>
                <w:szCs w:val="22"/>
                <w:vertAlign w:val="superscript"/>
                <w:lang w:eastAsia="en-ZA"/>
              </w:rPr>
              <w:t>a</w:t>
            </w:r>
            <w:r w:rsidRPr="00364C97">
              <w:rPr>
                <w:rFonts w:ascii="Times New Roman" w:eastAsia="Times New Roman" w:hAnsi="Times New Roman" w:cs="Times New Roman"/>
                <w:sz w:val="22"/>
                <w:szCs w:val="22"/>
                <w:lang w:eastAsia="en-ZA"/>
              </w:rPr>
              <w:t xml:space="preserve"> ± 1.32</w:t>
            </w:r>
          </w:p>
        </w:tc>
        <w:tc>
          <w:tcPr>
            <w:tcW w:w="552" w:type="pct"/>
            <w:tcBorders>
              <w:top w:val="nil"/>
              <w:left w:val="nil"/>
              <w:bottom w:val="nil"/>
              <w:right w:val="nil"/>
            </w:tcBorders>
            <w:shd w:val="clear" w:color="auto" w:fill="auto"/>
            <w:noWrap/>
            <w:vAlign w:val="center"/>
            <w:hideMark/>
          </w:tcPr>
          <w:p w14:paraId="03FC6FC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10.6 ± 1.92</w:t>
            </w:r>
          </w:p>
        </w:tc>
      </w:tr>
      <w:tr w:rsidR="00EF65F1" w14:paraId="61A9248C"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7E0F8B4F"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356043C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SEM</w:t>
            </w:r>
          </w:p>
        </w:tc>
        <w:tc>
          <w:tcPr>
            <w:tcW w:w="552" w:type="pct"/>
            <w:tcBorders>
              <w:top w:val="nil"/>
              <w:left w:val="nil"/>
              <w:bottom w:val="nil"/>
              <w:right w:val="nil"/>
            </w:tcBorders>
            <w:shd w:val="clear" w:color="auto" w:fill="auto"/>
            <w:noWrap/>
            <w:vAlign w:val="bottom"/>
            <w:hideMark/>
          </w:tcPr>
          <w:p w14:paraId="4914AFF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0.52</w:t>
            </w:r>
          </w:p>
        </w:tc>
        <w:tc>
          <w:tcPr>
            <w:tcW w:w="552" w:type="pct"/>
            <w:tcBorders>
              <w:top w:val="nil"/>
              <w:left w:val="nil"/>
              <w:bottom w:val="nil"/>
              <w:right w:val="nil"/>
            </w:tcBorders>
            <w:shd w:val="clear" w:color="auto" w:fill="auto"/>
            <w:noWrap/>
            <w:vAlign w:val="bottom"/>
            <w:hideMark/>
          </w:tcPr>
          <w:p w14:paraId="39AF5093"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0.47</w:t>
            </w:r>
          </w:p>
        </w:tc>
        <w:tc>
          <w:tcPr>
            <w:tcW w:w="552" w:type="pct"/>
            <w:tcBorders>
              <w:top w:val="nil"/>
              <w:left w:val="nil"/>
              <w:bottom w:val="nil"/>
              <w:right w:val="nil"/>
            </w:tcBorders>
            <w:shd w:val="clear" w:color="auto" w:fill="auto"/>
            <w:noWrap/>
            <w:vAlign w:val="bottom"/>
            <w:hideMark/>
          </w:tcPr>
          <w:p w14:paraId="15B2F9F0"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0.46</w:t>
            </w:r>
          </w:p>
        </w:tc>
        <w:tc>
          <w:tcPr>
            <w:tcW w:w="552" w:type="pct"/>
            <w:gridSpan w:val="2"/>
            <w:tcBorders>
              <w:top w:val="nil"/>
              <w:left w:val="nil"/>
              <w:bottom w:val="nil"/>
              <w:right w:val="nil"/>
            </w:tcBorders>
            <w:shd w:val="clear" w:color="auto" w:fill="auto"/>
            <w:noWrap/>
            <w:vAlign w:val="bottom"/>
            <w:hideMark/>
          </w:tcPr>
          <w:p w14:paraId="0E2B1A3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0.47</w:t>
            </w:r>
          </w:p>
        </w:tc>
        <w:tc>
          <w:tcPr>
            <w:tcW w:w="552" w:type="pct"/>
            <w:tcBorders>
              <w:top w:val="nil"/>
              <w:left w:val="nil"/>
              <w:bottom w:val="nil"/>
              <w:right w:val="nil"/>
            </w:tcBorders>
            <w:shd w:val="clear" w:color="auto" w:fill="auto"/>
            <w:noWrap/>
            <w:vAlign w:val="bottom"/>
            <w:hideMark/>
          </w:tcPr>
          <w:p w14:paraId="2698B7DF"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0.51</w:t>
            </w:r>
          </w:p>
        </w:tc>
        <w:tc>
          <w:tcPr>
            <w:tcW w:w="552" w:type="pct"/>
            <w:tcBorders>
              <w:top w:val="nil"/>
              <w:left w:val="nil"/>
              <w:bottom w:val="nil"/>
              <w:right w:val="nil"/>
            </w:tcBorders>
            <w:shd w:val="clear" w:color="auto" w:fill="auto"/>
            <w:noWrap/>
            <w:vAlign w:val="bottom"/>
            <w:hideMark/>
          </w:tcPr>
          <w:p w14:paraId="4BD2B95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0.48</w:t>
            </w:r>
          </w:p>
        </w:tc>
        <w:tc>
          <w:tcPr>
            <w:tcW w:w="552" w:type="pct"/>
            <w:tcBorders>
              <w:top w:val="nil"/>
              <w:left w:val="nil"/>
              <w:bottom w:val="nil"/>
              <w:right w:val="nil"/>
            </w:tcBorders>
            <w:shd w:val="clear" w:color="auto" w:fill="auto"/>
            <w:noWrap/>
            <w:vAlign w:val="bottom"/>
            <w:hideMark/>
          </w:tcPr>
          <w:p w14:paraId="6E1CCB1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0.58</w:t>
            </w:r>
          </w:p>
        </w:tc>
      </w:tr>
      <w:tr w:rsidR="00EF65F1" w14:paraId="1D5B1BC4"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30EC095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6A30345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5653C0BF"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0.17</w:t>
            </w:r>
          </w:p>
        </w:tc>
        <w:tc>
          <w:tcPr>
            <w:tcW w:w="552" w:type="pct"/>
            <w:tcBorders>
              <w:top w:val="nil"/>
              <w:left w:val="nil"/>
              <w:bottom w:val="single" w:sz="4" w:space="0" w:color="auto"/>
              <w:right w:val="nil"/>
            </w:tcBorders>
            <w:shd w:val="clear" w:color="auto" w:fill="auto"/>
            <w:noWrap/>
            <w:vAlign w:val="bottom"/>
            <w:hideMark/>
          </w:tcPr>
          <w:p w14:paraId="66163780"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0.15</w:t>
            </w:r>
          </w:p>
        </w:tc>
        <w:tc>
          <w:tcPr>
            <w:tcW w:w="552" w:type="pct"/>
            <w:tcBorders>
              <w:top w:val="nil"/>
              <w:left w:val="nil"/>
              <w:bottom w:val="single" w:sz="4" w:space="0" w:color="auto"/>
              <w:right w:val="nil"/>
            </w:tcBorders>
            <w:shd w:val="clear" w:color="auto" w:fill="auto"/>
            <w:noWrap/>
            <w:vAlign w:val="bottom"/>
            <w:hideMark/>
          </w:tcPr>
          <w:p w14:paraId="7D5C1AB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0.61</w:t>
            </w:r>
          </w:p>
        </w:tc>
        <w:tc>
          <w:tcPr>
            <w:tcW w:w="552" w:type="pct"/>
            <w:gridSpan w:val="2"/>
            <w:tcBorders>
              <w:top w:val="nil"/>
              <w:left w:val="nil"/>
              <w:bottom w:val="single" w:sz="4" w:space="0" w:color="auto"/>
              <w:right w:val="nil"/>
            </w:tcBorders>
            <w:shd w:val="clear" w:color="auto" w:fill="auto"/>
            <w:noWrap/>
            <w:vAlign w:val="bottom"/>
            <w:hideMark/>
          </w:tcPr>
          <w:p w14:paraId="5179C9ED"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0.23</w:t>
            </w:r>
          </w:p>
        </w:tc>
        <w:tc>
          <w:tcPr>
            <w:tcW w:w="552" w:type="pct"/>
            <w:tcBorders>
              <w:top w:val="nil"/>
              <w:left w:val="nil"/>
              <w:bottom w:val="single" w:sz="4" w:space="0" w:color="auto"/>
              <w:right w:val="nil"/>
            </w:tcBorders>
            <w:shd w:val="clear" w:color="auto" w:fill="auto"/>
            <w:noWrap/>
            <w:vAlign w:val="bottom"/>
            <w:hideMark/>
          </w:tcPr>
          <w:p w14:paraId="4844753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0.67</w:t>
            </w:r>
          </w:p>
        </w:tc>
        <w:tc>
          <w:tcPr>
            <w:tcW w:w="552" w:type="pct"/>
            <w:tcBorders>
              <w:top w:val="nil"/>
              <w:left w:val="nil"/>
              <w:bottom w:val="single" w:sz="4" w:space="0" w:color="auto"/>
              <w:right w:val="nil"/>
            </w:tcBorders>
            <w:shd w:val="clear" w:color="auto" w:fill="auto"/>
            <w:noWrap/>
            <w:vAlign w:val="bottom"/>
            <w:hideMark/>
          </w:tcPr>
          <w:p w14:paraId="0551C34F"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0.02</w:t>
            </w:r>
          </w:p>
        </w:tc>
        <w:tc>
          <w:tcPr>
            <w:tcW w:w="552" w:type="pct"/>
            <w:tcBorders>
              <w:top w:val="nil"/>
              <w:left w:val="nil"/>
              <w:bottom w:val="single" w:sz="4" w:space="0" w:color="auto"/>
              <w:right w:val="nil"/>
            </w:tcBorders>
            <w:shd w:val="clear" w:color="auto" w:fill="auto"/>
            <w:noWrap/>
            <w:vAlign w:val="bottom"/>
            <w:hideMark/>
          </w:tcPr>
          <w:p w14:paraId="2CBE58A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0.67</w:t>
            </w:r>
          </w:p>
        </w:tc>
      </w:tr>
      <w:tr w:rsidR="00EF65F1" w14:paraId="56C1AFAF"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4B44EAA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12h</w:t>
            </w:r>
          </w:p>
        </w:tc>
        <w:tc>
          <w:tcPr>
            <w:tcW w:w="643" w:type="pct"/>
            <w:gridSpan w:val="3"/>
            <w:tcBorders>
              <w:top w:val="nil"/>
              <w:left w:val="nil"/>
              <w:bottom w:val="nil"/>
              <w:right w:val="nil"/>
            </w:tcBorders>
            <w:shd w:val="clear" w:color="auto" w:fill="auto"/>
            <w:vAlign w:val="center"/>
            <w:hideMark/>
          </w:tcPr>
          <w:p w14:paraId="2DEB925D"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415AD75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c>
          <w:tcPr>
            <w:tcW w:w="552" w:type="pct"/>
            <w:tcBorders>
              <w:top w:val="nil"/>
              <w:left w:val="nil"/>
              <w:bottom w:val="nil"/>
              <w:right w:val="nil"/>
            </w:tcBorders>
            <w:shd w:val="clear" w:color="auto" w:fill="auto"/>
            <w:noWrap/>
            <w:vAlign w:val="center"/>
            <w:hideMark/>
          </w:tcPr>
          <w:p w14:paraId="55052C5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c>
          <w:tcPr>
            <w:tcW w:w="552" w:type="pct"/>
            <w:tcBorders>
              <w:top w:val="nil"/>
              <w:left w:val="nil"/>
              <w:bottom w:val="nil"/>
              <w:right w:val="nil"/>
            </w:tcBorders>
            <w:shd w:val="clear" w:color="auto" w:fill="auto"/>
            <w:noWrap/>
            <w:vAlign w:val="center"/>
            <w:hideMark/>
          </w:tcPr>
          <w:p w14:paraId="4282840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c>
          <w:tcPr>
            <w:tcW w:w="552" w:type="pct"/>
            <w:gridSpan w:val="2"/>
            <w:tcBorders>
              <w:top w:val="nil"/>
              <w:left w:val="nil"/>
              <w:bottom w:val="nil"/>
              <w:right w:val="nil"/>
            </w:tcBorders>
            <w:shd w:val="clear" w:color="auto" w:fill="auto"/>
            <w:noWrap/>
            <w:vAlign w:val="center"/>
            <w:hideMark/>
          </w:tcPr>
          <w:p w14:paraId="241007D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c>
          <w:tcPr>
            <w:tcW w:w="552" w:type="pct"/>
            <w:tcBorders>
              <w:top w:val="nil"/>
              <w:left w:val="nil"/>
              <w:bottom w:val="nil"/>
              <w:right w:val="nil"/>
            </w:tcBorders>
            <w:shd w:val="clear" w:color="auto" w:fill="auto"/>
            <w:noWrap/>
            <w:vAlign w:val="center"/>
            <w:hideMark/>
          </w:tcPr>
          <w:p w14:paraId="160A84C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c>
          <w:tcPr>
            <w:tcW w:w="552" w:type="pct"/>
            <w:tcBorders>
              <w:top w:val="nil"/>
              <w:left w:val="nil"/>
              <w:bottom w:val="nil"/>
              <w:right w:val="nil"/>
            </w:tcBorders>
            <w:shd w:val="clear" w:color="auto" w:fill="auto"/>
            <w:noWrap/>
            <w:vAlign w:val="center"/>
            <w:hideMark/>
          </w:tcPr>
          <w:p w14:paraId="2C94717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w:t>
            </w:r>
            <w:r w:rsidRPr="00364C97">
              <w:rPr>
                <w:rFonts w:ascii="Times New Roman" w:eastAsia="Times New Roman" w:hAnsi="Times New Roman" w:cs="Times New Roman"/>
                <w:sz w:val="22"/>
                <w:szCs w:val="22"/>
                <w:vertAlign w:val="superscript"/>
                <w:lang w:eastAsia="en-ZA"/>
              </w:rPr>
              <w:t>c</w:t>
            </w:r>
            <w:r w:rsidRPr="00364C97">
              <w:rPr>
                <w:rFonts w:ascii="Times New Roman" w:eastAsia="Times New Roman" w:hAnsi="Times New Roman" w:cs="Times New Roman"/>
                <w:sz w:val="22"/>
                <w:szCs w:val="22"/>
                <w:lang w:eastAsia="en-ZA"/>
              </w:rPr>
              <w:t xml:space="preserve"> ± 2.10</w:t>
            </w:r>
          </w:p>
        </w:tc>
        <w:tc>
          <w:tcPr>
            <w:tcW w:w="552" w:type="pct"/>
            <w:tcBorders>
              <w:top w:val="nil"/>
              <w:left w:val="nil"/>
              <w:bottom w:val="nil"/>
              <w:right w:val="nil"/>
            </w:tcBorders>
            <w:shd w:val="clear" w:color="auto" w:fill="auto"/>
            <w:noWrap/>
            <w:vAlign w:val="center"/>
            <w:hideMark/>
          </w:tcPr>
          <w:p w14:paraId="55D13A9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24.9 ± 2.10</w:t>
            </w:r>
          </w:p>
        </w:tc>
      </w:tr>
      <w:tr w:rsidR="00EF65F1" w14:paraId="7005F3BC"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5F7DBDF0"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75EC999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10CC59C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24.6 ± 1.52</w:t>
            </w:r>
          </w:p>
        </w:tc>
        <w:tc>
          <w:tcPr>
            <w:tcW w:w="552" w:type="pct"/>
            <w:tcBorders>
              <w:top w:val="nil"/>
              <w:left w:val="nil"/>
              <w:bottom w:val="nil"/>
              <w:right w:val="nil"/>
            </w:tcBorders>
            <w:shd w:val="clear" w:color="auto" w:fill="auto"/>
            <w:noWrap/>
            <w:vAlign w:val="center"/>
            <w:hideMark/>
          </w:tcPr>
          <w:p w14:paraId="0A9CAB6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24.7 ± 1.57</w:t>
            </w:r>
          </w:p>
        </w:tc>
        <w:tc>
          <w:tcPr>
            <w:tcW w:w="552" w:type="pct"/>
            <w:tcBorders>
              <w:top w:val="nil"/>
              <w:left w:val="nil"/>
              <w:bottom w:val="nil"/>
              <w:right w:val="nil"/>
            </w:tcBorders>
            <w:shd w:val="clear" w:color="auto" w:fill="auto"/>
            <w:noWrap/>
            <w:vAlign w:val="center"/>
            <w:hideMark/>
          </w:tcPr>
          <w:p w14:paraId="3768DAF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26.1 ± 1.48</w:t>
            </w:r>
          </w:p>
        </w:tc>
        <w:tc>
          <w:tcPr>
            <w:tcW w:w="552" w:type="pct"/>
            <w:gridSpan w:val="2"/>
            <w:tcBorders>
              <w:top w:val="nil"/>
              <w:left w:val="nil"/>
              <w:bottom w:val="nil"/>
              <w:right w:val="nil"/>
            </w:tcBorders>
            <w:shd w:val="clear" w:color="auto" w:fill="auto"/>
            <w:noWrap/>
            <w:vAlign w:val="center"/>
            <w:hideMark/>
          </w:tcPr>
          <w:p w14:paraId="4CA557A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26.4 ± 0.99</w:t>
            </w:r>
          </w:p>
        </w:tc>
        <w:tc>
          <w:tcPr>
            <w:tcW w:w="552" w:type="pct"/>
            <w:tcBorders>
              <w:top w:val="nil"/>
              <w:left w:val="nil"/>
              <w:bottom w:val="nil"/>
              <w:right w:val="nil"/>
            </w:tcBorders>
            <w:shd w:val="clear" w:color="auto" w:fill="auto"/>
            <w:noWrap/>
            <w:vAlign w:val="center"/>
            <w:hideMark/>
          </w:tcPr>
          <w:p w14:paraId="7E20694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24.7 ± 3.15</w:t>
            </w:r>
          </w:p>
        </w:tc>
        <w:tc>
          <w:tcPr>
            <w:tcW w:w="552" w:type="pct"/>
            <w:tcBorders>
              <w:top w:val="nil"/>
              <w:left w:val="nil"/>
              <w:bottom w:val="nil"/>
              <w:right w:val="nil"/>
            </w:tcBorders>
            <w:shd w:val="clear" w:color="auto" w:fill="auto"/>
            <w:noWrap/>
            <w:vAlign w:val="center"/>
            <w:hideMark/>
          </w:tcPr>
          <w:p w14:paraId="3C747B5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26.8</w:t>
            </w:r>
            <w:r w:rsidRPr="00364C97">
              <w:rPr>
                <w:rFonts w:ascii="Times New Roman" w:eastAsia="Times New Roman" w:hAnsi="Times New Roman" w:cs="Times New Roman"/>
                <w:sz w:val="22"/>
                <w:szCs w:val="22"/>
                <w:vertAlign w:val="superscript"/>
                <w:lang w:eastAsia="en-ZA"/>
              </w:rPr>
              <w:t>a</w:t>
            </w:r>
            <w:r w:rsidRPr="00364C97">
              <w:rPr>
                <w:rFonts w:ascii="Times New Roman" w:eastAsia="Times New Roman" w:hAnsi="Times New Roman" w:cs="Times New Roman"/>
                <w:sz w:val="22"/>
                <w:szCs w:val="22"/>
                <w:lang w:eastAsia="en-ZA"/>
              </w:rPr>
              <w:t xml:space="preserve"> ± 2.07</w:t>
            </w:r>
          </w:p>
        </w:tc>
        <w:tc>
          <w:tcPr>
            <w:tcW w:w="552" w:type="pct"/>
            <w:tcBorders>
              <w:top w:val="nil"/>
              <w:left w:val="nil"/>
              <w:bottom w:val="nil"/>
              <w:right w:val="nil"/>
            </w:tcBorders>
            <w:shd w:val="clear" w:color="auto" w:fill="auto"/>
            <w:noWrap/>
            <w:vAlign w:val="center"/>
            <w:hideMark/>
          </w:tcPr>
          <w:p w14:paraId="5BABFC9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25.0 ± 2.40</w:t>
            </w:r>
          </w:p>
        </w:tc>
      </w:tr>
      <w:tr w:rsidR="00EF65F1" w14:paraId="19C4EF17"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2F646D0F"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3AB8925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55D409A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23.4 ± 1.16</w:t>
            </w:r>
          </w:p>
        </w:tc>
        <w:tc>
          <w:tcPr>
            <w:tcW w:w="552" w:type="pct"/>
            <w:tcBorders>
              <w:top w:val="nil"/>
              <w:left w:val="nil"/>
              <w:bottom w:val="nil"/>
              <w:right w:val="nil"/>
            </w:tcBorders>
            <w:shd w:val="clear" w:color="auto" w:fill="auto"/>
            <w:noWrap/>
            <w:vAlign w:val="center"/>
            <w:hideMark/>
          </w:tcPr>
          <w:p w14:paraId="4282F58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25.4 ± 2.48</w:t>
            </w:r>
          </w:p>
        </w:tc>
        <w:tc>
          <w:tcPr>
            <w:tcW w:w="552" w:type="pct"/>
            <w:tcBorders>
              <w:top w:val="nil"/>
              <w:left w:val="nil"/>
              <w:bottom w:val="nil"/>
              <w:right w:val="nil"/>
            </w:tcBorders>
            <w:shd w:val="clear" w:color="auto" w:fill="auto"/>
            <w:noWrap/>
            <w:vAlign w:val="center"/>
            <w:hideMark/>
          </w:tcPr>
          <w:p w14:paraId="351310A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25.2 ± 3.61</w:t>
            </w:r>
          </w:p>
        </w:tc>
        <w:tc>
          <w:tcPr>
            <w:tcW w:w="552" w:type="pct"/>
            <w:gridSpan w:val="2"/>
            <w:tcBorders>
              <w:top w:val="nil"/>
              <w:left w:val="nil"/>
              <w:bottom w:val="nil"/>
              <w:right w:val="nil"/>
            </w:tcBorders>
            <w:shd w:val="clear" w:color="auto" w:fill="auto"/>
            <w:noWrap/>
            <w:vAlign w:val="center"/>
            <w:hideMark/>
          </w:tcPr>
          <w:p w14:paraId="37733FE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25.4 ± 2.67</w:t>
            </w:r>
          </w:p>
        </w:tc>
        <w:tc>
          <w:tcPr>
            <w:tcW w:w="552" w:type="pct"/>
            <w:tcBorders>
              <w:top w:val="nil"/>
              <w:left w:val="nil"/>
              <w:bottom w:val="nil"/>
              <w:right w:val="nil"/>
            </w:tcBorders>
            <w:shd w:val="clear" w:color="auto" w:fill="auto"/>
            <w:noWrap/>
            <w:vAlign w:val="center"/>
            <w:hideMark/>
          </w:tcPr>
          <w:p w14:paraId="5B68055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24.0 ± 1.28</w:t>
            </w:r>
          </w:p>
        </w:tc>
        <w:tc>
          <w:tcPr>
            <w:tcW w:w="552" w:type="pct"/>
            <w:tcBorders>
              <w:top w:val="nil"/>
              <w:left w:val="nil"/>
              <w:bottom w:val="nil"/>
              <w:right w:val="nil"/>
            </w:tcBorders>
            <w:shd w:val="clear" w:color="auto" w:fill="auto"/>
            <w:noWrap/>
            <w:vAlign w:val="center"/>
            <w:hideMark/>
          </w:tcPr>
          <w:p w14:paraId="40A2CFA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25.9</w:t>
            </w:r>
            <w:r w:rsidRPr="00364C97">
              <w:rPr>
                <w:rFonts w:ascii="Times New Roman" w:eastAsia="Times New Roman" w:hAnsi="Times New Roman" w:cs="Times New Roman"/>
                <w:sz w:val="22"/>
                <w:szCs w:val="22"/>
                <w:vertAlign w:val="superscript"/>
                <w:lang w:eastAsia="en-ZA"/>
              </w:rPr>
              <w:t>b</w:t>
            </w:r>
            <w:r w:rsidRPr="00364C97">
              <w:rPr>
                <w:rFonts w:ascii="Times New Roman" w:eastAsia="Times New Roman" w:hAnsi="Times New Roman" w:cs="Times New Roman"/>
                <w:sz w:val="22"/>
                <w:szCs w:val="22"/>
                <w:lang w:eastAsia="en-ZA"/>
              </w:rPr>
              <w:t xml:space="preserve"> ± 1.89</w:t>
            </w:r>
          </w:p>
        </w:tc>
        <w:tc>
          <w:tcPr>
            <w:tcW w:w="552" w:type="pct"/>
            <w:tcBorders>
              <w:top w:val="nil"/>
              <w:left w:val="nil"/>
              <w:bottom w:val="nil"/>
              <w:right w:val="nil"/>
            </w:tcBorders>
            <w:shd w:val="clear" w:color="auto" w:fill="auto"/>
            <w:noWrap/>
            <w:vAlign w:val="center"/>
            <w:hideMark/>
          </w:tcPr>
          <w:p w14:paraId="4105E23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24.2 ± 2.07</w:t>
            </w:r>
          </w:p>
        </w:tc>
      </w:tr>
      <w:tr w:rsidR="00EF65F1" w14:paraId="28BE4D7C"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33151049"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4A1E8C9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SEM</w:t>
            </w:r>
          </w:p>
        </w:tc>
        <w:tc>
          <w:tcPr>
            <w:tcW w:w="552" w:type="pct"/>
            <w:tcBorders>
              <w:top w:val="nil"/>
              <w:left w:val="nil"/>
              <w:bottom w:val="nil"/>
              <w:right w:val="nil"/>
            </w:tcBorders>
            <w:shd w:val="clear" w:color="auto" w:fill="auto"/>
            <w:noWrap/>
            <w:vAlign w:val="bottom"/>
            <w:hideMark/>
          </w:tcPr>
          <w:p w14:paraId="1103A4E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0.52</w:t>
            </w:r>
          </w:p>
        </w:tc>
        <w:tc>
          <w:tcPr>
            <w:tcW w:w="552" w:type="pct"/>
            <w:tcBorders>
              <w:top w:val="nil"/>
              <w:left w:val="nil"/>
              <w:bottom w:val="nil"/>
              <w:right w:val="nil"/>
            </w:tcBorders>
            <w:shd w:val="clear" w:color="auto" w:fill="auto"/>
            <w:noWrap/>
            <w:vAlign w:val="bottom"/>
            <w:hideMark/>
          </w:tcPr>
          <w:p w14:paraId="53D98F3A"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0.61</w:t>
            </w:r>
          </w:p>
        </w:tc>
        <w:tc>
          <w:tcPr>
            <w:tcW w:w="552" w:type="pct"/>
            <w:tcBorders>
              <w:top w:val="nil"/>
              <w:left w:val="nil"/>
              <w:bottom w:val="nil"/>
              <w:right w:val="nil"/>
            </w:tcBorders>
            <w:shd w:val="clear" w:color="auto" w:fill="auto"/>
            <w:noWrap/>
            <w:vAlign w:val="bottom"/>
            <w:hideMark/>
          </w:tcPr>
          <w:p w14:paraId="5C587A1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0.76</w:t>
            </w:r>
          </w:p>
        </w:tc>
        <w:tc>
          <w:tcPr>
            <w:tcW w:w="552" w:type="pct"/>
            <w:gridSpan w:val="2"/>
            <w:tcBorders>
              <w:top w:val="nil"/>
              <w:left w:val="nil"/>
              <w:bottom w:val="nil"/>
              <w:right w:val="nil"/>
            </w:tcBorders>
            <w:shd w:val="clear" w:color="auto" w:fill="auto"/>
            <w:noWrap/>
            <w:vAlign w:val="bottom"/>
            <w:hideMark/>
          </w:tcPr>
          <w:p w14:paraId="49508BE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0.63</w:t>
            </w:r>
          </w:p>
        </w:tc>
        <w:tc>
          <w:tcPr>
            <w:tcW w:w="552" w:type="pct"/>
            <w:tcBorders>
              <w:top w:val="nil"/>
              <w:left w:val="nil"/>
              <w:bottom w:val="nil"/>
              <w:right w:val="nil"/>
            </w:tcBorders>
            <w:shd w:val="clear" w:color="auto" w:fill="auto"/>
            <w:noWrap/>
            <w:vAlign w:val="bottom"/>
            <w:hideMark/>
          </w:tcPr>
          <w:p w14:paraId="3214556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0.68</w:t>
            </w:r>
          </w:p>
        </w:tc>
        <w:tc>
          <w:tcPr>
            <w:tcW w:w="552" w:type="pct"/>
            <w:tcBorders>
              <w:top w:val="nil"/>
              <w:left w:val="nil"/>
              <w:bottom w:val="nil"/>
              <w:right w:val="nil"/>
            </w:tcBorders>
            <w:shd w:val="clear" w:color="auto" w:fill="auto"/>
            <w:noWrap/>
            <w:vAlign w:val="bottom"/>
            <w:hideMark/>
          </w:tcPr>
          <w:p w14:paraId="511CBECF"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0.64</w:t>
            </w:r>
          </w:p>
        </w:tc>
        <w:tc>
          <w:tcPr>
            <w:tcW w:w="552" w:type="pct"/>
            <w:tcBorders>
              <w:top w:val="nil"/>
              <w:left w:val="nil"/>
              <w:bottom w:val="nil"/>
              <w:right w:val="nil"/>
            </w:tcBorders>
            <w:shd w:val="clear" w:color="auto" w:fill="auto"/>
            <w:noWrap/>
            <w:vAlign w:val="bottom"/>
            <w:hideMark/>
          </w:tcPr>
          <w:p w14:paraId="56D0F11A"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0.64</w:t>
            </w:r>
          </w:p>
        </w:tc>
      </w:tr>
      <w:tr w:rsidR="00EF65F1" w14:paraId="22AA4FC0"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27AF5C20"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0D6DF57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4E6DC44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0.16</w:t>
            </w:r>
          </w:p>
        </w:tc>
        <w:tc>
          <w:tcPr>
            <w:tcW w:w="552" w:type="pct"/>
            <w:tcBorders>
              <w:top w:val="nil"/>
              <w:left w:val="nil"/>
              <w:bottom w:val="single" w:sz="4" w:space="0" w:color="auto"/>
              <w:right w:val="nil"/>
            </w:tcBorders>
            <w:shd w:val="clear" w:color="auto" w:fill="auto"/>
            <w:noWrap/>
            <w:vAlign w:val="bottom"/>
            <w:hideMark/>
          </w:tcPr>
          <w:p w14:paraId="640F6B33"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0.76</w:t>
            </w:r>
          </w:p>
        </w:tc>
        <w:tc>
          <w:tcPr>
            <w:tcW w:w="552" w:type="pct"/>
            <w:tcBorders>
              <w:top w:val="nil"/>
              <w:left w:val="nil"/>
              <w:bottom w:val="single" w:sz="4" w:space="0" w:color="auto"/>
              <w:right w:val="nil"/>
            </w:tcBorders>
            <w:shd w:val="clear" w:color="auto" w:fill="auto"/>
            <w:noWrap/>
            <w:vAlign w:val="bottom"/>
            <w:hideMark/>
          </w:tcPr>
          <w:p w14:paraId="3E905F1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0.61</w:t>
            </w:r>
          </w:p>
        </w:tc>
        <w:tc>
          <w:tcPr>
            <w:tcW w:w="552" w:type="pct"/>
            <w:gridSpan w:val="2"/>
            <w:tcBorders>
              <w:top w:val="nil"/>
              <w:left w:val="nil"/>
              <w:bottom w:val="single" w:sz="4" w:space="0" w:color="auto"/>
              <w:right w:val="nil"/>
            </w:tcBorders>
            <w:shd w:val="clear" w:color="auto" w:fill="auto"/>
            <w:noWrap/>
            <w:vAlign w:val="bottom"/>
            <w:hideMark/>
          </w:tcPr>
          <w:p w14:paraId="439CCDD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0.22</w:t>
            </w:r>
          </w:p>
        </w:tc>
        <w:tc>
          <w:tcPr>
            <w:tcW w:w="552" w:type="pct"/>
            <w:tcBorders>
              <w:top w:val="nil"/>
              <w:left w:val="nil"/>
              <w:bottom w:val="single" w:sz="4" w:space="0" w:color="auto"/>
              <w:right w:val="nil"/>
            </w:tcBorders>
            <w:shd w:val="clear" w:color="auto" w:fill="auto"/>
            <w:noWrap/>
            <w:vAlign w:val="bottom"/>
            <w:hideMark/>
          </w:tcPr>
          <w:p w14:paraId="7191C52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0.66</w:t>
            </w:r>
          </w:p>
        </w:tc>
        <w:tc>
          <w:tcPr>
            <w:tcW w:w="552" w:type="pct"/>
            <w:tcBorders>
              <w:top w:val="nil"/>
              <w:left w:val="nil"/>
              <w:bottom w:val="single" w:sz="4" w:space="0" w:color="auto"/>
              <w:right w:val="nil"/>
            </w:tcBorders>
            <w:shd w:val="clear" w:color="auto" w:fill="auto"/>
            <w:noWrap/>
            <w:vAlign w:val="bottom"/>
            <w:hideMark/>
          </w:tcPr>
          <w:p w14:paraId="0045B31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&lt;0.01</w:t>
            </w:r>
          </w:p>
        </w:tc>
        <w:tc>
          <w:tcPr>
            <w:tcW w:w="552" w:type="pct"/>
            <w:tcBorders>
              <w:top w:val="nil"/>
              <w:left w:val="nil"/>
              <w:bottom w:val="single" w:sz="4" w:space="0" w:color="auto"/>
              <w:right w:val="nil"/>
            </w:tcBorders>
            <w:shd w:val="clear" w:color="auto" w:fill="auto"/>
            <w:noWrap/>
            <w:vAlign w:val="bottom"/>
            <w:hideMark/>
          </w:tcPr>
          <w:p w14:paraId="0CF4B40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0.76</w:t>
            </w:r>
          </w:p>
        </w:tc>
      </w:tr>
      <w:tr w:rsidR="00EF65F1" w14:paraId="72C2D750"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7AC2423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24h</w:t>
            </w:r>
          </w:p>
        </w:tc>
        <w:tc>
          <w:tcPr>
            <w:tcW w:w="643" w:type="pct"/>
            <w:gridSpan w:val="3"/>
            <w:tcBorders>
              <w:top w:val="nil"/>
              <w:left w:val="nil"/>
              <w:bottom w:val="nil"/>
              <w:right w:val="nil"/>
            </w:tcBorders>
            <w:shd w:val="clear" w:color="auto" w:fill="auto"/>
            <w:vAlign w:val="center"/>
            <w:hideMark/>
          </w:tcPr>
          <w:p w14:paraId="09743CC0"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4B4B432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tcBorders>
              <w:top w:val="nil"/>
              <w:left w:val="nil"/>
              <w:bottom w:val="nil"/>
              <w:right w:val="nil"/>
            </w:tcBorders>
            <w:shd w:val="clear" w:color="auto" w:fill="auto"/>
            <w:noWrap/>
            <w:vAlign w:val="center"/>
            <w:hideMark/>
          </w:tcPr>
          <w:p w14:paraId="215B175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tcBorders>
              <w:top w:val="nil"/>
              <w:left w:val="nil"/>
              <w:bottom w:val="nil"/>
              <w:right w:val="nil"/>
            </w:tcBorders>
            <w:shd w:val="clear" w:color="auto" w:fill="auto"/>
            <w:noWrap/>
            <w:vAlign w:val="center"/>
            <w:hideMark/>
          </w:tcPr>
          <w:p w14:paraId="3E9C247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gridSpan w:val="2"/>
            <w:tcBorders>
              <w:top w:val="nil"/>
              <w:left w:val="nil"/>
              <w:bottom w:val="nil"/>
              <w:right w:val="nil"/>
            </w:tcBorders>
            <w:shd w:val="clear" w:color="auto" w:fill="auto"/>
            <w:noWrap/>
            <w:vAlign w:val="center"/>
            <w:hideMark/>
          </w:tcPr>
          <w:p w14:paraId="0730200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tcBorders>
              <w:top w:val="nil"/>
              <w:left w:val="nil"/>
              <w:bottom w:val="nil"/>
              <w:right w:val="nil"/>
            </w:tcBorders>
            <w:shd w:val="clear" w:color="auto" w:fill="auto"/>
            <w:noWrap/>
            <w:vAlign w:val="center"/>
            <w:hideMark/>
          </w:tcPr>
          <w:p w14:paraId="5C4A9AB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tcBorders>
              <w:top w:val="nil"/>
              <w:left w:val="nil"/>
              <w:bottom w:val="nil"/>
              <w:right w:val="nil"/>
            </w:tcBorders>
            <w:shd w:val="clear" w:color="auto" w:fill="auto"/>
            <w:noWrap/>
            <w:vAlign w:val="center"/>
            <w:hideMark/>
          </w:tcPr>
          <w:p w14:paraId="351E525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c>
          <w:tcPr>
            <w:tcW w:w="552" w:type="pct"/>
            <w:tcBorders>
              <w:top w:val="nil"/>
              <w:left w:val="nil"/>
              <w:bottom w:val="nil"/>
              <w:right w:val="nil"/>
            </w:tcBorders>
            <w:shd w:val="clear" w:color="auto" w:fill="auto"/>
            <w:noWrap/>
            <w:vAlign w:val="center"/>
            <w:hideMark/>
          </w:tcPr>
          <w:p w14:paraId="6748E69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4.56</w:t>
            </w:r>
          </w:p>
        </w:tc>
      </w:tr>
      <w:tr w:rsidR="00EF65F1" w14:paraId="6F27DB80"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37CB1B90"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05ED34C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780DE15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61.4 ± 1.55</w:t>
            </w:r>
          </w:p>
        </w:tc>
        <w:tc>
          <w:tcPr>
            <w:tcW w:w="552" w:type="pct"/>
            <w:tcBorders>
              <w:top w:val="nil"/>
              <w:left w:val="nil"/>
              <w:bottom w:val="nil"/>
              <w:right w:val="nil"/>
            </w:tcBorders>
            <w:shd w:val="clear" w:color="auto" w:fill="auto"/>
            <w:noWrap/>
            <w:vAlign w:val="center"/>
            <w:hideMark/>
          </w:tcPr>
          <w:p w14:paraId="478A07B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61.6 ± 5.06</w:t>
            </w:r>
          </w:p>
        </w:tc>
        <w:tc>
          <w:tcPr>
            <w:tcW w:w="552" w:type="pct"/>
            <w:tcBorders>
              <w:top w:val="nil"/>
              <w:left w:val="nil"/>
              <w:bottom w:val="nil"/>
              <w:right w:val="nil"/>
            </w:tcBorders>
            <w:shd w:val="clear" w:color="auto" w:fill="auto"/>
            <w:noWrap/>
            <w:vAlign w:val="center"/>
            <w:hideMark/>
          </w:tcPr>
          <w:p w14:paraId="1557CEB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63.7 ± 2.58</w:t>
            </w:r>
          </w:p>
        </w:tc>
        <w:tc>
          <w:tcPr>
            <w:tcW w:w="552" w:type="pct"/>
            <w:gridSpan w:val="2"/>
            <w:tcBorders>
              <w:top w:val="nil"/>
              <w:left w:val="nil"/>
              <w:bottom w:val="nil"/>
              <w:right w:val="nil"/>
            </w:tcBorders>
            <w:shd w:val="clear" w:color="auto" w:fill="auto"/>
            <w:noWrap/>
            <w:vAlign w:val="center"/>
            <w:hideMark/>
          </w:tcPr>
          <w:p w14:paraId="64A2931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62.5 ± 3.94</w:t>
            </w:r>
          </w:p>
        </w:tc>
        <w:tc>
          <w:tcPr>
            <w:tcW w:w="552" w:type="pct"/>
            <w:tcBorders>
              <w:top w:val="nil"/>
              <w:left w:val="nil"/>
              <w:bottom w:val="nil"/>
              <w:right w:val="nil"/>
            </w:tcBorders>
            <w:shd w:val="clear" w:color="auto" w:fill="auto"/>
            <w:noWrap/>
            <w:vAlign w:val="center"/>
            <w:hideMark/>
          </w:tcPr>
          <w:p w14:paraId="4BF15A7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63.4 ± 2.44</w:t>
            </w:r>
          </w:p>
        </w:tc>
        <w:tc>
          <w:tcPr>
            <w:tcW w:w="552" w:type="pct"/>
            <w:tcBorders>
              <w:top w:val="nil"/>
              <w:left w:val="nil"/>
              <w:bottom w:val="nil"/>
              <w:right w:val="nil"/>
            </w:tcBorders>
            <w:shd w:val="clear" w:color="auto" w:fill="auto"/>
            <w:noWrap/>
            <w:vAlign w:val="center"/>
            <w:hideMark/>
          </w:tcPr>
          <w:p w14:paraId="0528EFF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63.4 ± 2.34</w:t>
            </w:r>
          </w:p>
        </w:tc>
        <w:tc>
          <w:tcPr>
            <w:tcW w:w="552" w:type="pct"/>
            <w:tcBorders>
              <w:top w:val="nil"/>
              <w:left w:val="nil"/>
              <w:bottom w:val="nil"/>
              <w:right w:val="nil"/>
            </w:tcBorders>
            <w:shd w:val="clear" w:color="auto" w:fill="auto"/>
            <w:noWrap/>
            <w:vAlign w:val="center"/>
            <w:hideMark/>
          </w:tcPr>
          <w:p w14:paraId="0E8A6A9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62.8 ± 3.92</w:t>
            </w:r>
          </w:p>
        </w:tc>
      </w:tr>
      <w:tr w:rsidR="00EF65F1" w14:paraId="7318C5EB"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671CA3A0"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50BE212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290A512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61.8 ± 3.51</w:t>
            </w:r>
          </w:p>
        </w:tc>
        <w:tc>
          <w:tcPr>
            <w:tcW w:w="552" w:type="pct"/>
            <w:tcBorders>
              <w:top w:val="nil"/>
              <w:left w:val="nil"/>
              <w:bottom w:val="nil"/>
              <w:right w:val="nil"/>
            </w:tcBorders>
            <w:shd w:val="clear" w:color="auto" w:fill="auto"/>
            <w:noWrap/>
            <w:vAlign w:val="center"/>
            <w:hideMark/>
          </w:tcPr>
          <w:p w14:paraId="0BD6F37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63.0 ± 3.89</w:t>
            </w:r>
          </w:p>
        </w:tc>
        <w:tc>
          <w:tcPr>
            <w:tcW w:w="552" w:type="pct"/>
            <w:tcBorders>
              <w:top w:val="nil"/>
              <w:left w:val="nil"/>
              <w:bottom w:val="nil"/>
              <w:right w:val="nil"/>
            </w:tcBorders>
            <w:shd w:val="clear" w:color="auto" w:fill="auto"/>
            <w:noWrap/>
            <w:vAlign w:val="center"/>
            <w:hideMark/>
          </w:tcPr>
          <w:p w14:paraId="5046267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61.9 ± 6.22</w:t>
            </w:r>
          </w:p>
        </w:tc>
        <w:tc>
          <w:tcPr>
            <w:tcW w:w="552" w:type="pct"/>
            <w:gridSpan w:val="2"/>
            <w:tcBorders>
              <w:top w:val="nil"/>
              <w:left w:val="nil"/>
              <w:bottom w:val="nil"/>
              <w:right w:val="nil"/>
            </w:tcBorders>
            <w:shd w:val="clear" w:color="auto" w:fill="auto"/>
            <w:noWrap/>
            <w:vAlign w:val="center"/>
            <w:hideMark/>
          </w:tcPr>
          <w:p w14:paraId="2E3DA893"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62.6 ± 4.95</w:t>
            </w:r>
          </w:p>
        </w:tc>
        <w:tc>
          <w:tcPr>
            <w:tcW w:w="552" w:type="pct"/>
            <w:tcBorders>
              <w:top w:val="nil"/>
              <w:left w:val="nil"/>
              <w:bottom w:val="nil"/>
              <w:right w:val="nil"/>
            </w:tcBorders>
            <w:shd w:val="clear" w:color="auto" w:fill="auto"/>
            <w:noWrap/>
            <w:vAlign w:val="center"/>
            <w:hideMark/>
          </w:tcPr>
          <w:p w14:paraId="0E78DBF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61.0 ± 4.64</w:t>
            </w:r>
          </w:p>
        </w:tc>
        <w:tc>
          <w:tcPr>
            <w:tcW w:w="552" w:type="pct"/>
            <w:tcBorders>
              <w:top w:val="nil"/>
              <w:left w:val="nil"/>
              <w:bottom w:val="nil"/>
              <w:right w:val="nil"/>
            </w:tcBorders>
            <w:shd w:val="clear" w:color="auto" w:fill="auto"/>
            <w:noWrap/>
            <w:vAlign w:val="center"/>
            <w:hideMark/>
          </w:tcPr>
          <w:p w14:paraId="4D9BF816"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60.8 ± 5.86</w:t>
            </w:r>
          </w:p>
        </w:tc>
        <w:tc>
          <w:tcPr>
            <w:tcW w:w="552" w:type="pct"/>
            <w:tcBorders>
              <w:top w:val="nil"/>
              <w:left w:val="nil"/>
              <w:bottom w:val="nil"/>
              <w:right w:val="nil"/>
            </w:tcBorders>
            <w:shd w:val="clear" w:color="auto" w:fill="auto"/>
            <w:noWrap/>
            <w:vAlign w:val="center"/>
            <w:hideMark/>
          </w:tcPr>
          <w:p w14:paraId="73893DE7"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61.6 ± 4.28</w:t>
            </w:r>
          </w:p>
        </w:tc>
      </w:tr>
      <w:tr w:rsidR="00EF65F1" w14:paraId="433A85BA"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186DC415"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460808E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SEM</w:t>
            </w:r>
          </w:p>
        </w:tc>
        <w:tc>
          <w:tcPr>
            <w:tcW w:w="552" w:type="pct"/>
            <w:tcBorders>
              <w:top w:val="nil"/>
              <w:left w:val="nil"/>
              <w:bottom w:val="nil"/>
              <w:right w:val="nil"/>
            </w:tcBorders>
            <w:shd w:val="clear" w:color="auto" w:fill="auto"/>
            <w:noWrap/>
            <w:vAlign w:val="bottom"/>
            <w:hideMark/>
          </w:tcPr>
          <w:p w14:paraId="3D4A9DB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1.00</w:t>
            </w:r>
          </w:p>
        </w:tc>
        <w:tc>
          <w:tcPr>
            <w:tcW w:w="552" w:type="pct"/>
            <w:tcBorders>
              <w:top w:val="nil"/>
              <w:left w:val="nil"/>
              <w:bottom w:val="nil"/>
              <w:right w:val="nil"/>
            </w:tcBorders>
            <w:shd w:val="clear" w:color="auto" w:fill="auto"/>
            <w:noWrap/>
            <w:vAlign w:val="bottom"/>
            <w:hideMark/>
          </w:tcPr>
          <w:p w14:paraId="72919C3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1.32</w:t>
            </w:r>
          </w:p>
        </w:tc>
        <w:tc>
          <w:tcPr>
            <w:tcW w:w="552" w:type="pct"/>
            <w:tcBorders>
              <w:top w:val="nil"/>
              <w:left w:val="nil"/>
              <w:bottom w:val="nil"/>
              <w:right w:val="nil"/>
            </w:tcBorders>
            <w:shd w:val="clear" w:color="auto" w:fill="auto"/>
            <w:noWrap/>
            <w:vAlign w:val="bottom"/>
            <w:hideMark/>
          </w:tcPr>
          <w:p w14:paraId="572209C5"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1.38</w:t>
            </w:r>
          </w:p>
        </w:tc>
        <w:tc>
          <w:tcPr>
            <w:tcW w:w="552" w:type="pct"/>
            <w:gridSpan w:val="2"/>
            <w:tcBorders>
              <w:top w:val="nil"/>
              <w:left w:val="nil"/>
              <w:bottom w:val="nil"/>
              <w:right w:val="nil"/>
            </w:tcBorders>
            <w:shd w:val="clear" w:color="auto" w:fill="auto"/>
            <w:noWrap/>
            <w:vAlign w:val="bottom"/>
            <w:hideMark/>
          </w:tcPr>
          <w:p w14:paraId="4FDDC214"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1.30</w:t>
            </w:r>
          </w:p>
        </w:tc>
        <w:tc>
          <w:tcPr>
            <w:tcW w:w="552" w:type="pct"/>
            <w:tcBorders>
              <w:top w:val="nil"/>
              <w:left w:val="nil"/>
              <w:bottom w:val="nil"/>
              <w:right w:val="nil"/>
            </w:tcBorders>
            <w:shd w:val="clear" w:color="auto" w:fill="auto"/>
            <w:noWrap/>
            <w:vAlign w:val="bottom"/>
            <w:hideMark/>
          </w:tcPr>
          <w:p w14:paraId="096B483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1.21</w:t>
            </w:r>
          </w:p>
        </w:tc>
        <w:tc>
          <w:tcPr>
            <w:tcW w:w="552" w:type="pct"/>
            <w:tcBorders>
              <w:top w:val="nil"/>
              <w:left w:val="nil"/>
              <w:bottom w:val="nil"/>
              <w:right w:val="nil"/>
            </w:tcBorders>
            <w:shd w:val="clear" w:color="auto" w:fill="auto"/>
            <w:noWrap/>
            <w:vAlign w:val="bottom"/>
            <w:hideMark/>
          </w:tcPr>
          <w:p w14:paraId="73BF373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1.35</w:t>
            </w:r>
          </w:p>
        </w:tc>
        <w:tc>
          <w:tcPr>
            <w:tcW w:w="552" w:type="pct"/>
            <w:tcBorders>
              <w:top w:val="nil"/>
              <w:left w:val="nil"/>
              <w:bottom w:val="nil"/>
              <w:right w:val="nil"/>
            </w:tcBorders>
            <w:shd w:val="clear" w:color="auto" w:fill="auto"/>
            <w:noWrap/>
            <w:vAlign w:val="bottom"/>
            <w:hideMark/>
          </w:tcPr>
          <w:p w14:paraId="09B6C1E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1.24</w:t>
            </w:r>
          </w:p>
        </w:tc>
      </w:tr>
      <w:tr w:rsidR="00EF65F1" w14:paraId="0DB39829"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3729083D"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3C2DD39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451A3F7C"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0.82</w:t>
            </w:r>
          </w:p>
        </w:tc>
        <w:tc>
          <w:tcPr>
            <w:tcW w:w="552" w:type="pct"/>
            <w:tcBorders>
              <w:top w:val="nil"/>
              <w:left w:val="nil"/>
              <w:bottom w:val="single" w:sz="4" w:space="0" w:color="auto"/>
              <w:right w:val="nil"/>
            </w:tcBorders>
            <w:shd w:val="clear" w:color="auto" w:fill="auto"/>
            <w:noWrap/>
            <w:vAlign w:val="bottom"/>
            <w:hideMark/>
          </w:tcPr>
          <w:p w14:paraId="1B0261C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0.74</w:t>
            </w:r>
          </w:p>
        </w:tc>
        <w:tc>
          <w:tcPr>
            <w:tcW w:w="552" w:type="pct"/>
            <w:tcBorders>
              <w:top w:val="nil"/>
              <w:left w:val="nil"/>
              <w:bottom w:val="single" w:sz="4" w:space="0" w:color="auto"/>
              <w:right w:val="nil"/>
            </w:tcBorders>
            <w:shd w:val="clear" w:color="auto" w:fill="auto"/>
            <w:noWrap/>
            <w:vAlign w:val="bottom"/>
            <w:hideMark/>
          </w:tcPr>
          <w:p w14:paraId="456DA7B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0.56</w:t>
            </w:r>
          </w:p>
        </w:tc>
        <w:tc>
          <w:tcPr>
            <w:tcW w:w="552" w:type="pct"/>
            <w:gridSpan w:val="2"/>
            <w:tcBorders>
              <w:top w:val="nil"/>
              <w:left w:val="nil"/>
              <w:bottom w:val="single" w:sz="4" w:space="0" w:color="auto"/>
              <w:right w:val="nil"/>
            </w:tcBorders>
            <w:shd w:val="clear" w:color="auto" w:fill="auto"/>
            <w:noWrap/>
            <w:vAlign w:val="bottom"/>
            <w:hideMark/>
          </w:tcPr>
          <w:p w14:paraId="1AC81FED"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1.00</w:t>
            </w:r>
          </w:p>
        </w:tc>
        <w:tc>
          <w:tcPr>
            <w:tcW w:w="552" w:type="pct"/>
            <w:tcBorders>
              <w:top w:val="nil"/>
              <w:left w:val="nil"/>
              <w:bottom w:val="single" w:sz="4" w:space="0" w:color="auto"/>
              <w:right w:val="nil"/>
            </w:tcBorders>
            <w:shd w:val="clear" w:color="auto" w:fill="auto"/>
            <w:noWrap/>
            <w:vAlign w:val="bottom"/>
            <w:hideMark/>
          </w:tcPr>
          <w:p w14:paraId="0A7D980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0.39</w:t>
            </w:r>
          </w:p>
        </w:tc>
        <w:tc>
          <w:tcPr>
            <w:tcW w:w="552" w:type="pct"/>
            <w:tcBorders>
              <w:top w:val="nil"/>
              <w:left w:val="nil"/>
              <w:bottom w:val="single" w:sz="4" w:space="0" w:color="auto"/>
              <w:right w:val="nil"/>
            </w:tcBorders>
            <w:shd w:val="clear" w:color="auto" w:fill="auto"/>
            <w:noWrap/>
            <w:vAlign w:val="bottom"/>
            <w:hideMark/>
          </w:tcPr>
          <w:p w14:paraId="0F3DD84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0.43</w:t>
            </w:r>
          </w:p>
        </w:tc>
        <w:tc>
          <w:tcPr>
            <w:tcW w:w="552" w:type="pct"/>
            <w:tcBorders>
              <w:top w:val="nil"/>
              <w:left w:val="nil"/>
              <w:bottom w:val="single" w:sz="4" w:space="0" w:color="auto"/>
              <w:right w:val="nil"/>
            </w:tcBorders>
            <w:shd w:val="clear" w:color="auto" w:fill="auto"/>
            <w:noWrap/>
            <w:vAlign w:val="bottom"/>
            <w:hideMark/>
          </w:tcPr>
          <w:p w14:paraId="529DE05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0.19</w:t>
            </w:r>
          </w:p>
        </w:tc>
      </w:tr>
      <w:tr w:rsidR="00EF65F1" w14:paraId="714EB86B" w14:textId="77777777">
        <w:trPr>
          <w:gridAfter w:val="1"/>
          <w:wAfter w:w="31" w:type="pct"/>
          <w:trHeight w:val="240"/>
        </w:trPr>
        <w:tc>
          <w:tcPr>
            <w:tcW w:w="460" w:type="pct"/>
            <w:tcBorders>
              <w:top w:val="nil"/>
              <w:left w:val="nil"/>
              <w:bottom w:val="nil"/>
              <w:right w:val="nil"/>
            </w:tcBorders>
            <w:shd w:val="clear" w:color="auto" w:fill="auto"/>
            <w:noWrap/>
            <w:vAlign w:val="center"/>
            <w:hideMark/>
          </w:tcPr>
          <w:p w14:paraId="3DE125BA"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48h</w:t>
            </w:r>
          </w:p>
        </w:tc>
        <w:tc>
          <w:tcPr>
            <w:tcW w:w="643" w:type="pct"/>
            <w:gridSpan w:val="3"/>
            <w:tcBorders>
              <w:top w:val="nil"/>
              <w:left w:val="nil"/>
              <w:bottom w:val="nil"/>
              <w:right w:val="nil"/>
            </w:tcBorders>
            <w:shd w:val="clear" w:color="auto" w:fill="auto"/>
            <w:vAlign w:val="center"/>
            <w:hideMark/>
          </w:tcPr>
          <w:p w14:paraId="01711954" w14:textId="77777777" w:rsidR="00EF65F1" w:rsidRPr="00364C97" w:rsidRDefault="00484A18">
            <w:pPr>
              <w:spacing w:after="0" w:line="240" w:lineRule="auto"/>
              <w:contextualSpacing/>
              <w:jc w:val="both"/>
              <w:rPr>
                <w:rFonts w:ascii="Times New Roman" w:eastAsia="Times New Roman" w:hAnsi="Times New Roman" w:cs="Times New Roman"/>
                <w:i/>
                <w:iCs/>
                <w:sz w:val="22"/>
                <w:szCs w:val="22"/>
                <w:lang w:eastAsia="en-ZA"/>
              </w:rPr>
            </w:pPr>
            <w:r w:rsidRPr="00364C97">
              <w:rPr>
                <w:rFonts w:ascii="Times New Roman" w:eastAsia="Times New Roman" w:hAnsi="Times New Roman" w:cs="Times New Roman"/>
                <w:i/>
                <w:iCs/>
                <w:sz w:val="22"/>
                <w:szCs w:val="22"/>
                <w:lang w:eastAsia="en-ZA"/>
              </w:rPr>
              <w:t>Eragrostis curvula</w:t>
            </w:r>
          </w:p>
        </w:tc>
        <w:tc>
          <w:tcPr>
            <w:tcW w:w="552" w:type="pct"/>
            <w:tcBorders>
              <w:top w:val="nil"/>
              <w:left w:val="nil"/>
              <w:bottom w:val="nil"/>
              <w:right w:val="nil"/>
            </w:tcBorders>
            <w:shd w:val="clear" w:color="auto" w:fill="auto"/>
            <w:noWrap/>
            <w:vAlign w:val="center"/>
            <w:hideMark/>
          </w:tcPr>
          <w:p w14:paraId="6AE56D4D"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tcBorders>
              <w:top w:val="nil"/>
              <w:left w:val="nil"/>
              <w:bottom w:val="nil"/>
              <w:right w:val="nil"/>
            </w:tcBorders>
            <w:shd w:val="clear" w:color="auto" w:fill="auto"/>
            <w:noWrap/>
            <w:vAlign w:val="center"/>
            <w:hideMark/>
          </w:tcPr>
          <w:p w14:paraId="7E9F0F3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tcBorders>
              <w:top w:val="nil"/>
              <w:left w:val="nil"/>
              <w:bottom w:val="nil"/>
              <w:right w:val="nil"/>
            </w:tcBorders>
            <w:shd w:val="clear" w:color="auto" w:fill="auto"/>
            <w:noWrap/>
            <w:vAlign w:val="center"/>
            <w:hideMark/>
          </w:tcPr>
          <w:p w14:paraId="3718B50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gridSpan w:val="2"/>
            <w:tcBorders>
              <w:top w:val="nil"/>
              <w:left w:val="nil"/>
              <w:bottom w:val="nil"/>
              <w:right w:val="nil"/>
            </w:tcBorders>
            <w:shd w:val="clear" w:color="auto" w:fill="auto"/>
            <w:noWrap/>
            <w:vAlign w:val="center"/>
            <w:hideMark/>
          </w:tcPr>
          <w:p w14:paraId="49E5E95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tcBorders>
              <w:top w:val="nil"/>
              <w:left w:val="nil"/>
              <w:bottom w:val="nil"/>
              <w:right w:val="nil"/>
            </w:tcBorders>
            <w:shd w:val="clear" w:color="auto" w:fill="auto"/>
            <w:noWrap/>
            <w:vAlign w:val="center"/>
            <w:hideMark/>
          </w:tcPr>
          <w:p w14:paraId="1434BA7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tcBorders>
              <w:top w:val="nil"/>
              <w:left w:val="nil"/>
              <w:bottom w:val="nil"/>
              <w:right w:val="nil"/>
            </w:tcBorders>
            <w:shd w:val="clear" w:color="auto" w:fill="auto"/>
            <w:noWrap/>
            <w:vAlign w:val="center"/>
            <w:hideMark/>
          </w:tcPr>
          <w:p w14:paraId="45E2529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c>
          <w:tcPr>
            <w:tcW w:w="552" w:type="pct"/>
            <w:tcBorders>
              <w:top w:val="nil"/>
              <w:left w:val="nil"/>
              <w:bottom w:val="nil"/>
              <w:right w:val="nil"/>
            </w:tcBorders>
            <w:shd w:val="clear" w:color="auto" w:fill="auto"/>
            <w:noWrap/>
            <w:vAlign w:val="center"/>
            <w:hideMark/>
          </w:tcPr>
          <w:p w14:paraId="1687C2F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110.7 ± 6.65</w:t>
            </w:r>
          </w:p>
        </w:tc>
      </w:tr>
      <w:tr w:rsidR="00EF65F1" w14:paraId="2F073516"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7405E065"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207E88E4"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300 mg/kg</w:t>
            </w:r>
          </w:p>
        </w:tc>
        <w:tc>
          <w:tcPr>
            <w:tcW w:w="552" w:type="pct"/>
            <w:tcBorders>
              <w:top w:val="nil"/>
              <w:left w:val="nil"/>
              <w:bottom w:val="nil"/>
              <w:right w:val="nil"/>
            </w:tcBorders>
            <w:shd w:val="clear" w:color="auto" w:fill="auto"/>
            <w:noWrap/>
            <w:vAlign w:val="center"/>
            <w:hideMark/>
          </w:tcPr>
          <w:p w14:paraId="3156529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112.5 ± 5.64</w:t>
            </w:r>
          </w:p>
        </w:tc>
        <w:tc>
          <w:tcPr>
            <w:tcW w:w="552" w:type="pct"/>
            <w:tcBorders>
              <w:top w:val="nil"/>
              <w:left w:val="nil"/>
              <w:bottom w:val="nil"/>
              <w:right w:val="nil"/>
            </w:tcBorders>
            <w:shd w:val="clear" w:color="auto" w:fill="auto"/>
            <w:noWrap/>
            <w:vAlign w:val="center"/>
            <w:hideMark/>
          </w:tcPr>
          <w:p w14:paraId="57AB5AC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113.8 ± 7.93</w:t>
            </w:r>
          </w:p>
        </w:tc>
        <w:tc>
          <w:tcPr>
            <w:tcW w:w="552" w:type="pct"/>
            <w:tcBorders>
              <w:top w:val="nil"/>
              <w:left w:val="nil"/>
              <w:bottom w:val="nil"/>
              <w:right w:val="nil"/>
            </w:tcBorders>
            <w:shd w:val="clear" w:color="auto" w:fill="auto"/>
            <w:noWrap/>
            <w:vAlign w:val="center"/>
            <w:hideMark/>
          </w:tcPr>
          <w:p w14:paraId="63C72C2F"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111.1 ± 6.24</w:t>
            </w:r>
          </w:p>
        </w:tc>
        <w:tc>
          <w:tcPr>
            <w:tcW w:w="552" w:type="pct"/>
            <w:gridSpan w:val="2"/>
            <w:tcBorders>
              <w:top w:val="nil"/>
              <w:left w:val="nil"/>
              <w:bottom w:val="nil"/>
              <w:right w:val="nil"/>
            </w:tcBorders>
            <w:shd w:val="clear" w:color="auto" w:fill="auto"/>
            <w:noWrap/>
            <w:vAlign w:val="center"/>
            <w:hideMark/>
          </w:tcPr>
          <w:p w14:paraId="6AF6EC6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110.4 ± 6.66</w:t>
            </w:r>
          </w:p>
        </w:tc>
        <w:tc>
          <w:tcPr>
            <w:tcW w:w="552" w:type="pct"/>
            <w:tcBorders>
              <w:top w:val="nil"/>
              <w:left w:val="nil"/>
              <w:bottom w:val="nil"/>
              <w:right w:val="nil"/>
            </w:tcBorders>
            <w:shd w:val="clear" w:color="auto" w:fill="auto"/>
            <w:noWrap/>
            <w:vAlign w:val="center"/>
            <w:hideMark/>
          </w:tcPr>
          <w:p w14:paraId="1DD70EE5"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109.1 ± 6.32</w:t>
            </w:r>
          </w:p>
        </w:tc>
        <w:tc>
          <w:tcPr>
            <w:tcW w:w="552" w:type="pct"/>
            <w:tcBorders>
              <w:top w:val="nil"/>
              <w:left w:val="nil"/>
              <w:bottom w:val="nil"/>
              <w:right w:val="nil"/>
            </w:tcBorders>
            <w:shd w:val="clear" w:color="auto" w:fill="auto"/>
            <w:noWrap/>
            <w:vAlign w:val="center"/>
            <w:hideMark/>
          </w:tcPr>
          <w:p w14:paraId="5E632FF2"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110.5 ± 4.20</w:t>
            </w:r>
          </w:p>
        </w:tc>
        <w:tc>
          <w:tcPr>
            <w:tcW w:w="552" w:type="pct"/>
            <w:tcBorders>
              <w:top w:val="nil"/>
              <w:left w:val="nil"/>
              <w:bottom w:val="nil"/>
              <w:right w:val="nil"/>
            </w:tcBorders>
            <w:shd w:val="clear" w:color="auto" w:fill="auto"/>
            <w:noWrap/>
            <w:vAlign w:val="center"/>
            <w:hideMark/>
          </w:tcPr>
          <w:p w14:paraId="1E333F1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110.3 ± 8.21</w:t>
            </w:r>
          </w:p>
        </w:tc>
      </w:tr>
      <w:tr w:rsidR="00EF65F1" w14:paraId="0BF48DD9"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428C5287"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center"/>
            <w:hideMark/>
          </w:tcPr>
          <w:p w14:paraId="1C46CE1A"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600 mg/kg</w:t>
            </w:r>
          </w:p>
        </w:tc>
        <w:tc>
          <w:tcPr>
            <w:tcW w:w="552" w:type="pct"/>
            <w:tcBorders>
              <w:top w:val="nil"/>
              <w:left w:val="nil"/>
              <w:bottom w:val="nil"/>
              <w:right w:val="nil"/>
            </w:tcBorders>
            <w:shd w:val="clear" w:color="auto" w:fill="auto"/>
            <w:noWrap/>
            <w:vAlign w:val="center"/>
            <w:hideMark/>
          </w:tcPr>
          <w:p w14:paraId="635D72BE"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109.2 ± 7.41</w:t>
            </w:r>
          </w:p>
        </w:tc>
        <w:tc>
          <w:tcPr>
            <w:tcW w:w="552" w:type="pct"/>
            <w:tcBorders>
              <w:top w:val="nil"/>
              <w:left w:val="nil"/>
              <w:bottom w:val="nil"/>
              <w:right w:val="nil"/>
            </w:tcBorders>
            <w:shd w:val="clear" w:color="auto" w:fill="auto"/>
            <w:noWrap/>
            <w:vAlign w:val="center"/>
            <w:hideMark/>
          </w:tcPr>
          <w:p w14:paraId="1307BED0"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110.9 ± 7.52</w:t>
            </w:r>
          </w:p>
        </w:tc>
        <w:tc>
          <w:tcPr>
            <w:tcW w:w="552" w:type="pct"/>
            <w:tcBorders>
              <w:top w:val="nil"/>
              <w:left w:val="nil"/>
              <w:bottom w:val="nil"/>
              <w:right w:val="nil"/>
            </w:tcBorders>
            <w:shd w:val="clear" w:color="auto" w:fill="auto"/>
            <w:noWrap/>
            <w:vAlign w:val="center"/>
            <w:hideMark/>
          </w:tcPr>
          <w:p w14:paraId="2B2FF899"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111.1 ± 10.97</w:t>
            </w:r>
          </w:p>
        </w:tc>
        <w:tc>
          <w:tcPr>
            <w:tcW w:w="552" w:type="pct"/>
            <w:gridSpan w:val="2"/>
            <w:tcBorders>
              <w:top w:val="nil"/>
              <w:left w:val="nil"/>
              <w:bottom w:val="nil"/>
              <w:right w:val="nil"/>
            </w:tcBorders>
            <w:shd w:val="clear" w:color="auto" w:fill="auto"/>
            <w:noWrap/>
            <w:vAlign w:val="center"/>
            <w:hideMark/>
          </w:tcPr>
          <w:p w14:paraId="6A60C08C"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109.4 ± 8.18</w:t>
            </w:r>
          </w:p>
        </w:tc>
        <w:tc>
          <w:tcPr>
            <w:tcW w:w="552" w:type="pct"/>
            <w:tcBorders>
              <w:top w:val="nil"/>
              <w:left w:val="nil"/>
              <w:bottom w:val="nil"/>
              <w:right w:val="nil"/>
            </w:tcBorders>
            <w:shd w:val="clear" w:color="auto" w:fill="auto"/>
            <w:noWrap/>
            <w:vAlign w:val="center"/>
            <w:hideMark/>
          </w:tcPr>
          <w:p w14:paraId="1CC7B931"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110.3 ± 4.81</w:t>
            </w:r>
          </w:p>
        </w:tc>
        <w:tc>
          <w:tcPr>
            <w:tcW w:w="552" w:type="pct"/>
            <w:tcBorders>
              <w:top w:val="nil"/>
              <w:left w:val="nil"/>
              <w:bottom w:val="nil"/>
              <w:right w:val="nil"/>
            </w:tcBorders>
            <w:shd w:val="clear" w:color="auto" w:fill="auto"/>
            <w:noWrap/>
            <w:vAlign w:val="center"/>
            <w:hideMark/>
          </w:tcPr>
          <w:p w14:paraId="351849B8"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110.8 ± 8.65</w:t>
            </w:r>
          </w:p>
        </w:tc>
        <w:tc>
          <w:tcPr>
            <w:tcW w:w="552" w:type="pct"/>
            <w:tcBorders>
              <w:top w:val="nil"/>
              <w:left w:val="nil"/>
              <w:bottom w:val="nil"/>
              <w:right w:val="nil"/>
            </w:tcBorders>
            <w:shd w:val="clear" w:color="auto" w:fill="auto"/>
            <w:noWrap/>
            <w:vAlign w:val="center"/>
            <w:hideMark/>
          </w:tcPr>
          <w:p w14:paraId="7FD0E52B" w14:textId="77777777" w:rsidR="00EF65F1" w:rsidRPr="00364C97" w:rsidRDefault="00484A18">
            <w:pPr>
              <w:spacing w:after="0" w:line="240" w:lineRule="auto"/>
              <w:contextualSpacing/>
              <w:jc w:val="both"/>
              <w:rPr>
                <w:rFonts w:ascii="Times New Roman" w:eastAsia="Times New Roman" w:hAnsi="Times New Roman" w:cs="Times New Roman"/>
                <w:sz w:val="22"/>
                <w:szCs w:val="22"/>
                <w:lang w:eastAsia="en-ZA"/>
              </w:rPr>
            </w:pPr>
            <w:r w:rsidRPr="00364C97">
              <w:rPr>
                <w:rFonts w:ascii="Times New Roman" w:eastAsia="Times New Roman" w:hAnsi="Times New Roman" w:cs="Times New Roman"/>
                <w:sz w:val="22"/>
                <w:szCs w:val="22"/>
                <w:lang w:eastAsia="en-ZA"/>
              </w:rPr>
              <w:t>110.6 ± 8.82</w:t>
            </w:r>
          </w:p>
        </w:tc>
      </w:tr>
      <w:tr w:rsidR="00EF65F1" w14:paraId="42AAB64E" w14:textId="77777777">
        <w:trPr>
          <w:gridAfter w:val="1"/>
          <w:wAfter w:w="31" w:type="pct"/>
          <w:trHeight w:val="240"/>
        </w:trPr>
        <w:tc>
          <w:tcPr>
            <w:tcW w:w="460" w:type="pct"/>
            <w:tcBorders>
              <w:top w:val="nil"/>
              <w:left w:val="nil"/>
              <w:bottom w:val="nil"/>
              <w:right w:val="nil"/>
            </w:tcBorders>
            <w:shd w:val="clear" w:color="auto" w:fill="auto"/>
            <w:noWrap/>
            <w:vAlign w:val="bottom"/>
            <w:hideMark/>
          </w:tcPr>
          <w:p w14:paraId="3FF26E9C" w14:textId="77777777" w:rsidR="00EF65F1" w:rsidRPr="00364C97"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43" w:type="pct"/>
            <w:gridSpan w:val="3"/>
            <w:tcBorders>
              <w:top w:val="nil"/>
              <w:left w:val="nil"/>
              <w:bottom w:val="nil"/>
              <w:right w:val="nil"/>
            </w:tcBorders>
            <w:shd w:val="clear" w:color="auto" w:fill="auto"/>
            <w:noWrap/>
            <w:vAlign w:val="bottom"/>
            <w:hideMark/>
          </w:tcPr>
          <w:p w14:paraId="528A3A0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SEM</w:t>
            </w:r>
          </w:p>
        </w:tc>
        <w:tc>
          <w:tcPr>
            <w:tcW w:w="552" w:type="pct"/>
            <w:tcBorders>
              <w:top w:val="nil"/>
              <w:left w:val="nil"/>
              <w:bottom w:val="nil"/>
              <w:right w:val="nil"/>
            </w:tcBorders>
            <w:shd w:val="clear" w:color="auto" w:fill="auto"/>
            <w:noWrap/>
            <w:vAlign w:val="bottom"/>
            <w:hideMark/>
          </w:tcPr>
          <w:p w14:paraId="1BE0F2D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1.97</w:t>
            </w:r>
          </w:p>
        </w:tc>
        <w:tc>
          <w:tcPr>
            <w:tcW w:w="552" w:type="pct"/>
            <w:tcBorders>
              <w:top w:val="nil"/>
              <w:left w:val="nil"/>
              <w:bottom w:val="nil"/>
              <w:right w:val="nil"/>
            </w:tcBorders>
            <w:shd w:val="clear" w:color="auto" w:fill="auto"/>
            <w:noWrap/>
            <w:vAlign w:val="bottom"/>
            <w:hideMark/>
          </w:tcPr>
          <w:p w14:paraId="1FD0E2D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2.19</w:t>
            </w:r>
          </w:p>
        </w:tc>
        <w:tc>
          <w:tcPr>
            <w:tcW w:w="552" w:type="pct"/>
            <w:tcBorders>
              <w:top w:val="nil"/>
              <w:left w:val="nil"/>
              <w:bottom w:val="nil"/>
              <w:right w:val="nil"/>
            </w:tcBorders>
            <w:shd w:val="clear" w:color="auto" w:fill="auto"/>
            <w:noWrap/>
            <w:vAlign w:val="bottom"/>
            <w:hideMark/>
          </w:tcPr>
          <w:p w14:paraId="2B9B4FE9"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2.38</w:t>
            </w:r>
          </w:p>
        </w:tc>
        <w:tc>
          <w:tcPr>
            <w:tcW w:w="552" w:type="pct"/>
            <w:gridSpan w:val="2"/>
            <w:tcBorders>
              <w:top w:val="nil"/>
              <w:left w:val="nil"/>
              <w:bottom w:val="nil"/>
              <w:right w:val="nil"/>
            </w:tcBorders>
            <w:shd w:val="clear" w:color="auto" w:fill="auto"/>
            <w:noWrap/>
            <w:vAlign w:val="bottom"/>
            <w:hideMark/>
          </w:tcPr>
          <w:p w14:paraId="00557684"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2.09</w:t>
            </w:r>
          </w:p>
        </w:tc>
        <w:tc>
          <w:tcPr>
            <w:tcW w:w="552" w:type="pct"/>
            <w:tcBorders>
              <w:top w:val="nil"/>
              <w:left w:val="nil"/>
              <w:bottom w:val="nil"/>
              <w:right w:val="nil"/>
            </w:tcBorders>
            <w:shd w:val="clear" w:color="auto" w:fill="auto"/>
            <w:noWrap/>
            <w:vAlign w:val="bottom"/>
            <w:hideMark/>
          </w:tcPr>
          <w:p w14:paraId="69B0436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1.75</w:t>
            </w:r>
          </w:p>
        </w:tc>
        <w:tc>
          <w:tcPr>
            <w:tcW w:w="552" w:type="pct"/>
            <w:tcBorders>
              <w:top w:val="nil"/>
              <w:left w:val="nil"/>
              <w:bottom w:val="nil"/>
              <w:right w:val="nil"/>
            </w:tcBorders>
            <w:shd w:val="clear" w:color="auto" w:fill="auto"/>
            <w:noWrap/>
            <w:vAlign w:val="bottom"/>
            <w:hideMark/>
          </w:tcPr>
          <w:p w14:paraId="2A1688A8"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1.94</w:t>
            </w:r>
          </w:p>
        </w:tc>
        <w:tc>
          <w:tcPr>
            <w:tcW w:w="552" w:type="pct"/>
            <w:tcBorders>
              <w:top w:val="nil"/>
              <w:left w:val="nil"/>
              <w:bottom w:val="nil"/>
              <w:right w:val="nil"/>
            </w:tcBorders>
            <w:shd w:val="clear" w:color="auto" w:fill="auto"/>
            <w:noWrap/>
            <w:vAlign w:val="bottom"/>
            <w:hideMark/>
          </w:tcPr>
          <w:p w14:paraId="3D856CC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2.30</w:t>
            </w:r>
          </w:p>
        </w:tc>
      </w:tr>
      <w:tr w:rsidR="00EF65F1" w14:paraId="3CE291B3" w14:textId="77777777">
        <w:trPr>
          <w:gridAfter w:val="1"/>
          <w:wAfter w:w="31" w:type="pct"/>
          <w:trHeight w:val="240"/>
        </w:trPr>
        <w:tc>
          <w:tcPr>
            <w:tcW w:w="460" w:type="pct"/>
            <w:tcBorders>
              <w:top w:val="nil"/>
              <w:left w:val="nil"/>
              <w:bottom w:val="single" w:sz="4" w:space="0" w:color="auto"/>
              <w:right w:val="nil"/>
            </w:tcBorders>
            <w:shd w:val="clear" w:color="auto" w:fill="auto"/>
            <w:noWrap/>
            <w:vAlign w:val="bottom"/>
            <w:hideMark/>
          </w:tcPr>
          <w:p w14:paraId="2A20A80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 </w:t>
            </w:r>
          </w:p>
        </w:tc>
        <w:tc>
          <w:tcPr>
            <w:tcW w:w="643" w:type="pct"/>
            <w:gridSpan w:val="3"/>
            <w:tcBorders>
              <w:top w:val="nil"/>
              <w:left w:val="nil"/>
              <w:bottom w:val="single" w:sz="4" w:space="0" w:color="auto"/>
              <w:right w:val="nil"/>
            </w:tcBorders>
            <w:shd w:val="clear" w:color="auto" w:fill="auto"/>
            <w:noWrap/>
            <w:vAlign w:val="bottom"/>
            <w:hideMark/>
          </w:tcPr>
          <w:p w14:paraId="41DAD847"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P-value</w:t>
            </w:r>
          </w:p>
        </w:tc>
        <w:tc>
          <w:tcPr>
            <w:tcW w:w="552" w:type="pct"/>
            <w:tcBorders>
              <w:top w:val="nil"/>
              <w:left w:val="nil"/>
              <w:bottom w:val="single" w:sz="4" w:space="0" w:color="auto"/>
              <w:right w:val="nil"/>
            </w:tcBorders>
            <w:shd w:val="clear" w:color="auto" w:fill="auto"/>
            <w:noWrap/>
            <w:vAlign w:val="bottom"/>
            <w:hideMark/>
          </w:tcPr>
          <w:p w14:paraId="03A7FD6E"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0.30</w:t>
            </w:r>
          </w:p>
        </w:tc>
        <w:tc>
          <w:tcPr>
            <w:tcW w:w="552" w:type="pct"/>
            <w:tcBorders>
              <w:top w:val="nil"/>
              <w:left w:val="nil"/>
              <w:bottom w:val="single" w:sz="4" w:space="0" w:color="auto"/>
              <w:right w:val="nil"/>
            </w:tcBorders>
            <w:shd w:val="clear" w:color="auto" w:fill="auto"/>
            <w:noWrap/>
            <w:vAlign w:val="bottom"/>
            <w:hideMark/>
          </w:tcPr>
          <w:p w14:paraId="5EB20C1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0.30</w:t>
            </w:r>
          </w:p>
        </w:tc>
        <w:tc>
          <w:tcPr>
            <w:tcW w:w="552" w:type="pct"/>
            <w:tcBorders>
              <w:top w:val="nil"/>
              <w:left w:val="nil"/>
              <w:bottom w:val="single" w:sz="4" w:space="0" w:color="auto"/>
              <w:right w:val="nil"/>
            </w:tcBorders>
            <w:shd w:val="clear" w:color="auto" w:fill="auto"/>
            <w:noWrap/>
            <w:vAlign w:val="bottom"/>
            <w:hideMark/>
          </w:tcPr>
          <w:p w14:paraId="6F8607B2"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0.98</w:t>
            </w:r>
          </w:p>
        </w:tc>
        <w:tc>
          <w:tcPr>
            <w:tcW w:w="552" w:type="pct"/>
            <w:gridSpan w:val="2"/>
            <w:tcBorders>
              <w:top w:val="nil"/>
              <w:left w:val="nil"/>
              <w:bottom w:val="single" w:sz="4" w:space="0" w:color="auto"/>
              <w:right w:val="nil"/>
            </w:tcBorders>
            <w:shd w:val="clear" w:color="auto" w:fill="auto"/>
            <w:noWrap/>
            <w:vAlign w:val="bottom"/>
            <w:hideMark/>
          </w:tcPr>
          <w:p w14:paraId="03E22CDB"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0.89</w:t>
            </w:r>
          </w:p>
        </w:tc>
        <w:tc>
          <w:tcPr>
            <w:tcW w:w="552" w:type="pct"/>
            <w:tcBorders>
              <w:top w:val="nil"/>
              <w:left w:val="nil"/>
              <w:bottom w:val="single" w:sz="4" w:space="0" w:color="auto"/>
              <w:right w:val="nil"/>
            </w:tcBorders>
            <w:shd w:val="clear" w:color="auto" w:fill="auto"/>
            <w:noWrap/>
            <w:vAlign w:val="bottom"/>
            <w:hideMark/>
          </w:tcPr>
          <w:p w14:paraId="16DF8456"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0.31</w:t>
            </w:r>
          </w:p>
        </w:tc>
        <w:tc>
          <w:tcPr>
            <w:tcW w:w="552" w:type="pct"/>
            <w:tcBorders>
              <w:top w:val="nil"/>
              <w:left w:val="nil"/>
              <w:bottom w:val="single" w:sz="4" w:space="0" w:color="auto"/>
              <w:right w:val="nil"/>
            </w:tcBorders>
            <w:shd w:val="clear" w:color="auto" w:fill="auto"/>
            <w:noWrap/>
            <w:vAlign w:val="bottom"/>
            <w:hideMark/>
          </w:tcPr>
          <w:p w14:paraId="17E4824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0.99</w:t>
            </w:r>
          </w:p>
        </w:tc>
        <w:tc>
          <w:tcPr>
            <w:tcW w:w="552" w:type="pct"/>
            <w:tcBorders>
              <w:top w:val="nil"/>
              <w:left w:val="nil"/>
              <w:bottom w:val="single" w:sz="4" w:space="0" w:color="auto"/>
              <w:right w:val="nil"/>
            </w:tcBorders>
            <w:shd w:val="clear" w:color="auto" w:fill="auto"/>
            <w:noWrap/>
            <w:vAlign w:val="bottom"/>
            <w:hideMark/>
          </w:tcPr>
          <w:p w14:paraId="3465B521" w14:textId="77777777" w:rsidR="00EF65F1" w:rsidRPr="00364C97" w:rsidRDefault="00484A18">
            <w:pPr>
              <w:spacing w:after="0" w:line="240" w:lineRule="auto"/>
              <w:contextualSpacing/>
              <w:jc w:val="both"/>
              <w:rPr>
                <w:rFonts w:ascii="Times New Roman" w:eastAsia="Times New Roman" w:hAnsi="Times New Roman" w:cs="Times New Roman"/>
                <w:bCs/>
                <w:sz w:val="22"/>
                <w:szCs w:val="22"/>
                <w:lang w:eastAsia="en-ZA"/>
              </w:rPr>
            </w:pPr>
            <w:r w:rsidRPr="00364C97">
              <w:rPr>
                <w:rFonts w:ascii="Times New Roman" w:eastAsia="Times New Roman" w:hAnsi="Times New Roman" w:cs="Times New Roman"/>
                <w:bCs/>
                <w:sz w:val="22"/>
                <w:szCs w:val="22"/>
                <w:lang w:eastAsia="en-ZA"/>
              </w:rPr>
              <w:t>0.96</w:t>
            </w:r>
          </w:p>
        </w:tc>
      </w:tr>
      <w:tr w:rsidR="00EF65F1" w14:paraId="5DBBF8EB" w14:textId="77777777">
        <w:trPr>
          <w:trHeight w:val="240"/>
        </w:trPr>
        <w:tc>
          <w:tcPr>
            <w:tcW w:w="2773" w:type="pct"/>
            <w:gridSpan w:val="8"/>
            <w:tcBorders>
              <w:top w:val="single" w:sz="4" w:space="0" w:color="auto"/>
              <w:left w:val="nil"/>
              <w:bottom w:val="nil"/>
              <w:right w:val="nil"/>
            </w:tcBorders>
            <w:shd w:val="clear" w:color="auto" w:fill="auto"/>
            <w:noWrap/>
            <w:vAlign w:val="bottom"/>
            <w:hideMark/>
          </w:tcPr>
          <w:p w14:paraId="5AFC4A48" w14:textId="77777777" w:rsidR="00EF65F1" w:rsidRDefault="00484A18">
            <w:pPr>
              <w:spacing w:after="0" w:line="360" w:lineRule="auto"/>
              <w:contextualSpacing/>
              <w:jc w:val="both"/>
              <w:rPr>
                <w:rFonts w:ascii="Times New Roman" w:eastAsia="Times New Roman" w:hAnsi="Times New Roman" w:cs="Times New Roman"/>
                <w:szCs w:val="20"/>
                <w:lang w:eastAsia="en-ZA"/>
              </w:rPr>
            </w:pPr>
            <w:r>
              <w:rPr>
                <w:rFonts w:ascii="Times New Roman" w:eastAsia="Times New Roman" w:hAnsi="Times New Roman" w:cs="Times New Roman"/>
                <w:szCs w:val="20"/>
                <w:vertAlign w:val="superscript"/>
                <w:lang w:eastAsia="en-ZA"/>
              </w:rPr>
              <w:t xml:space="preserve">abc </w:t>
            </w:r>
            <w:r>
              <w:rPr>
                <w:rFonts w:ascii="Times New Roman" w:eastAsia="Times New Roman" w:hAnsi="Times New Roman" w:cs="Times New Roman"/>
                <w:szCs w:val="20"/>
                <w:lang w:eastAsia="en-ZA"/>
              </w:rPr>
              <w:t>Within a column: Means with different superscripts differ (P &lt; 0.05)</w:t>
            </w:r>
          </w:p>
        </w:tc>
        <w:tc>
          <w:tcPr>
            <w:tcW w:w="2227" w:type="pct"/>
            <w:gridSpan w:val="5"/>
            <w:tcBorders>
              <w:top w:val="nil"/>
              <w:left w:val="nil"/>
              <w:bottom w:val="nil"/>
              <w:right w:val="nil"/>
            </w:tcBorders>
            <w:shd w:val="clear" w:color="auto" w:fill="auto"/>
            <w:noWrap/>
            <w:vAlign w:val="bottom"/>
            <w:hideMark/>
          </w:tcPr>
          <w:p w14:paraId="1BBA8639" w14:textId="77777777" w:rsidR="00EF65F1" w:rsidRDefault="00EF65F1">
            <w:pPr>
              <w:spacing w:after="0" w:line="360" w:lineRule="auto"/>
              <w:contextualSpacing/>
              <w:jc w:val="both"/>
              <w:rPr>
                <w:rFonts w:ascii="Times New Roman" w:eastAsia="Times New Roman" w:hAnsi="Times New Roman" w:cs="Times New Roman"/>
                <w:szCs w:val="20"/>
                <w:lang w:eastAsia="en-ZA"/>
              </w:rPr>
            </w:pPr>
          </w:p>
        </w:tc>
      </w:tr>
    </w:tbl>
    <w:p w14:paraId="0F4942C4" w14:textId="77777777" w:rsidR="00EF65F1" w:rsidRDefault="00EF65F1">
      <w:pPr>
        <w:spacing w:after="0" w:line="360" w:lineRule="auto"/>
        <w:ind w:firstLine="567"/>
        <w:contextualSpacing/>
        <w:jc w:val="both"/>
        <w:rPr>
          <w:rFonts w:ascii="Times New Roman" w:eastAsia="Times New Roman" w:hAnsi="Times New Roman" w:cs="Times New Roman"/>
          <w:iCs/>
          <w:color w:val="000000"/>
          <w:sz w:val="22"/>
          <w:szCs w:val="22"/>
          <w:lang w:eastAsia="en-ZA"/>
        </w:rPr>
        <w:sectPr w:rsidR="00EF65F1">
          <w:pgSz w:w="16838" w:h="11906" w:orient="landscape" w:code="9"/>
          <w:pgMar w:top="720" w:right="720" w:bottom="720" w:left="720" w:header="567" w:footer="794" w:gutter="0"/>
          <w:cols w:space="708"/>
          <w:vAlign w:val="center"/>
          <w:docGrid w:linePitch="360"/>
        </w:sectPr>
      </w:pPr>
    </w:p>
    <w:p w14:paraId="08930231" w14:textId="77777777" w:rsidR="00EF65F1" w:rsidRDefault="00484A18">
      <w:pPr>
        <w:pStyle w:val="Heading3"/>
        <w:spacing w:before="0" w:line="360" w:lineRule="auto"/>
        <w:ind w:left="284"/>
        <w:contextualSpacing/>
        <w:jc w:val="both"/>
        <w:rPr>
          <w:rFonts w:ascii="Times New Roman" w:hAnsi="Times New Roman" w:cs="Times New Roman"/>
          <w:color w:val="auto"/>
          <w:szCs w:val="22"/>
        </w:rPr>
      </w:pPr>
      <w:bookmarkStart w:id="184" w:name="_Toc2691161"/>
      <w:r>
        <w:rPr>
          <w:rFonts w:ascii="Times New Roman" w:hAnsi="Times New Roman" w:cs="Times New Roman"/>
          <w:color w:val="auto"/>
          <w:szCs w:val="22"/>
        </w:rPr>
        <w:lastRenderedPageBreak/>
        <w:t>Methane Production</w:t>
      </w:r>
      <w:bookmarkEnd w:id="184"/>
    </w:p>
    <w:p w14:paraId="0AC7D2FE" w14:textId="77777777" w:rsidR="00EF65F1" w:rsidRDefault="00EF65F1">
      <w:pPr>
        <w:spacing w:after="0" w:line="360" w:lineRule="auto"/>
        <w:ind w:firstLine="567"/>
        <w:contextualSpacing/>
        <w:jc w:val="both"/>
        <w:rPr>
          <w:rFonts w:ascii="Times New Roman" w:hAnsi="Times New Roman" w:cs="Times New Roman"/>
          <w:sz w:val="22"/>
          <w:szCs w:val="22"/>
        </w:rPr>
      </w:pPr>
    </w:p>
    <w:p w14:paraId="2EF60ECD" w14:textId="77777777" w:rsidR="00EF65F1" w:rsidRDefault="00484A18">
      <w:pPr>
        <w:spacing w:after="0" w:line="360" w:lineRule="auto"/>
        <w:ind w:firstLine="567"/>
        <w:contextualSpacing/>
        <w:jc w:val="both"/>
        <w:rPr>
          <w:rFonts w:ascii="Times New Roman" w:hAnsi="Times New Roman" w:cs="Times New Roman"/>
          <w:sz w:val="22"/>
          <w:szCs w:val="22"/>
        </w:rPr>
      </w:pPr>
      <w:bookmarkStart w:id="185" w:name="_Hlk530509201"/>
      <w:r>
        <w:rPr>
          <w:rFonts w:ascii="Times New Roman" w:hAnsi="Times New Roman" w:cs="Times New Roman"/>
          <w:sz w:val="22"/>
          <w:szCs w:val="22"/>
        </w:rPr>
        <w:t>The cumulative volume of methane produced (mL CH</w:t>
      </w:r>
      <w:r>
        <w:rPr>
          <w:rFonts w:ascii="Times New Roman" w:hAnsi="Times New Roman" w:cs="Times New Roman"/>
          <w:sz w:val="22"/>
          <w:szCs w:val="22"/>
          <w:vertAlign w:val="subscript"/>
        </w:rPr>
        <w:t>4</w:t>
      </w:r>
      <w:r>
        <w:rPr>
          <w:rFonts w:ascii="Times New Roman" w:hAnsi="Times New Roman" w:cs="Times New Roman"/>
          <w:sz w:val="22"/>
          <w:szCs w:val="22"/>
        </w:rPr>
        <w:t xml:space="preserve"> /g DM) at 2, 4, 8, 12, 24 and 48 hours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of </w:t>
      </w:r>
      <w:r>
        <w:rPr>
          <w:rFonts w:ascii="Times New Roman" w:hAnsi="Times New Roman" w:cs="Times New Roman"/>
          <w:i/>
          <w:sz w:val="22"/>
          <w:szCs w:val="22"/>
        </w:rPr>
        <w:t xml:space="preserve">E. curvula </w:t>
      </w:r>
      <w:r>
        <w:rPr>
          <w:rFonts w:ascii="Times New Roman" w:hAnsi="Times New Roman" w:cs="Times New Roman"/>
          <w:sz w:val="22"/>
          <w:szCs w:val="22"/>
        </w:rPr>
        <w:t xml:space="preserve">hay treated with seven different plant extracts at a dose level of 300 and 600 mg/kg DM is shown in table 3.4 and table 3.5, respectively.  </w:t>
      </w:r>
    </w:p>
    <w:p w14:paraId="30A28E9D" w14:textId="77777777" w:rsidR="00EF65F1" w:rsidRDefault="00EF65F1">
      <w:pPr>
        <w:spacing w:after="0" w:line="360" w:lineRule="auto"/>
        <w:ind w:firstLine="567"/>
        <w:contextualSpacing/>
        <w:jc w:val="both"/>
        <w:rPr>
          <w:rFonts w:ascii="Times New Roman" w:hAnsi="Times New Roman" w:cs="Times New Roman"/>
          <w:sz w:val="22"/>
          <w:szCs w:val="22"/>
        </w:rPr>
      </w:pPr>
    </w:p>
    <w:p w14:paraId="6745E317"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eastAsia="Times New Roman" w:hAnsi="Times New Roman" w:cs="Times New Roman"/>
          <w:iCs/>
          <w:color w:val="000000"/>
          <w:sz w:val="22"/>
          <w:szCs w:val="22"/>
          <w:lang w:eastAsia="en-ZA"/>
        </w:rPr>
        <w:t xml:space="preserve">When all plant extracts were tested at a dose level of 300 mg/kg DM, no significant (P &gt; 0.05) differences between the treatments in terms of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was noted, at any time intervals, during the incubation period.  At 24 hours, plant extracts from </w:t>
      </w:r>
      <w:r>
        <w:rPr>
          <w:rFonts w:ascii="Times New Roman" w:eastAsia="Times New Roman" w:hAnsi="Times New Roman" w:cs="Times New Roman"/>
          <w:i/>
          <w:iCs/>
          <w:color w:val="000000"/>
          <w:sz w:val="22"/>
          <w:szCs w:val="22"/>
          <w:lang w:eastAsia="en-ZA"/>
        </w:rPr>
        <w:t>H. lucida</w:t>
      </w:r>
      <w:r>
        <w:rPr>
          <w:rFonts w:ascii="Times New Roman" w:eastAsia="Times New Roman" w:hAnsi="Times New Roman" w:cs="Times New Roman"/>
          <w:iCs/>
          <w:color w:val="000000"/>
          <w:sz w:val="22"/>
          <w:szCs w:val="22"/>
          <w:lang w:eastAsia="en-ZA"/>
        </w:rPr>
        <w:t xml:space="preserve"> lowered (P &gt; 0.05) the volume of </w:t>
      </w:r>
      <w:r>
        <w:rPr>
          <w:rFonts w:ascii="Times New Roman" w:hAnsi="Times New Roman" w:cs="Times New Roman"/>
          <w:sz w:val="22"/>
          <w:szCs w:val="22"/>
        </w:rPr>
        <w:t>CH</w:t>
      </w:r>
      <w:r>
        <w:rPr>
          <w:rFonts w:ascii="Times New Roman" w:hAnsi="Times New Roman" w:cs="Times New Roman"/>
          <w:sz w:val="22"/>
          <w:szCs w:val="22"/>
          <w:vertAlign w:val="subscript"/>
        </w:rPr>
        <w:t xml:space="preserve">4 </w:t>
      </w:r>
      <w:r>
        <w:rPr>
          <w:rFonts w:ascii="Times New Roman" w:eastAsia="Times New Roman" w:hAnsi="Times New Roman" w:cs="Times New Roman"/>
          <w:iCs/>
          <w:color w:val="000000"/>
          <w:sz w:val="22"/>
          <w:szCs w:val="22"/>
          <w:lang w:eastAsia="en-ZA"/>
        </w:rPr>
        <w:t xml:space="preserve">produced compared to plant extracts from </w:t>
      </w:r>
      <w:r>
        <w:rPr>
          <w:rFonts w:ascii="Times New Roman" w:eastAsia="Times New Roman" w:hAnsi="Times New Roman" w:cs="Times New Roman"/>
          <w:i/>
          <w:iCs/>
          <w:color w:val="000000"/>
          <w:sz w:val="22"/>
          <w:szCs w:val="22"/>
          <w:lang w:eastAsia="en-ZA"/>
        </w:rPr>
        <w:t>S. chirindensis</w:t>
      </w:r>
      <w:r>
        <w:rPr>
          <w:rFonts w:ascii="Times New Roman" w:eastAsia="Times New Roman" w:hAnsi="Times New Roman" w:cs="Times New Roman"/>
          <w:iCs/>
          <w:color w:val="000000"/>
          <w:sz w:val="22"/>
          <w:szCs w:val="22"/>
          <w:lang w:eastAsia="en-ZA"/>
        </w:rPr>
        <w:t xml:space="preserve">.  However,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for both of these species was not significantly different (P &gt; 0.05) when compared to the negative control.</w:t>
      </w:r>
      <w:r>
        <w:rPr>
          <w:rFonts w:ascii="Times New Roman" w:hAnsi="Times New Roman" w:cs="Times New Roman"/>
          <w:sz w:val="22"/>
          <w:szCs w:val="22"/>
        </w:rPr>
        <w:t xml:space="preserve">  </w:t>
      </w:r>
    </w:p>
    <w:p w14:paraId="7F25E32F" w14:textId="77777777" w:rsidR="00EF65F1" w:rsidRDefault="00EF65F1">
      <w:pPr>
        <w:spacing w:after="0" w:line="360" w:lineRule="auto"/>
        <w:ind w:firstLine="567"/>
        <w:contextualSpacing/>
        <w:jc w:val="both"/>
        <w:rPr>
          <w:rFonts w:ascii="Times New Roman" w:hAnsi="Times New Roman" w:cs="Times New Roman"/>
          <w:sz w:val="22"/>
          <w:szCs w:val="22"/>
        </w:rPr>
      </w:pPr>
    </w:p>
    <w:p w14:paraId="6B898F9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When plant extracts were tested at a 600 mg/kg DM dose level, there were significant differences (P &lt; 0.05) between treatments in terms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at 24- and 48-hour post incubation.  At 24 hours, plant extracts from </w:t>
      </w:r>
      <w:r>
        <w:rPr>
          <w:rFonts w:ascii="Times New Roman" w:hAnsi="Times New Roman" w:cs="Times New Roman"/>
          <w:i/>
          <w:sz w:val="22"/>
          <w:szCs w:val="22"/>
        </w:rPr>
        <w:t xml:space="preserve">C. erythrophyllum </w:t>
      </w:r>
      <w:r>
        <w:rPr>
          <w:rFonts w:ascii="Times New Roman" w:hAnsi="Times New Roman" w:cs="Times New Roman"/>
          <w:sz w:val="22"/>
          <w:szCs w:val="22"/>
        </w:rPr>
        <w:t>produced significantly higher (P &lt; 0.05) volumes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when compared to plant extracts from </w:t>
      </w:r>
      <w:r>
        <w:rPr>
          <w:rFonts w:ascii="Times New Roman" w:hAnsi="Times New Roman" w:cs="Times New Roman"/>
          <w:i/>
          <w:sz w:val="22"/>
          <w:szCs w:val="22"/>
        </w:rPr>
        <w:t>S. chirindensis</w:t>
      </w:r>
      <w:r>
        <w:rPr>
          <w:rFonts w:ascii="Times New Roman" w:hAnsi="Times New Roman" w:cs="Times New Roman"/>
          <w:sz w:val="22"/>
          <w:szCs w:val="22"/>
        </w:rPr>
        <w:t>, however, the differences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volume for these species were not significantly different (P &gt; 0.05) when compared to the negative control.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produced a lower (P &lt; 0.05) volume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at 48 hours when compared to plant extracts from </w:t>
      </w:r>
      <w:r>
        <w:rPr>
          <w:rFonts w:ascii="Times New Roman" w:hAnsi="Times New Roman" w:cs="Times New Roman"/>
          <w:i/>
          <w:sz w:val="22"/>
          <w:szCs w:val="22"/>
        </w:rPr>
        <w:t>C. erythrophyllum</w:t>
      </w:r>
      <w:r>
        <w:rPr>
          <w:rFonts w:ascii="Times New Roman" w:hAnsi="Times New Roman" w:cs="Times New Roman"/>
          <w:sz w:val="22"/>
          <w:szCs w:val="22"/>
        </w:rPr>
        <w:t>.  However, the differences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for these species were still not significantly different (P &gt; 0.05) when compared to the negative control.</w:t>
      </w:r>
    </w:p>
    <w:p w14:paraId="17575886" w14:textId="77777777" w:rsidR="00EF65F1" w:rsidRDefault="00EF65F1">
      <w:pPr>
        <w:spacing w:after="0" w:line="360" w:lineRule="auto"/>
        <w:ind w:firstLine="567"/>
        <w:contextualSpacing/>
        <w:jc w:val="both"/>
        <w:rPr>
          <w:rFonts w:ascii="Times New Roman" w:hAnsi="Times New Roman" w:cs="Times New Roman"/>
          <w:sz w:val="22"/>
          <w:szCs w:val="22"/>
        </w:rPr>
      </w:pPr>
    </w:p>
    <w:p w14:paraId="0CEBC21B" w14:textId="77777777" w:rsidR="00EF65F1" w:rsidRDefault="00484A18">
      <w:pPr>
        <w:spacing w:after="0" w:line="360" w:lineRule="auto"/>
        <w:ind w:firstLine="567"/>
        <w:contextualSpacing/>
        <w:jc w:val="both"/>
        <w:rPr>
          <w:rFonts w:ascii="Times New Roman" w:eastAsia="Times New Roman" w:hAnsi="Times New Roman" w:cs="Times New Roman"/>
          <w:iCs/>
          <w:color w:val="000000"/>
          <w:sz w:val="22"/>
          <w:szCs w:val="22"/>
          <w:lang w:eastAsia="en-ZA"/>
        </w:rPr>
      </w:pPr>
      <w:r>
        <w:rPr>
          <w:rFonts w:ascii="Times New Roman" w:eastAsia="Times New Roman" w:hAnsi="Times New Roman" w:cs="Times New Roman"/>
          <w:iCs/>
          <w:color w:val="000000"/>
          <w:sz w:val="22"/>
          <w:szCs w:val="22"/>
          <w:lang w:eastAsia="en-ZA"/>
        </w:rPr>
        <w:t xml:space="preserve">The effect of individual plant extracts applied at a dose level of 300 or 600 mg/kg DM on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at each incubation time period is represented in table 3.6.  No differences (P &gt; 0.05) were noted between the dose levels for any of the plant extract treatments tested in terms of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at 2- to 24-hour incubation periods.  At 48 hours of incubation, a significant difference (P &lt; 0.05) in terms of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was noted between the two dose levels tested for plant extracts from </w:t>
      </w:r>
      <w:r>
        <w:rPr>
          <w:rFonts w:ascii="Times New Roman" w:eastAsia="Times New Roman" w:hAnsi="Times New Roman" w:cs="Times New Roman"/>
          <w:i/>
          <w:iCs/>
          <w:color w:val="000000"/>
          <w:sz w:val="22"/>
          <w:szCs w:val="22"/>
          <w:lang w:eastAsia="en-ZA"/>
        </w:rPr>
        <w:t xml:space="preserve">H. natalensis.  </w:t>
      </w:r>
      <w:r>
        <w:rPr>
          <w:rFonts w:ascii="Times New Roman" w:eastAsia="Times New Roman" w:hAnsi="Times New Roman" w:cs="Times New Roman"/>
          <w:iCs/>
          <w:color w:val="000000"/>
          <w:sz w:val="22"/>
          <w:szCs w:val="22"/>
          <w:lang w:eastAsia="en-ZA"/>
        </w:rPr>
        <w:t xml:space="preserve">When tested at an application rate of 600 mg/kg DM these plant extracts seemingly produced less (P &lt; 0.05)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than when compared to the 300 mg/kg DM dose level, however, the differences in </w:t>
      </w:r>
      <w:r>
        <w:rPr>
          <w:rFonts w:ascii="Times New Roman" w:hAnsi="Times New Roman" w:cs="Times New Roman"/>
          <w:sz w:val="22"/>
          <w:szCs w:val="22"/>
        </w:rPr>
        <w:t>CH</w:t>
      </w:r>
      <w:r>
        <w:rPr>
          <w:rFonts w:ascii="Times New Roman" w:hAnsi="Times New Roman" w:cs="Times New Roman"/>
          <w:sz w:val="22"/>
          <w:szCs w:val="22"/>
          <w:vertAlign w:val="subscript"/>
        </w:rPr>
        <w:t>4</w:t>
      </w:r>
      <w:r>
        <w:rPr>
          <w:rFonts w:ascii="Times New Roman" w:eastAsia="Times New Roman" w:hAnsi="Times New Roman" w:cs="Times New Roman"/>
          <w:iCs/>
          <w:color w:val="000000"/>
          <w:sz w:val="22"/>
          <w:szCs w:val="22"/>
          <w:lang w:eastAsia="en-ZA"/>
        </w:rPr>
        <w:t xml:space="preserve"> production for the two dose levels of the same species were not significant (P &gt; 0.05) when compared to the negative control.  </w:t>
      </w:r>
    </w:p>
    <w:p w14:paraId="4B824CD7" w14:textId="77777777" w:rsidR="00EF65F1" w:rsidRDefault="00EF65F1">
      <w:pPr>
        <w:spacing w:after="0" w:line="360" w:lineRule="auto"/>
        <w:ind w:firstLine="567"/>
        <w:contextualSpacing/>
        <w:jc w:val="both"/>
        <w:rPr>
          <w:rFonts w:ascii="Times New Roman" w:eastAsia="Times New Roman" w:hAnsi="Times New Roman" w:cs="Times New Roman"/>
          <w:iCs/>
          <w:color w:val="000000"/>
          <w:sz w:val="22"/>
          <w:szCs w:val="22"/>
          <w:lang w:eastAsia="en-ZA"/>
        </w:rPr>
      </w:pPr>
    </w:p>
    <w:bookmarkEnd w:id="185"/>
    <w:p w14:paraId="60CAB570" w14:textId="77777777" w:rsidR="00EF65F1" w:rsidRDefault="00EF65F1">
      <w:pPr>
        <w:spacing w:after="0" w:line="360" w:lineRule="auto"/>
        <w:ind w:firstLine="567"/>
        <w:contextualSpacing/>
        <w:jc w:val="both"/>
        <w:rPr>
          <w:rFonts w:ascii="Times New Roman" w:hAnsi="Times New Roman" w:cs="Times New Roman"/>
          <w:sz w:val="22"/>
          <w:szCs w:val="22"/>
        </w:rPr>
      </w:pPr>
    </w:p>
    <w:p w14:paraId="5B9F61A7" w14:textId="77777777" w:rsidR="00EF65F1" w:rsidRDefault="00EF65F1">
      <w:pPr>
        <w:pStyle w:val="Caption"/>
        <w:spacing w:after="0" w:line="360" w:lineRule="auto"/>
        <w:ind w:firstLine="567"/>
        <w:contextualSpacing/>
        <w:jc w:val="both"/>
        <w:rPr>
          <w:rFonts w:ascii="Times New Roman" w:hAnsi="Times New Roman" w:cs="Times New Roman"/>
          <w:i w:val="0"/>
          <w:color w:val="auto"/>
          <w:sz w:val="22"/>
          <w:szCs w:val="22"/>
        </w:rPr>
        <w:sectPr w:rsidR="00EF65F1">
          <w:pgSz w:w="11906" w:h="16838" w:code="9"/>
          <w:pgMar w:top="1440" w:right="1440" w:bottom="1440" w:left="1440" w:header="567" w:footer="794" w:gutter="0"/>
          <w:cols w:space="708"/>
          <w:docGrid w:linePitch="360"/>
        </w:sectPr>
      </w:pPr>
    </w:p>
    <w:p w14:paraId="0C7226F4" w14:textId="592CD6D0" w:rsidR="00EF65F1" w:rsidRDefault="00484A18">
      <w:pPr>
        <w:pStyle w:val="Caption"/>
        <w:keepNext/>
        <w:spacing w:after="0"/>
        <w:contextualSpacing/>
        <w:jc w:val="both"/>
        <w:rPr>
          <w:rFonts w:ascii="Times New Roman" w:hAnsi="Times New Roman" w:cs="Times New Roman"/>
          <w:i w:val="0"/>
          <w:color w:val="auto"/>
          <w:sz w:val="24"/>
          <w:szCs w:val="22"/>
        </w:rPr>
      </w:pPr>
      <w:bookmarkStart w:id="186" w:name="_Toc2349142"/>
      <w:bookmarkStart w:id="187" w:name="_Hlk530509219"/>
      <w:r>
        <w:rPr>
          <w:rFonts w:ascii="Times New Roman" w:hAnsi="Times New Roman" w:cs="Times New Roman"/>
          <w:i w:val="0"/>
          <w:color w:val="auto"/>
          <w:sz w:val="24"/>
          <w:szCs w:val="22"/>
        </w:rPr>
        <w:lastRenderedPageBreak/>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4</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Cumulative methane production (mL CH</w:t>
      </w:r>
      <w:r>
        <w:rPr>
          <w:rFonts w:ascii="Times New Roman" w:hAnsi="Times New Roman" w:cs="Times New Roman"/>
          <w:i w:val="0"/>
          <w:color w:val="auto"/>
          <w:sz w:val="24"/>
          <w:szCs w:val="22"/>
          <w:vertAlign w:val="subscript"/>
        </w:rPr>
        <w:t>4</w:t>
      </w:r>
      <w:r>
        <w:rPr>
          <w:rFonts w:ascii="Times New Roman" w:hAnsi="Times New Roman" w:cs="Times New Roman"/>
          <w:i w:val="0"/>
          <w:color w:val="auto"/>
          <w:sz w:val="24"/>
          <w:szCs w:val="22"/>
        </w:rPr>
        <w:t xml:space="preserve"> /g DM) after 2, 4, 8, 12, 24 &amp; 48 hours of </w:t>
      </w:r>
      <w:r>
        <w:rPr>
          <w:rFonts w:ascii="Times New Roman" w:hAnsi="Times New Roman" w:cs="Times New Roman"/>
          <w:color w:val="auto"/>
          <w:sz w:val="24"/>
          <w:szCs w:val="22"/>
        </w:rPr>
        <w:t xml:space="preserve">Eragrostis curvula </w:t>
      </w:r>
      <w:r>
        <w:rPr>
          <w:rFonts w:ascii="Times New Roman" w:hAnsi="Times New Roman" w:cs="Times New Roman"/>
          <w:i w:val="0"/>
          <w:color w:val="auto"/>
          <w:sz w:val="24"/>
          <w:szCs w:val="22"/>
        </w:rPr>
        <w:t>hay treated with seven plant extracts at a 300 mg/kg DM dose level</w:t>
      </w:r>
      <w:bookmarkEnd w:id="186"/>
    </w:p>
    <w:tbl>
      <w:tblPr>
        <w:tblW w:w="5000" w:type="pct"/>
        <w:jc w:val="center"/>
        <w:tblLook w:val="04A0" w:firstRow="1" w:lastRow="0" w:firstColumn="1" w:lastColumn="0" w:noHBand="0" w:noVBand="1"/>
      </w:tblPr>
      <w:tblGrid>
        <w:gridCol w:w="4404"/>
        <w:gridCol w:w="1718"/>
        <w:gridCol w:w="1718"/>
        <w:gridCol w:w="1925"/>
        <w:gridCol w:w="1718"/>
        <w:gridCol w:w="1993"/>
        <w:gridCol w:w="1922"/>
      </w:tblGrid>
      <w:tr w:rsidR="00EF65F1" w14:paraId="452AD8B0" w14:textId="77777777" w:rsidTr="00157A50">
        <w:trPr>
          <w:trHeight w:val="315"/>
          <w:jc w:val="center"/>
        </w:trPr>
        <w:tc>
          <w:tcPr>
            <w:tcW w:w="1430" w:type="pct"/>
            <w:tcBorders>
              <w:top w:val="single" w:sz="4" w:space="0" w:color="auto"/>
              <w:left w:val="nil"/>
              <w:bottom w:val="single" w:sz="4" w:space="0" w:color="auto"/>
              <w:right w:val="nil"/>
            </w:tcBorders>
            <w:shd w:val="clear" w:color="auto" w:fill="auto"/>
            <w:noWrap/>
            <w:vAlign w:val="center"/>
            <w:hideMark/>
          </w:tcPr>
          <w:p w14:paraId="124D059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 </w:t>
            </w:r>
          </w:p>
        </w:tc>
        <w:tc>
          <w:tcPr>
            <w:tcW w:w="3570" w:type="pct"/>
            <w:gridSpan w:val="6"/>
            <w:tcBorders>
              <w:top w:val="single" w:sz="4" w:space="0" w:color="auto"/>
              <w:left w:val="nil"/>
              <w:bottom w:val="single" w:sz="4" w:space="0" w:color="auto"/>
              <w:right w:val="nil"/>
            </w:tcBorders>
            <w:shd w:val="clear" w:color="auto" w:fill="auto"/>
            <w:noWrap/>
            <w:vAlign w:val="center"/>
            <w:hideMark/>
          </w:tcPr>
          <w:p w14:paraId="2FDCD02B" w14:textId="77777777" w:rsidR="00EF65F1" w:rsidRDefault="00484A18">
            <w:pPr>
              <w:spacing w:after="0" w:line="240" w:lineRule="auto"/>
              <w:contextualSpacing/>
              <w:jc w:val="center"/>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 xml:space="preserve">Mean ± SD </w:t>
            </w:r>
            <w:r>
              <w:rPr>
                <w:rFonts w:ascii="Times New Roman" w:hAnsi="Times New Roman" w:cs="Times New Roman"/>
                <w:sz w:val="24"/>
                <w:szCs w:val="22"/>
              </w:rPr>
              <w:t>(mL CH</w:t>
            </w:r>
            <w:r>
              <w:rPr>
                <w:rFonts w:ascii="Times New Roman" w:hAnsi="Times New Roman" w:cs="Times New Roman"/>
                <w:sz w:val="24"/>
                <w:szCs w:val="22"/>
                <w:vertAlign w:val="subscript"/>
              </w:rPr>
              <w:t>4</w:t>
            </w:r>
            <w:r>
              <w:rPr>
                <w:rFonts w:ascii="Times New Roman" w:hAnsi="Times New Roman" w:cs="Times New Roman"/>
                <w:sz w:val="24"/>
                <w:szCs w:val="22"/>
              </w:rPr>
              <w:t xml:space="preserve"> /g DM)</w:t>
            </w:r>
          </w:p>
        </w:tc>
      </w:tr>
      <w:tr w:rsidR="00EF65F1" w14:paraId="27C3231E" w14:textId="77777777" w:rsidTr="00157A50">
        <w:trPr>
          <w:trHeight w:val="315"/>
          <w:jc w:val="center"/>
        </w:trPr>
        <w:tc>
          <w:tcPr>
            <w:tcW w:w="1430" w:type="pct"/>
            <w:tcBorders>
              <w:top w:val="single" w:sz="4" w:space="0" w:color="auto"/>
              <w:left w:val="nil"/>
              <w:bottom w:val="single" w:sz="4" w:space="0" w:color="auto"/>
              <w:right w:val="nil"/>
            </w:tcBorders>
            <w:shd w:val="clear" w:color="auto" w:fill="auto"/>
            <w:noWrap/>
            <w:vAlign w:val="center"/>
            <w:hideMark/>
          </w:tcPr>
          <w:p w14:paraId="17C7B45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558" w:type="pct"/>
            <w:tcBorders>
              <w:top w:val="single" w:sz="4" w:space="0" w:color="auto"/>
              <w:left w:val="nil"/>
              <w:bottom w:val="single" w:sz="4" w:space="0" w:color="auto"/>
              <w:right w:val="nil"/>
            </w:tcBorders>
            <w:shd w:val="clear" w:color="auto" w:fill="auto"/>
            <w:noWrap/>
            <w:vAlign w:val="center"/>
            <w:hideMark/>
          </w:tcPr>
          <w:p w14:paraId="635DAC91"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2h</w:t>
            </w:r>
          </w:p>
        </w:tc>
        <w:tc>
          <w:tcPr>
            <w:tcW w:w="558" w:type="pct"/>
            <w:tcBorders>
              <w:top w:val="single" w:sz="4" w:space="0" w:color="auto"/>
              <w:left w:val="nil"/>
              <w:bottom w:val="single" w:sz="4" w:space="0" w:color="auto"/>
              <w:right w:val="nil"/>
            </w:tcBorders>
            <w:shd w:val="clear" w:color="auto" w:fill="auto"/>
            <w:noWrap/>
            <w:vAlign w:val="center"/>
            <w:hideMark/>
          </w:tcPr>
          <w:p w14:paraId="1BB21D6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4h</w:t>
            </w:r>
          </w:p>
        </w:tc>
        <w:tc>
          <w:tcPr>
            <w:tcW w:w="625" w:type="pct"/>
            <w:tcBorders>
              <w:top w:val="single" w:sz="4" w:space="0" w:color="auto"/>
              <w:left w:val="nil"/>
              <w:bottom w:val="single" w:sz="4" w:space="0" w:color="auto"/>
              <w:right w:val="nil"/>
            </w:tcBorders>
            <w:shd w:val="clear" w:color="auto" w:fill="auto"/>
            <w:noWrap/>
            <w:vAlign w:val="center"/>
            <w:hideMark/>
          </w:tcPr>
          <w:p w14:paraId="1B1ED36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8h</w:t>
            </w:r>
          </w:p>
        </w:tc>
        <w:tc>
          <w:tcPr>
            <w:tcW w:w="558" w:type="pct"/>
            <w:tcBorders>
              <w:top w:val="single" w:sz="4" w:space="0" w:color="auto"/>
              <w:left w:val="nil"/>
              <w:bottom w:val="single" w:sz="4" w:space="0" w:color="auto"/>
              <w:right w:val="nil"/>
            </w:tcBorders>
            <w:shd w:val="clear" w:color="auto" w:fill="auto"/>
            <w:noWrap/>
            <w:vAlign w:val="center"/>
            <w:hideMark/>
          </w:tcPr>
          <w:p w14:paraId="08A01DB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12h</w:t>
            </w:r>
          </w:p>
        </w:tc>
        <w:tc>
          <w:tcPr>
            <w:tcW w:w="647" w:type="pct"/>
            <w:tcBorders>
              <w:top w:val="single" w:sz="4" w:space="0" w:color="auto"/>
              <w:left w:val="nil"/>
              <w:bottom w:val="single" w:sz="4" w:space="0" w:color="auto"/>
              <w:right w:val="nil"/>
            </w:tcBorders>
            <w:shd w:val="clear" w:color="auto" w:fill="auto"/>
            <w:noWrap/>
            <w:vAlign w:val="center"/>
            <w:hideMark/>
          </w:tcPr>
          <w:p w14:paraId="01A0910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24h</w:t>
            </w:r>
          </w:p>
        </w:tc>
        <w:tc>
          <w:tcPr>
            <w:tcW w:w="624" w:type="pct"/>
            <w:tcBorders>
              <w:top w:val="single" w:sz="4" w:space="0" w:color="auto"/>
              <w:left w:val="nil"/>
              <w:bottom w:val="single" w:sz="4" w:space="0" w:color="auto"/>
              <w:right w:val="nil"/>
            </w:tcBorders>
            <w:shd w:val="clear" w:color="auto" w:fill="auto"/>
            <w:noWrap/>
            <w:vAlign w:val="center"/>
            <w:hideMark/>
          </w:tcPr>
          <w:p w14:paraId="07E999E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48h</w:t>
            </w:r>
          </w:p>
        </w:tc>
      </w:tr>
      <w:tr w:rsidR="00EF65F1" w14:paraId="689BD8BF" w14:textId="77777777" w:rsidTr="00157A50">
        <w:trPr>
          <w:trHeight w:val="315"/>
          <w:jc w:val="center"/>
        </w:trPr>
        <w:tc>
          <w:tcPr>
            <w:tcW w:w="1430" w:type="pct"/>
            <w:tcBorders>
              <w:top w:val="single" w:sz="4" w:space="0" w:color="auto"/>
            </w:tcBorders>
            <w:shd w:val="clear" w:color="auto" w:fill="auto"/>
            <w:vAlign w:val="center"/>
            <w:hideMark/>
          </w:tcPr>
          <w:p w14:paraId="04270B35"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558" w:type="pct"/>
            <w:tcBorders>
              <w:top w:val="single" w:sz="4" w:space="0" w:color="auto"/>
            </w:tcBorders>
            <w:shd w:val="clear" w:color="auto" w:fill="auto"/>
            <w:noWrap/>
            <w:vAlign w:val="center"/>
            <w:hideMark/>
          </w:tcPr>
          <w:p w14:paraId="68E5AF2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0.011</w:t>
            </w:r>
          </w:p>
        </w:tc>
        <w:tc>
          <w:tcPr>
            <w:tcW w:w="558" w:type="pct"/>
            <w:tcBorders>
              <w:top w:val="single" w:sz="4" w:space="0" w:color="auto"/>
            </w:tcBorders>
            <w:shd w:val="clear" w:color="auto" w:fill="auto"/>
            <w:noWrap/>
            <w:vAlign w:val="center"/>
            <w:hideMark/>
          </w:tcPr>
          <w:p w14:paraId="4E7D6AE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0.17 ± 0.100</w:t>
            </w:r>
          </w:p>
        </w:tc>
        <w:tc>
          <w:tcPr>
            <w:tcW w:w="625" w:type="pct"/>
            <w:tcBorders>
              <w:top w:val="single" w:sz="4" w:space="0" w:color="auto"/>
            </w:tcBorders>
            <w:shd w:val="clear" w:color="auto" w:fill="auto"/>
            <w:noWrap/>
            <w:vAlign w:val="center"/>
            <w:hideMark/>
          </w:tcPr>
          <w:p w14:paraId="3C7A3E1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0.43 ± 0.279</w:t>
            </w:r>
          </w:p>
        </w:tc>
        <w:tc>
          <w:tcPr>
            <w:tcW w:w="558" w:type="pct"/>
            <w:tcBorders>
              <w:top w:val="single" w:sz="4" w:space="0" w:color="auto"/>
            </w:tcBorders>
            <w:shd w:val="clear" w:color="auto" w:fill="auto"/>
            <w:noWrap/>
            <w:vAlign w:val="center"/>
            <w:hideMark/>
          </w:tcPr>
          <w:p w14:paraId="38ABBD1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0.91 ± 0.498</w:t>
            </w:r>
          </w:p>
        </w:tc>
        <w:tc>
          <w:tcPr>
            <w:tcW w:w="647" w:type="pct"/>
            <w:tcBorders>
              <w:top w:val="single" w:sz="4" w:space="0" w:color="auto"/>
            </w:tcBorders>
            <w:shd w:val="clear" w:color="auto" w:fill="auto"/>
            <w:noWrap/>
            <w:vAlign w:val="center"/>
            <w:hideMark/>
          </w:tcPr>
          <w:p w14:paraId="2F82B81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2.86</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0.890</w:t>
            </w:r>
          </w:p>
        </w:tc>
        <w:tc>
          <w:tcPr>
            <w:tcW w:w="624" w:type="pct"/>
            <w:tcBorders>
              <w:top w:val="single" w:sz="4" w:space="0" w:color="auto"/>
            </w:tcBorders>
            <w:shd w:val="clear" w:color="auto" w:fill="auto"/>
            <w:noWrap/>
            <w:vAlign w:val="center"/>
            <w:hideMark/>
          </w:tcPr>
          <w:p w14:paraId="44DCE07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4.66 ± 1.782</w:t>
            </w:r>
          </w:p>
        </w:tc>
      </w:tr>
      <w:tr w:rsidR="00EF65F1" w14:paraId="57B37AB0" w14:textId="77777777" w:rsidTr="00364C97">
        <w:trPr>
          <w:trHeight w:val="315"/>
          <w:jc w:val="center"/>
        </w:trPr>
        <w:tc>
          <w:tcPr>
            <w:tcW w:w="1430" w:type="pct"/>
            <w:shd w:val="clear" w:color="auto" w:fill="auto"/>
            <w:vAlign w:val="center"/>
            <w:hideMark/>
          </w:tcPr>
          <w:p w14:paraId="3DD6F4F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Monensin</w:t>
            </w:r>
          </w:p>
        </w:tc>
        <w:tc>
          <w:tcPr>
            <w:tcW w:w="558" w:type="pct"/>
            <w:shd w:val="clear" w:color="auto" w:fill="auto"/>
            <w:noWrap/>
            <w:vAlign w:val="center"/>
            <w:hideMark/>
          </w:tcPr>
          <w:p w14:paraId="7A80C94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0.013</w:t>
            </w:r>
          </w:p>
        </w:tc>
        <w:tc>
          <w:tcPr>
            <w:tcW w:w="558" w:type="pct"/>
            <w:shd w:val="clear" w:color="auto" w:fill="auto"/>
            <w:noWrap/>
            <w:vAlign w:val="center"/>
            <w:hideMark/>
          </w:tcPr>
          <w:p w14:paraId="39B673F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0.19 ± 0.133</w:t>
            </w:r>
          </w:p>
        </w:tc>
        <w:tc>
          <w:tcPr>
            <w:tcW w:w="625" w:type="pct"/>
            <w:shd w:val="clear" w:color="auto" w:fill="auto"/>
            <w:noWrap/>
            <w:vAlign w:val="center"/>
            <w:hideMark/>
          </w:tcPr>
          <w:p w14:paraId="278AEBF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0.41 ± 0.101</w:t>
            </w:r>
          </w:p>
        </w:tc>
        <w:tc>
          <w:tcPr>
            <w:tcW w:w="558" w:type="pct"/>
            <w:shd w:val="clear" w:color="auto" w:fill="auto"/>
            <w:noWrap/>
            <w:vAlign w:val="center"/>
            <w:hideMark/>
          </w:tcPr>
          <w:p w14:paraId="178A855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0.86 ± 0.460</w:t>
            </w:r>
          </w:p>
        </w:tc>
        <w:tc>
          <w:tcPr>
            <w:tcW w:w="647" w:type="pct"/>
            <w:shd w:val="clear" w:color="auto" w:fill="auto"/>
            <w:noWrap/>
            <w:vAlign w:val="center"/>
            <w:hideMark/>
          </w:tcPr>
          <w:p w14:paraId="382B5AE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2.71</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0.859</w:t>
            </w:r>
          </w:p>
        </w:tc>
        <w:tc>
          <w:tcPr>
            <w:tcW w:w="624" w:type="pct"/>
            <w:shd w:val="clear" w:color="auto" w:fill="auto"/>
            <w:noWrap/>
            <w:vAlign w:val="center"/>
            <w:hideMark/>
          </w:tcPr>
          <w:p w14:paraId="724B8ED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4.48 ± 1.233</w:t>
            </w:r>
          </w:p>
        </w:tc>
      </w:tr>
      <w:tr w:rsidR="00EF65F1" w14:paraId="2CBF12A8" w14:textId="77777777" w:rsidTr="00364C97">
        <w:trPr>
          <w:trHeight w:val="315"/>
          <w:jc w:val="center"/>
        </w:trPr>
        <w:tc>
          <w:tcPr>
            <w:tcW w:w="1430" w:type="pct"/>
            <w:shd w:val="clear" w:color="auto" w:fill="auto"/>
            <w:vAlign w:val="center"/>
            <w:hideMark/>
          </w:tcPr>
          <w:p w14:paraId="1B768EC7"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558" w:type="pct"/>
            <w:shd w:val="clear" w:color="auto" w:fill="auto"/>
            <w:noWrap/>
            <w:vAlign w:val="center"/>
            <w:hideMark/>
          </w:tcPr>
          <w:p w14:paraId="2E501DC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0.04 ± 0.013</w:t>
            </w:r>
          </w:p>
        </w:tc>
        <w:tc>
          <w:tcPr>
            <w:tcW w:w="558" w:type="pct"/>
            <w:shd w:val="clear" w:color="auto" w:fill="auto"/>
            <w:noWrap/>
            <w:vAlign w:val="center"/>
            <w:hideMark/>
          </w:tcPr>
          <w:p w14:paraId="5293C2B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0.18 ± 0.131</w:t>
            </w:r>
          </w:p>
        </w:tc>
        <w:tc>
          <w:tcPr>
            <w:tcW w:w="625" w:type="pct"/>
            <w:shd w:val="clear" w:color="auto" w:fill="auto"/>
            <w:noWrap/>
            <w:vAlign w:val="center"/>
            <w:hideMark/>
          </w:tcPr>
          <w:p w14:paraId="09A2F69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0.43 ± 0.109</w:t>
            </w:r>
          </w:p>
        </w:tc>
        <w:tc>
          <w:tcPr>
            <w:tcW w:w="558" w:type="pct"/>
            <w:shd w:val="clear" w:color="auto" w:fill="auto"/>
            <w:noWrap/>
            <w:vAlign w:val="center"/>
            <w:hideMark/>
          </w:tcPr>
          <w:p w14:paraId="4BDB23E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0.90 ± 0.377</w:t>
            </w:r>
          </w:p>
        </w:tc>
        <w:tc>
          <w:tcPr>
            <w:tcW w:w="647" w:type="pct"/>
            <w:shd w:val="clear" w:color="auto" w:fill="auto"/>
            <w:noWrap/>
            <w:vAlign w:val="center"/>
            <w:hideMark/>
          </w:tcPr>
          <w:p w14:paraId="30FDF47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2.90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0.474</w:t>
            </w:r>
          </w:p>
        </w:tc>
        <w:tc>
          <w:tcPr>
            <w:tcW w:w="624" w:type="pct"/>
            <w:shd w:val="clear" w:color="auto" w:fill="auto"/>
            <w:noWrap/>
            <w:vAlign w:val="center"/>
            <w:hideMark/>
          </w:tcPr>
          <w:p w14:paraId="199964D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4.97 ± 1.514</w:t>
            </w:r>
          </w:p>
        </w:tc>
      </w:tr>
      <w:tr w:rsidR="00EF65F1" w14:paraId="5360259D" w14:textId="77777777" w:rsidTr="00364C97">
        <w:trPr>
          <w:trHeight w:val="300"/>
          <w:jc w:val="center"/>
        </w:trPr>
        <w:tc>
          <w:tcPr>
            <w:tcW w:w="1430" w:type="pct"/>
            <w:shd w:val="clear" w:color="auto" w:fill="auto"/>
            <w:noWrap/>
            <w:vAlign w:val="center"/>
            <w:hideMark/>
          </w:tcPr>
          <w:p w14:paraId="393B7C7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558" w:type="pct"/>
            <w:shd w:val="clear" w:color="auto" w:fill="auto"/>
            <w:noWrap/>
            <w:vAlign w:val="center"/>
            <w:hideMark/>
          </w:tcPr>
          <w:p w14:paraId="3A23AFD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0.10 ± 0.089</w:t>
            </w:r>
          </w:p>
        </w:tc>
        <w:tc>
          <w:tcPr>
            <w:tcW w:w="558" w:type="pct"/>
            <w:shd w:val="clear" w:color="auto" w:fill="auto"/>
            <w:noWrap/>
            <w:vAlign w:val="center"/>
            <w:hideMark/>
          </w:tcPr>
          <w:p w14:paraId="061E6CB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0.29 ± 0.219</w:t>
            </w:r>
          </w:p>
        </w:tc>
        <w:tc>
          <w:tcPr>
            <w:tcW w:w="625" w:type="pct"/>
            <w:shd w:val="clear" w:color="auto" w:fill="auto"/>
            <w:noWrap/>
            <w:vAlign w:val="center"/>
            <w:hideMark/>
          </w:tcPr>
          <w:p w14:paraId="583D10C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0.60 ± 0.401</w:t>
            </w:r>
          </w:p>
        </w:tc>
        <w:tc>
          <w:tcPr>
            <w:tcW w:w="558" w:type="pct"/>
            <w:shd w:val="clear" w:color="auto" w:fill="auto"/>
            <w:noWrap/>
            <w:vAlign w:val="center"/>
            <w:hideMark/>
          </w:tcPr>
          <w:p w14:paraId="39BA796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1.12 ± 0.663</w:t>
            </w:r>
          </w:p>
        </w:tc>
        <w:tc>
          <w:tcPr>
            <w:tcW w:w="647" w:type="pct"/>
            <w:shd w:val="clear" w:color="auto" w:fill="auto"/>
            <w:noWrap/>
            <w:vAlign w:val="center"/>
            <w:hideMark/>
          </w:tcPr>
          <w:p w14:paraId="41CFC0E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2.70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0.824</w:t>
            </w:r>
          </w:p>
        </w:tc>
        <w:tc>
          <w:tcPr>
            <w:tcW w:w="624" w:type="pct"/>
            <w:shd w:val="clear" w:color="auto" w:fill="auto"/>
            <w:noWrap/>
            <w:vAlign w:val="center"/>
            <w:hideMark/>
          </w:tcPr>
          <w:p w14:paraId="5A28340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5.14 ± 1.921</w:t>
            </w:r>
          </w:p>
        </w:tc>
      </w:tr>
      <w:tr w:rsidR="00EF65F1" w14:paraId="0365A601" w14:textId="77777777" w:rsidTr="00364C97">
        <w:trPr>
          <w:trHeight w:val="300"/>
          <w:jc w:val="center"/>
        </w:trPr>
        <w:tc>
          <w:tcPr>
            <w:tcW w:w="1430" w:type="pct"/>
            <w:shd w:val="clear" w:color="auto" w:fill="auto"/>
            <w:noWrap/>
            <w:vAlign w:val="center"/>
            <w:hideMark/>
          </w:tcPr>
          <w:p w14:paraId="2A8FDFAA"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558" w:type="pct"/>
            <w:shd w:val="clear" w:color="auto" w:fill="auto"/>
            <w:noWrap/>
            <w:vAlign w:val="center"/>
            <w:hideMark/>
          </w:tcPr>
          <w:p w14:paraId="6C84384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0.06 ± 0.049</w:t>
            </w:r>
          </w:p>
        </w:tc>
        <w:tc>
          <w:tcPr>
            <w:tcW w:w="558" w:type="pct"/>
            <w:shd w:val="clear" w:color="auto" w:fill="auto"/>
            <w:noWrap/>
            <w:vAlign w:val="center"/>
            <w:hideMark/>
          </w:tcPr>
          <w:p w14:paraId="276ED1A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0.17 ± 0.113</w:t>
            </w:r>
          </w:p>
        </w:tc>
        <w:tc>
          <w:tcPr>
            <w:tcW w:w="625" w:type="pct"/>
            <w:shd w:val="clear" w:color="auto" w:fill="auto"/>
            <w:noWrap/>
            <w:vAlign w:val="center"/>
            <w:hideMark/>
          </w:tcPr>
          <w:p w14:paraId="616CFA5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0.61 ± 0.181</w:t>
            </w:r>
          </w:p>
        </w:tc>
        <w:tc>
          <w:tcPr>
            <w:tcW w:w="558" w:type="pct"/>
            <w:shd w:val="clear" w:color="auto" w:fill="auto"/>
            <w:noWrap/>
            <w:vAlign w:val="center"/>
            <w:hideMark/>
          </w:tcPr>
          <w:p w14:paraId="2CCD725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0.99 ± 0.272</w:t>
            </w:r>
          </w:p>
        </w:tc>
        <w:tc>
          <w:tcPr>
            <w:tcW w:w="647" w:type="pct"/>
            <w:shd w:val="clear" w:color="auto" w:fill="auto"/>
            <w:noWrap/>
            <w:vAlign w:val="center"/>
            <w:hideMark/>
          </w:tcPr>
          <w:p w14:paraId="60A8420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2.80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0.516</w:t>
            </w:r>
          </w:p>
        </w:tc>
        <w:tc>
          <w:tcPr>
            <w:tcW w:w="624" w:type="pct"/>
            <w:shd w:val="clear" w:color="auto" w:fill="auto"/>
            <w:noWrap/>
            <w:vAlign w:val="center"/>
            <w:hideMark/>
          </w:tcPr>
          <w:p w14:paraId="31FAF3B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4.53 ± 0.839</w:t>
            </w:r>
          </w:p>
        </w:tc>
      </w:tr>
      <w:tr w:rsidR="00EF65F1" w14:paraId="3EC7AE92" w14:textId="77777777" w:rsidTr="00364C97">
        <w:trPr>
          <w:trHeight w:val="300"/>
          <w:jc w:val="center"/>
        </w:trPr>
        <w:tc>
          <w:tcPr>
            <w:tcW w:w="1430" w:type="pct"/>
            <w:shd w:val="clear" w:color="auto" w:fill="auto"/>
            <w:noWrap/>
            <w:vAlign w:val="center"/>
            <w:hideMark/>
          </w:tcPr>
          <w:p w14:paraId="6D9E300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558" w:type="pct"/>
            <w:shd w:val="clear" w:color="auto" w:fill="auto"/>
            <w:noWrap/>
            <w:vAlign w:val="center"/>
            <w:hideMark/>
          </w:tcPr>
          <w:p w14:paraId="68A486A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0.09 ± 0.083</w:t>
            </w:r>
          </w:p>
        </w:tc>
        <w:tc>
          <w:tcPr>
            <w:tcW w:w="558" w:type="pct"/>
            <w:shd w:val="clear" w:color="auto" w:fill="auto"/>
            <w:noWrap/>
            <w:vAlign w:val="center"/>
            <w:hideMark/>
          </w:tcPr>
          <w:p w14:paraId="0ACFA5D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0.24 ± 0.166</w:t>
            </w:r>
          </w:p>
        </w:tc>
        <w:tc>
          <w:tcPr>
            <w:tcW w:w="625" w:type="pct"/>
            <w:shd w:val="clear" w:color="auto" w:fill="auto"/>
            <w:noWrap/>
            <w:vAlign w:val="center"/>
            <w:hideMark/>
          </w:tcPr>
          <w:p w14:paraId="5B1A00C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0.57 ± 0.254</w:t>
            </w:r>
          </w:p>
        </w:tc>
        <w:tc>
          <w:tcPr>
            <w:tcW w:w="558" w:type="pct"/>
            <w:shd w:val="clear" w:color="auto" w:fill="auto"/>
            <w:noWrap/>
            <w:vAlign w:val="center"/>
            <w:hideMark/>
          </w:tcPr>
          <w:p w14:paraId="0F9C735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1.05 ± 0.433</w:t>
            </w:r>
          </w:p>
        </w:tc>
        <w:tc>
          <w:tcPr>
            <w:tcW w:w="647" w:type="pct"/>
            <w:shd w:val="clear" w:color="auto" w:fill="auto"/>
            <w:noWrap/>
            <w:vAlign w:val="center"/>
            <w:hideMark/>
          </w:tcPr>
          <w:p w14:paraId="0001880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2.85</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0.396</w:t>
            </w:r>
          </w:p>
        </w:tc>
        <w:tc>
          <w:tcPr>
            <w:tcW w:w="624" w:type="pct"/>
            <w:shd w:val="clear" w:color="auto" w:fill="auto"/>
            <w:noWrap/>
            <w:vAlign w:val="center"/>
            <w:hideMark/>
          </w:tcPr>
          <w:p w14:paraId="55CD447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5.12 ± 1.718</w:t>
            </w:r>
          </w:p>
        </w:tc>
      </w:tr>
      <w:tr w:rsidR="00EF65F1" w14:paraId="190FCA8D" w14:textId="77777777" w:rsidTr="00364C97">
        <w:trPr>
          <w:trHeight w:val="300"/>
          <w:jc w:val="center"/>
        </w:trPr>
        <w:tc>
          <w:tcPr>
            <w:tcW w:w="1430" w:type="pct"/>
            <w:shd w:val="clear" w:color="auto" w:fill="auto"/>
            <w:noWrap/>
            <w:vAlign w:val="center"/>
            <w:hideMark/>
          </w:tcPr>
          <w:p w14:paraId="0D80E09F"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558" w:type="pct"/>
            <w:shd w:val="clear" w:color="auto" w:fill="auto"/>
            <w:noWrap/>
            <w:vAlign w:val="center"/>
            <w:hideMark/>
          </w:tcPr>
          <w:p w14:paraId="2435F57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0.05 ± 0.048</w:t>
            </w:r>
          </w:p>
        </w:tc>
        <w:tc>
          <w:tcPr>
            <w:tcW w:w="558" w:type="pct"/>
            <w:shd w:val="clear" w:color="auto" w:fill="auto"/>
            <w:noWrap/>
            <w:vAlign w:val="center"/>
            <w:hideMark/>
          </w:tcPr>
          <w:p w14:paraId="4517084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0.24 ± 0.203</w:t>
            </w:r>
          </w:p>
        </w:tc>
        <w:tc>
          <w:tcPr>
            <w:tcW w:w="625" w:type="pct"/>
            <w:shd w:val="clear" w:color="auto" w:fill="auto"/>
            <w:noWrap/>
            <w:vAlign w:val="center"/>
            <w:hideMark/>
          </w:tcPr>
          <w:p w14:paraId="1FA4BBF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0.60 ± 0.326</w:t>
            </w:r>
          </w:p>
        </w:tc>
        <w:tc>
          <w:tcPr>
            <w:tcW w:w="558" w:type="pct"/>
            <w:shd w:val="clear" w:color="auto" w:fill="auto"/>
            <w:noWrap/>
            <w:vAlign w:val="center"/>
            <w:hideMark/>
          </w:tcPr>
          <w:p w14:paraId="0DCCEE5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0.96 ± 0.534</w:t>
            </w:r>
          </w:p>
        </w:tc>
        <w:tc>
          <w:tcPr>
            <w:tcW w:w="647" w:type="pct"/>
            <w:shd w:val="clear" w:color="auto" w:fill="auto"/>
            <w:noWrap/>
            <w:vAlign w:val="center"/>
            <w:hideMark/>
          </w:tcPr>
          <w:p w14:paraId="09DF7A9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3.10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0.419</w:t>
            </w:r>
          </w:p>
        </w:tc>
        <w:tc>
          <w:tcPr>
            <w:tcW w:w="624" w:type="pct"/>
            <w:shd w:val="clear" w:color="auto" w:fill="auto"/>
            <w:noWrap/>
            <w:vAlign w:val="center"/>
            <w:hideMark/>
          </w:tcPr>
          <w:p w14:paraId="5D6F7CB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5.26 ± 1.431</w:t>
            </w:r>
          </w:p>
        </w:tc>
      </w:tr>
      <w:tr w:rsidR="00EF65F1" w14:paraId="15078089" w14:textId="77777777" w:rsidTr="00364C97">
        <w:trPr>
          <w:trHeight w:val="300"/>
          <w:jc w:val="center"/>
        </w:trPr>
        <w:tc>
          <w:tcPr>
            <w:tcW w:w="1430" w:type="pct"/>
            <w:shd w:val="clear" w:color="auto" w:fill="auto"/>
            <w:noWrap/>
            <w:vAlign w:val="center"/>
            <w:hideMark/>
          </w:tcPr>
          <w:p w14:paraId="0DDA4FC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558" w:type="pct"/>
            <w:shd w:val="clear" w:color="auto" w:fill="auto"/>
            <w:noWrap/>
            <w:vAlign w:val="center"/>
            <w:hideMark/>
          </w:tcPr>
          <w:p w14:paraId="0B34376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0.04 ± 0.025</w:t>
            </w:r>
          </w:p>
        </w:tc>
        <w:tc>
          <w:tcPr>
            <w:tcW w:w="558" w:type="pct"/>
            <w:shd w:val="clear" w:color="auto" w:fill="auto"/>
            <w:noWrap/>
            <w:vAlign w:val="center"/>
            <w:hideMark/>
          </w:tcPr>
          <w:p w14:paraId="6D3D37C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0.14 ± 0.117</w:t>
            </w:r>
          </w:p>
        </w:tc>
        <w:tc>
          <w:tcPr>
            <w:tcW w:w="625" w:type="pct"/>
            <w:shd w:val="clear" w:color="auto" w:fill="auto"/>
            <w:noWrap/>
            <w:vAlign w:val="center"/>
            <w:hideMark/>
          </w:tcPr>
          <w:p w14:paraId="6092190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0.50 ± 0.160</w:t>
            </w:r>
          </w:p>
        </w:tc>
        <w:tc>
          <w:tcPr>
            <w:tcW w:w="558" w:type="pct"/>
            <w:shd w:val="clear" w:color="auto" w:fill="auto"/>
            <w:noWrap/>
            <w:vAlign w:val="center"/>
            <w:hideMark/>
          </w:tcPr>
          <w:p w14:paraId="5FD6D08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0.91 ± 0.381</w:t>
            </w:r>
          </w:p>
        </w:tc>
        <w:tc>
          <w:tcPr>
            <w:tcW w:w="647" w:type="pct"/>
            <w:shd w:val="clear" w:color="auto" w:fill="auto"/>
            <w:noWrap/>
            <w:vAlign w:val="center"/>
            <w:hideMark/>
          </w:tcPr>
          <w:p w14:paraId="4F0A7A3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2.57</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0.769</w:t>
            </w:r>
          </w:p>
        </w:tc>
        <w:tc>
          <w:tcPr>
            <w:tcW w:w="624" w:type="pct"/>
            <w:shd w:val="clear" w:color="auto" w:fill="auto"/>
            <w:noWrap/>
            <w:vAlign w:val="center"/>
            <w:hideMark/>
          </w:tcPr>
          <w:p w14:paraId="6000AD5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4.64 ± 1.599</w:t>
            </w:r>
          </w:p>
        </w:tc>
      </w:tr>
      <w:tr w:rsidR="00EF65F1" w14:paraId="3C365447" w14:textId="77777777" w:rsidTr="00364C97">
        <w:trPr>
          <w:trHeight w:val="300"/>
          <w:jc w:val="center"/>
        </w:trPr>
        <w:tc>
          <w:tcPr>
            <w:tcW w:w="1430" w:type="pct"/>
            <w:shd w:val="clear" w:color="auto" w:fill="auto"/>
            <w:noWrap/>
            <w:vAlign w:val="center"/>
            <w:hideMark/>
          </w:tcPr>
          <w:p w14:paraId="5BDAC0A4"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558" w:type="pct"/>
            <w:shd w:val="clear" w:color="auto" w:fill="auto"/>
            <w:noWrap/>
            <w:vAlign w:val="center"/>
            <w:hideMark/>
          </w:tcPr>
          <w:p w14:paraId="721D283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0.07 ± 0.038</w:t>
            </w:r>
          </w:p>
        </w:tc>
        <w:tc>
          <w:tcPr>
            <w:tcW w:w="558" w:type="pct"/>
            <w:shd w:val="clear" w:color="auto" w:fill="auto"/>
            <w:noWrap/>
            <w:vAlign w:val="center"/>
            <w:hideMark/>
          </w:tcPr>
          <w:p w14:paraId="639DDC7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0.19 ± 0.125</w:t>
            </w:r>
          </w:p>
        </w:tc>
        <w:tc>
          <w:tcPr>
            <w:tcW w:w="625" w:type="pct"/>
            <w:shd w:val="clear" w:color="auto" w:fill="auto"/>
            <w:noWrap/>
            <w:vAlign w:val="center"/>
            <w:hideMark/>
          </w:tcPr>
          <w:p w14:paraId="3A1FAA8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0.58 ± 0.226</w:t>
            </w:r>
          </w:p>
        </w:tc>
        <w:tc>
          <w:tcPr>
            <w:tcW w:w="558" w:type="pct"/>
            <w:shd w:val="clear" w:color="auto" w:fill="auto"/>
            <w:noWrap/>
            <w:vAlign w:val="center"/>
            <w:hideMark/>
          </w:tcPr>
          <w:p w14:paraId="6BDCF89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1.11 ± 0.402</w:t>
            </w:r>
          </w:p>
        </w:tc>
        <w:tc>
          <w:tcPr>
            <w:tcW w:w="647" w:type="pct"/>
            <w:shd w:val="clear" w:color="auto" w:fill="auto"/>
            <w:noWrap/>
            <w:vAlign w:val="center"/>
            <w:hideMark/>
          </w:tcPr>
          <w:p w14:paraId="1738CD7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3.54</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0.840</w:t>
            </w:r>
          </w:p>
        </w:tc>
        <w:tc>
          <w:tcPr>
            <w:tcW w:w="624" w:type="pct"/>
            <w:shd w:val="clear" w:color="auto" w:fill="auto"/>
            <w:noWrap/>
            <w:vAlign w:val="center"/>
            <w:hideMark/>
          </w:tcPr>
          <w:p w14:paraId="792FDCC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4.82 ± 1.207</w:t>
            </w:r>
          </w:p>
        </w:tc>
      </w:tr>
      <w:tr w:rsidR="00EF65F1" w14:paraId="19E05186" w14:textId="77777777" w:rsidTr="00364C97">
        <w:trPr>
          <w:trHeight w:val="300"/>
          <w:jc w:val="center"/>
        </w:trPr>
        <w:tc>
          <w:tcPr>
            <w:tcW w:w="1430" w:type="pct"/>
            <w:shd w:val="clear" w:color="auto" w:fill="auto"/>
            <w:noWrap/>
            <w:vAlign w:val="center"/>
            <w:hideMark/>
          </w:tcPr>
          <w:p w14:paraId="0B4BFD7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558" w:type="pct"/>
            <w:shd w:val="clear" w:color="auto" w:fill="auto"/>
            <w:noWrap/>
            <w:vAlign w:val="center"/>
            <w:hideMark/>
          </w:tcPr>
          <w:p w14:paraId="7D467CC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0.02 ± 0.010</w:t>
            </w:r>
          </w:p>
        </w:tc>
        <w:tc>
          <w:tcPr>
            <w:tcW w:w="558" w:type="pct"/>
            <w:shd w:val="clear" w:color="auto" w:fill="auto"/>
            <w:noWrap/>
            <w:vAlign w:val="center"/>
            <w:hideMark/>
          </w:tcPr>
          <w:p w14:paraId="142D453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0.16 ± 0.121</w:t>
            </w:r>
          </w:p>
        </w:tc>
        <w:tc>
          <w:tcPr>
            <w:tcW w:w="625" w:type="pct"/>
            <w:shd w:val="clear" w:color="auto" w:fill="auto"/>
            <w:noWrap/>
            <w:vAlign w:val="center"/>
            <w:hideMark/>
          </w:tcPr>
          <w:p w14:paraId="27C4487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0.39 ± 0.203</w:t>
            </w:r>
          </w:p>
        </w:tc>
        <w:tc>
          <w:tcPr>
            <w:tcW w:w="558" w:type="pct"/>
            <w:shd w:val="clear" w:color="auto" w:fill="auto"/>
            <w:noWrap/>
            <w:vAlign w:val="center"/>
            <w:hideMark/>
          </w:tcPr>
          <w:p w14:paraId="301D952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0.72 ± 0.284</w:t>
            </w:r>
          </w:p>
        </w:tc>
        <w:tc>
          <w:tcPr>
            <w:tcW w:w="647" w:type="pct"/>
            <w:shd w:val="clear" w:color="auto" w:fill="auto"/>
            <w:noWrap/>
            <w:vAlign w:val="center"/>
            <w:hideMark/>
          </w:tcPr>
          <w:p w14:paraId="79F0371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2.39</w:t>
            </w:r>
            <w:r>
              <w:rPr>
                <w:rFonts w:ascii="Times New Roman" w:eastAsia="Times New Roman" w:hAnsi="Times New Roman" w:cs="Times New Roman"/>
                <w:color w:val="000000"/>
                <w:sz w:val="22"/>
                <w:szCs w:val="22"/>
                <w:vertAlign w:val="superscript"/>
                <w:lang w:eastAsia="en-ZA"/>
              </w:rPr>
              <w:t>b</w:t>
            </w:r>
            <w:r>
              <w:rPr>
                <w:rFonts w:ascii="Times New Roman" w:eastAsia="Times New Roman" w:hAnsi="Times New Roman" w:cs="Times New Roman"/>
                <w:color w:val="000000"/>
                <w:sz w:val="22"/>
                <w:szCs w:val="22"/>
                <w:lang w:eastAsia="en-ZA"/>
              </w:rPr>
              <w:t xml:space="preserve"> ± 0.509</w:t>
            </w:r>
          </w:p>
        </w:tc>
        <w:tc>
          <w:tcPr>
            <w:tcW w:w="624" w:type="pct"/>
            <w:shd w:val="clear" w:color="auto" w:fill="auto"/>
            <w:noWrap/>
            <w:vAlign w:val="center"/>
            <w:hideMark/>
          </w:tcPr>
          <w:p w14:paraId="0F7F189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4.42 ± 1.546</w:t>
            </w:r>
          </w:p>
        </w:tc>
      </w:tr>
      <w:tr w:rsidR="00EF65F1" w14:paraId="0130E855" w14:textId="77777777" w:rsidTr="00364C97">
        <w:trPr>
          <w:trHeight w:val="300"/>
          <w:jc w:val="center"/>
        </w:trPr>
        <w:tc>
          <w:tcPr>
            <w:tcW w:w="1430" w:type="pct"/>
            <w:shd w:val="clear" w:color="auto" w:fill="auto"/>
            <w:noWrap/>
            <w:vAlign w:val="center"/>
            <w:hideMark/>
          </w:tcPr>
          <w:p w14:paraId="4DA4394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558" w:type="pct"/>
            <w:shd w:val="clear" w:color="auto" w:fill="auto"/>
            <w:noWrap/>
            <w:vAlign w:val="center"/>
            <w:hideMark/>
          </w:tcPr>
          <w:p w14:paraId="30362A1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0.008</w:t>
            </w:r>
          </w:p>
        </w:tc>
        <w:tc>
          <w:tcPr>
            <w:tcW w:w="558" w:type="pct"/>
            <w:shd w:val="clear" w:color="auto" w:fill="auto"/>
            <w:noWrap/>
            <w:vAlign w:val="center"/>
            <w:hideMark/>
          </w:tcPr>
          <w:p w14:paraId="28F9914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0.023</w:t>
            </w:r>
          </w:p>
        </w:tc>
        <w:tc>
          <w:tcPr>
            <w:tcW w:w="625" w:type="pct"/>
            <w:shd w:val="clear" w:color="auto" w:fill="auto"/>
            <w:noWrap/>
            <w:vAlign w:val="center"/>
            <w:hideMark/>
          </w:tcPr>
          <w:p w14:paraId="0946C08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0.040</w:t>
            </w:r>
          </w:p>
        </w:tc>
        <w:tc>
          <w:tcPr>
            <w:tcW w:w="558" w:type="pct"/>
            <w:shd w:val="clear" w:color="auto" w:fill="auto"/>
            <w:noWrap/>
            <w:vAlign w:val="center"/>
            <w:hideMark/>
          </w:tcPr>
          <w:p w14:paraId="7A5511A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0.071</w:t>
            </w:r>
          </w:p>
        </w:tc>
        <w:tc>
          <w:tcPr>
            <w:tcW w:w="647" w:type="pct"/>
            <w:shd w:val="clear" w:color="auto" w:fill="auto"/>
            <w:noWrap/>
            <w:vAlign w:val="center"/>
            <w:hideMark/>
          </w:tcPr>
          <w:p w14:paraId="2C92EAE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0.116</w:t>
            </w:r>
          </w:p>
        </w:tc>
        <w:tc>
          <w:tcPr>
            <w:tcW w:w="624" w:type="pct"/>
            <w:shd w:val="clear" w:color="auto" w:fill="auto"/>
            <w:noWrap/>
            <w:vAlign w:val="center"/>
            <w:hideMark/>
          </w:tcPr>
          <w:p w14:paraId="1B4A01B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0.235</w:t>
            </w:r>
          </w:p>
        </w:tc>
      </w:tr>
      <w:tr w:rsidR="00EF65F1" w14:paraId="5845637B" w14:textId="77777777" w:rsidTr="00157A50">
        <w:trPr>
          <w:trHeight w:val="315"/>
          <w:jc w:val="center"/>
        </w:trPr>
        <w:tc>
          <w:tcPr>
            <w:tcW w:w="1430" w:type="pct"/>
            <w:tcBorders>
              <w:bottom w:val="single" w:sz="4" w:space="0" w:color="auto"/>
            </w:tcBorders>
            <w:shd w:val="clear" w:color="auto" w:fill="auto"/>
            <w:noWrap/>
            <w:vAlign w:val="center"/>
            <w:hideMark/>
          </w:tcPr>
          <w:p w14:paraId="4C4DBB5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558" w:type="pct"/>
            <w:tcBorders>
              <w:bottom w:val="single" w:sz="4" w:space="0" w:color="auto"/>
            </w:tcBorders>
            <w:shd w:val="clear" w:color="auto" w:fill="auto"/>
            <w:noWrap/>
            <w:vAlign w:val="center"/>
            <w:hideMark/>
          </w:tcPr>
          <w:p w14:paraId="5D19478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0.28</w:t>
            </w:r>
          </w:p>
        </w:tc>
        <w:tc>
          <w:tcPr>
            <w:tcW w:w="558" w:type="pct"/>
            <w:tcBorders>
              <w:bottom w:val="single" w:sz="4" w:space="0" w:color="auto"/>
            </w:tcBorders>
            <w:shd w:val="clear" w:color="auto" w:fill="auto"/>
            <w:noWrap/>
            <w:vAlign w:val="center"/>
            <w:hideMark/>
          </w:tcPr>
          <w:p w14:paraId="2DDB126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0.24</w:t>
            </w:r>
          </w:p>
        </w:tc>
        <w:tc>
          <w:tcPr>
            <w:tcW w:w="625" w:type="pct"/>
            <w:tcBorders>
              <w:bottom w:val="single" w:sz="4" w:space="0" w:color="auto"/>
            </w:tcBorders>
            <w:shd w:val="clear" w:color="auto" w:fill="auto"/>
            <w:noWrap/>
            <w:vAlign w:val="center"/>
            <w:hideMark/>
          </w:tcPr>
          <w:p w14:paraId="485E41B3"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0.52</w:t>
            </w:r>
          </w:p>
        </w:tc>
        <w:tc>
          <w:tcPr>
            <w:tcW w:w="558" w:type="pct"/>
            <w:tcBorders>
              <w:bottom w:val="single" w:sz="4" w:space="0" w:color="auto"/>
            </w:tcBorders>
            <w:shd w:val="clear" w:color="auto" w:fill="auto"/>
            <w:noWrap/>
            <w:vAlign w:val="center"/>
            <w:hideMark/>
          </w:tcPr>
          <w:p w14:paraId="630B5E0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0.50</w:t>
            </w:r>
          </w:p>
        </w:tc>
        <w:tc>
          <w:tcPr>
            <w:tcW w:w="647" w:type="pct"/>
            <w:tcBorders>
              <w:bottom w:val="single" w:sz="4" w:space="0" w:color="auto"/>
            </w:tcBorders>
            <w:shd w:val="clear" w:color="auto" w:fill="auto"/>
            <w:noWrap/>
            <w:vAlign w:val="center"/>
            <w:hideMark/>
          </w:tcPr>
          <w:p w14:paraId="4622D88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0.10</w:t>
            </w:r>
          </w:p>
        </w:tc>
        <w:tc>
          <w:tcPr>
            <w:tcW w:w="624" w:type="pct"/>
            <w:tcBorders>
              <w:bottom w:val="single" w:sz="4" w:space="0" w:color="auto"/>
            </w:tcBorders>
            <w:shd w:val="clear" w:color="auto" w:fill="auto"/>
            <w:noWrap/>
            <w:vAlign w:val="center"/>
            <w:hideMark/>
          </w:tcPr>
          <w:p w14:paraId="41D9B6C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0.50</w:t>
            </w:r>
          </w:p>
        </w:tc>
      </w:tr>
      <w:tr w:rsidR="00EF65F1" w14:paraId="522452E0" w14:textId="77777777" w:rsidTr="00157A50">
        <w:trPr>
          <w:trHeight w:val="300"/>
          <w:jc w:val="center"/>
        </w:trPr>
        <w:tc>
          <w:tcPr>
            <w:tcW w:w="3729" w:type="pct"/>
            <w:gridSpan w:val="5"/>
            <w:tcBorders>
              <w:top w:val="single" w:sz="4" w:space="0" w:color="auto"/>
              <w:left w:val="nil"/>
              <w:bottom w:val="nil"/>
              <w:right w:val="nil"/>
            </w:tcBorders>
            <w:shd w:val="clear" w:color="auto" w:fill="auto"/>
            <w:noWrap/>
            <w:vAlign w:val="bottom"/>
            <w:hideMark/>
          </w:tcPr>
          <w:p w14:paraId="79063D32" w14:textId="77777777" w:rsidR="00EF65F1" w:rsidRDefault="00484A18">
            <w:pPr>
              <w:spacing w:after="0" w:line="240" w:lineRule="auto"/>
              <w:contextualSpacing/>
              <w:jc w:val="both"/>
              <w:rPr>
                <w:rFonts w:ascii="Times New Roman" w:eastAsia="Times New Roman" w:hAnsi="Times New Roman" w:cs="Times New Roman"/>
                <w:color w:val="000000"/>
                <w:szCs w:val="20"/>
                <w:lang w:eastAsia="en-ZA"/>
              </w:rPr>
            </w:pPr>
            <w:r>
              <w:rPr>
                <w:rFonts w:ascii="Times New Roman" w:eastAsia="Times New Roman" w:hAnsi="Times New Roman" w:cs="Times New Roman"/>
                <w:color w:val="000000"/>
                <w:szCs w:val="20"/>
                <w:vertAlign w:val="superscript"/>
                <w:lang w:eastAsia="en-ZA"/>
              </w:rPr>
              <w:t xml:space="preserve">ab </w:t>
            </w:r>
            <w:r>
              <w:rPr>
                <w:rFonts w:ascii="Times New Roman" w:eastAsia="Times New Roman" w:hAnsi="Times New Roman" w:cs="Times New Roman"/>
                <w:color w:val="000000"/>
                <w:szCs w:val="20"/>
                <w:lang w:eastAsia="en-ZA"/>
              </w:rPr>
              <w:t>Within a column: Means with different superscripts differ (P &lt; 0.05)</w:t>
            </w:r>
          </w:p>
        </w:tc>
        <w:tc>
          <w:tcPr>
            <w:tcW w:w="647" w:type="pct"/>
            <w:tcBorders>
              <w:top w:val="single" w:sz="4" w:space="0" w:color="auto"/>
              <w:left w:val="nil"/>
              <w:bottom w:val="nil"/>
              <w:right w:val="nil"/>
            </w:tcBorders>
            <w:shd w:val="clear" w:color="auto" w:fill="auto"/>
            <w:noWrap/>
            <w:vAlign w:val="bottom"/>
            <w:hideMark/>
          </w:tcPr>
          <w:p w14:paraId="7F66AD5B"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624" w:type="pct"/>
            <w:tcBorders>
              <w:top w:val="single" w:sz="4" w:space="0" w:color="auto"/>
              <w:left w:val="nil"/>
              <w:bottom w:val="nil"/>
              <w:right w:val="nil"/>
            </w:tcBorders>
            <w:shd w:val="clear" w:color="auto" w:fill="auto"/>
            <w:noWrap/>
            <w:vAlign w:val="bottom"/>
            <w:hideMark/>
          </w:tcPr>
          <w:p w14:paraId="2115888D"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r>
      <w:tr w:rsidR="00EF65F1" w14:paraId="7062F719" w14:textId="77777777">
        <w:trPr>
          <w:trHeight w:val="315"/>
          <w:jc w:val="center"/>
        </w:trPr>
        <w:tc>
          <w:tcPr>
            <w:tcW w:w="3171" w:type="pct"/>
            <w:gridSpan w:val="4"/>
            <w:tcBorders>
              <w:top w:val="nil"/>
              <w:left w:val="nil"/>
              <w:bottom w:val="nil"/>
              <w:right w:val="nil"/>
            </w:tcBorders>
            <w:shd w:val="clear" w:color="auto" w:fill="auto"/>
            <w:noWrap/>
            <w:vAlign w:val="bottom"/>
            <w:hideMark/>
          </w:tcPr>
          <w:p w14:paraId="568C4A6B"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58" w:type="pct"/>
            <w:tcBorders>
              <w:top w:val="nil"/>
              <w:left w:val="nil"/>
              <w:bottom w:val="nil"/>
              <w:right w:val="nil"/>
            </w:tcBorders>
            <w:shd w:val="clear" w:color="auto" w:fill="auto"/>
            <w:noWrap/>
            <w:vAlign w:val="bottom"/>
            <w:hideMark/>
          </w:tcPr>
          <w:p w14:paraId="5F0FCC0D"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647" w:type="pct"/>
            <w:tcBorders>
              <w:top w:val="nil"/>
              <w:left w:val="nil"/>
              <w:bottom w:val="nil"/>
              <w:right w:val="nil"/>
            </w:tcBorders>
            <w:shd w:val="clear" w:color="auto" w:fill="auto"/>
            <w:noWrap/>
            <w:vAlign w:val="bottom"/>
            <w:hideMark/>
          </w:tcPr>
          <w:p w14:paraId="7C13FF1D"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c>
          <w:tcPr>
            <w:tcW w:w="624" w:type="pct"/>
            <w:tcBorders>
              <w:top w:val="nil"/>
              <w:left w:val="nil"/>
              <w:bottom w:val="nil"/>
              <w:right w:val="nil"/>
            </w:tcBorders>
            <w:shd w:val="clear" w:color="auto" w:fill="auto"/>
            <w:noWrap/>
            <w:vAlign w:val="bottom"/>
            <w:hideMark/>
          </w:tcPr>
          <w:p w14:paraId="262EE70F"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r>
      <w:tr w:rsidR="00EF65F1" w14:paraId="14C3FD64" w14:textId="77777777">
        <w:trPr>
          <w:trHeight w:val="315"/>
          <w:jc w:val="center"/>
        </w:trPr>
        <w:tc>
          <w:tcPr>
            <w:tcW w:w="3171" w:type="pct"/>
            <w:gridSpan w:val="4"/>
            <w:tcBorders>
              <w:top w:val="nil"/>
              <w:left w:val="nil"/>
              <w:bottom w:val="nil"/>
              <w:right w:val="nil"/>
            </w:tcBorders>
            <w:shd w:val="clear" w:color="auto" w:fill="auto"/>
            <w:noWrap/>
            <w:vAlign w:val="bottom"/>
          </w:tcPr>
          <w:p w14:paraId="1FAE7351"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58" w:type="pct"/>
            <w:tcBorders>
              <w:top w:val="nil"/>
              <w:left w:val="nil"/>
              <w:bottom w:val="nil"/>
              <w:right w:val="nil"/>
            </w:tcBorders>
            <w:shd w:val="clear" w:color="auto" w:fill="auto"/>
            <w:noWrap/>
            <w:vAlign w:val="bottom"/>
            <w:hideMark/>
          </w:tcPr>
          <w:p w14:paraId="028AC05F"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647" w:type="pct"/>
            <w:tcBorders>
              <w:top w:val="nil"/>
              <w:left w:val="nil"/>
              <w:bottom w:val="nil"/>
              <w:right w:val="nil"/>
            </w:tcBorders>
            <w:shd w:val="clear" w:color="auto" w:fill="auto"/>
            <w:noWrap/>
            <w:vAlign w:val="bottom"/>
            <w:hideMark/>
          </w:tcPr>
          <w:p w14:paraId="2002BD1A"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c>
          <w:tcPr>
            <w:tcW w:w="624" w:type="pct"/>
            <w:tcBorders>
              <w:top w:val="nil"/>
              <w:left w:val="nil"/>
              <w:bottom w:val="nil"/>
              <w:right w:val="nil"/>
            </w:tcBorders>
            <w:shd w:val="clear" w:color="auto" w:fill="auto"/>
            <w:noWrap/>
            <w:vAlign w:val="bottom"/>
            <w:hideMark/>
          </w:tcPr>
          <w:p w14:paraId="241D57F4"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r>
    </w:tbl>
    <w:bookmarkEnd w:id="187"/>
    <w:p w14:paraId="3DDC9F53" w14:textId="77777777" w:rsidR="00EF65F1" w:rsidRDefault="00484A18">
      <w:pPr>
        <w:pStyle w:val="Caption"/>
        <w:keepNext/>
        <w:spacing w:after="0" w:line="360" w:lineRule="auto"/>
        <w:contextualSpacing/>
        <w:jc w:val="both"/>
        <w:rPr>
          <w:rFonts w:ascii="Times New Roman" w:hAnsi="Times New Roman" w:cs="Times New Roman"/>
          <w:iCs w:val="0"/>
          <w:sz w:val="24"/>
          <w:szCs w:val="22"/>
        </w:rPr>
      </w:pPr>
      <w:r>
        <w:rPr>
          <w:rFonts w:ascii="Times New Roman" w:hAnsi="Times New Roman" w:cs="Times New Roman"/>
          <w:color w:val="auto"/>
          <w:sz w:val="22"/>
          <w:szCs w:val="22"/>
        </w:rPr>
        <w:tab/>
      </w:r>
      <w:r>
        <w:rPr>
          <w:rFonts w:ascii="Times New Roman" w:hAnsi="Times New Roman" w:cs="Times New Roman"/>
          <w:i w:val="0"/>
          <w:color w:val="auto"/>
          <w:sz w:val="24"/>
          <w:szCs w:val="22"/>
        </w:rPr>
        <w:br w:type="page"/>
      </w:r>
    </w:p>
    <w:p w14:paraId="53D8FD41" w14:textId="362FB645" w:rsidR="00EF65F1" w:rsidRDefault="00484A18">
      <w:pPr>
        <w:pStyle w:val="Caption"/>
        <w:keepNext/>
        <w:spacing w:after="160"/>
        <w:contextualSpacing/>
        <w:jc w:val="both"/>
        <w:rPr>
          <w:rFonts w:ascii="Times New Roman" w:hAnsi="Times New Roman" w:cs="Times New Roman"/>
          <w:i w:val="0"/>
          <w:color w:val="auto"/>
          <w:sz w:val="24"/>
          <w:szCs w:val="22"/>
        </w:rPr>
      </w:pPr>
      <w:bookmarkStart w:id="188" w:name="_Toc2349143"/>
      <w:r>
        <w:rPr>
          <w:rFonts w:ascii="Times New Roman" w:hAnsi="Times New Roman" w:cs="Times New Roman"/>
          <w:i w:val="0"/>
          <w:color w:val="auto"/>
          <w:sz w:val="24"/>
          <w:szCs w:val="22"/>
        </w:rPr>
        <w:lastRenderedPageBreak/>
        <w:t xml:space="preserve">Table </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STYLEREF 1 \s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3</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w:t>
      </w:r>
      <w:r>
        <w:rPr>
          <w:rFonts w:ascii="Times New Roman" w:hAnsi="Times New Roman" w:cs="Times New Roman"/>
          <w:i w:val="0"/>
          <w:color w:val="auto"/>
          <w:sz w:val="24"/>
          <w:szCs w:val="22"/>
        </w:rPr>
        <w:fldChar w:fldCharType="begin"/>
      </w:r>
      <w:r>
        <w:rPr>
          <w:rFonts w:ascii="Times New Roman" w:hAnsi="Times New Roman" w:cs="Times New Roman"/>
          <w:i w:val="0"/>
          <w:color w:val="auto"/>
          <w:sz w:val="24"/>
          <w:szCs w:val="22"/>
        </w:rPr>
        <w:instrText xml:space="preserve"> SEQ Table \* ARABIC \s 1 </w:instrText>
      </w:r>
      <w:r>
        <w:rPr>
          <w:rFonts w:ascii="Times New Roman" w:hAnsi="Times New Roman" w:cs="Times New Roman"/>
          <w:i w:val="0"/>
          <w:color w:val="auto"/>
          <w:sz w:val="24"/>
          <w:szCs w:val="22"/>
        </w:rPr>
        <w:fldChar w:fldCharType="separate"/>
      </w:r>
      <w:r w:rsidR="00E604B8">
        <w:rPr>
          <w:rFonts w:ascii="Times New Roman" w:hAnsi="Times New Roman" w:cs="Times New Roman"/>
          <w:i w:val="0"/>
          <w:noProof/>
          <w:color w:val="auto"/>
          <w:sz w:val="24"/>
          <w:szCs w:val="22"/>
        </w:rPr>
        <w:t>5</w:t>
      </w:r>
      <w:r>
        <w:rPr>
          <w:rFonts w:ascii="Times New Roman" w:hAnsi="Times New Roman" w:cs="Times New Roman"/>
          <w:i w:val="0"/>
          <w:color w:val="auto"/>
          <w:sz w:val="24"/>
          <w:szCs w:val="22"/>
        </w:rPr>
        <w:fldChar w:fldCharType="end"/>
      </w:r>
      <w:r>
        <w:rPr>
          <w:rFonts w:ascii="Times New Roman" w:hAnsi="Times New Roman" w:cs="Times New Roman"/>
          <w:i w:val="0"/>
          <w:color w:val="auto"/>
          <w:sz w:val="24"/>
          <w:szCs w:val="22"/>
        </w:rPr>
        <w:t xml:space="preserve"> Cumulative methane production (mL CH</w:t>
      </w:r>
      <w:r>
        <w:rPr>
          <w:rFonts w:ascii="Times New Roman" w:hAnsi="Times New Roman" w:cs="Times New Roman"/>
          <w:i w:val="0"/>
          <w:color w:val="auto"/>
          <w:sz w:val="24"/>
          <w:szCs w:val="22"/>
          <w:vertAlign w:val="subscript"/>
        </w:rPr>
        <w:t>4</w:t>
      </w:r>
      <w:r>
        <w:rPr>
          <w:rFonts w:ascii="Times New Roman" w:hAnsi="Times New Roman" w:cs="Times New Roman"/>
          <w:i w:val="0"/>
          <w:color w:val="auto"/>
          <w:sz w:val="24"/>
          <w:szCs w:val="22"/>
        </w:rPr>
        <w:t xml:space="preserve"> /g DM) after 2, 4, 8, 12, 24 and 48 hours of </w:t>
      </w:r>
      <w:r>
        <w:rPr>
          <w:rFonts w:ascii="Times New Roman" w:hAnsi="Times New Roman" w:cs="Times New Roman"/>
          <w:color w:val="auto"/>
          <w:sz w:val="24"/>
          <w:szCs w:val="22"/>
        </w:rPr>
        <w:t>Eragrostis curvula</w:t>
      </w:r>
      <w:r>
        <w:rPr>
          <w:rFonts w:ascii="Times New Roman" w:hAnsi="Times New Roman" w:cs="Times New Roman"/>
          <w:i w:val="0"/>
          <w:color w:val="auto"/>
          <w:sz w:val="24"/>
          <w:szCs w:val="22"/>
        </w:rPr>
        <w:t xml:space="preserve"> hay treated with seven plant extracts at a 600 mg/kg DM dose level</w:t>
      </w:r>
      <w:bookmarkEnd w:id="188"/>
    </w:p>
    <w:tbl>
      <w:tblPr>
        <w:tblW w:w="5000" w:type="pct"/>
        <w:tblLook w:val="04A0" w:firstRow="1" w:lastRow="0" w:firstColumn="1" w:lastColumn="0" w:noHBand="0" w:noVBand="1"/>
      </w:tblPr>
      <w:tblGrid>
        <w:gridCol w:w="4405"/>
        <w:gridCol w:w="1718"/>
        <w:gridCol w:w="1718"/>
        <w:gridCol w:w="1718"/>
        <w:gridCol w:w="1718"/>
        <w:gridCol w:w="1925"/>
        <w:gridCol w:w="2196"/>
      </w:tblGrid>
      <w:tr w:rsidR="00EF65F1" w14:paraId="745121FA" w14:textId="77777777">
        <w:trPr>
          <w:trHeight w:val="315"/>
        </w:trPr>
        <w:tc>
          <w:tcPr>
            <w:tcW w:w="1430" w:type="pct"/>
            <w:tcBorders>
              <w:top w:val="single" w:sz="8" w:space="0" w:color="auto"/>
              <w:left w:val="nil"/>
              <w:bottom w:val="single" w:sz="8" w:space="0" w:color="auto"/>
              <w:right w:val="nil"/>
            </w:tcBorders>
            <w:shd w:val="clear" w:color="auto" w:fill="auto"/>
            <w:noWrap/>
            <w:vAlign w:val="center"/>
            <w:hideMark/>
          </w:tcPr>
          <w:p w14:paraId="4678991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 </w:t>
            </w:r>
          </w:p>
        </w:tc>
        <w:tc>
          <w:tcPr>
            <w:tcW w:w="3570" w:type="pct"/>
            <w:gridSpan w:val="6"/>
            <w:tcBorders>
              <w:top w:val="single" w:sz="8" w:space="0" w:color="auto"/>
              <w:left w:val="nil"/>
              <w:bottom w:val="single" w:sz="8" w:space="0" w:color="auto"/>
              <w:right w:val="nil"/>
            </w:tcBorders>
            <w:shd w:val="clear" w:color="auto" w:fill="auto"/>
            <w:noWrap/>
            <w:vAlign w:val="center"/>
            <w:hideMark/>
          </w:tcPr>
          <w:p w14:paraId="1B966944" w14:textId="77777777" w:rsidR="00EF65F1" w:rsidRDefault="00484A18">
            <w:pPr>
              <w:spacing w:after="0" w:line="240" w:lineRule="auto"/>
              <w:contextualSpacing/>
              <w:jc w:val="center"/>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 xml:space="preserve">Mean ± SD </w:t>
            </w:r>
            <w:r>
              <w:rPr>
                <w:rFonts w:ascii="Times New Roman" w:hAnsi="Times New Roman" w:cs="Times New Roman"/>
                <w:sz w:val="24"/>
                <w:szCs w:val="22"/>
              </w:rPr>
              <w:t>(mL CH</w:t>
            </w:r>
            <w:r>
              <w:rPr>
                <w:rFonts w:ascii="Times New Roman" w:hAnsi="Times New Roman" w:cs="Times New Roman"/>
                <w:sz w:val="24"/>
                <w:szCs w:val="22"/>
                <w:vertAlign w:val="subscript"/>
              </w:rPr>
              <w:t>4</w:t>
            </w:r>
            <w:r>
              <w:rPr>
                <w:rFonts w:ascii="Times New Roman" w:hAnsi="Times New Roman" w:cs="Times New Roman"/>
                <w:sz w:val="24"/>
                <w:szCs w:val="22"/>
              </w:rPr>
              <w:t xml:space="preserve"> /g DM)</w:t>
            </w:r>
          </w:p>
        </w:tc>
      </w:tr>
      <w:tr w:rsidR="00EF65F1" w14:paraId="32F03997" w14:textId="77777777">
        <w:trPr>
          <w:trHeight w:val="315"/>
        </w:trPr>
        <w:tc>
          <w:tcPr>
            <w:tcW w:w="1430" w:type="pct"/>
            <w:tcBorders>
              <w:top w:val="nil"/>
              <w:left w:val="nil"/>
              <w:bottom w:val="single" w:sz="8" w:space="0" w:color="auto"/>
              <w:right w:val="nil"/>
            </w:tcBorders>
            <w:shd w:val="clear" w:color="auto" w:fill="auto"/>
            <w:noWrap/>
            <w:vAlign w:val="center"/>
            <w:hideMark/>
          </w:tcPr>
          <w:p w14:paraId="6791709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558" w:type="pct"/>
            <w:tcBorders>
              <w:top w:val="nil"/>
              <w:left w:val="nil"/>
              <w:bottom w:val="single" w:sz="8" w:space="0" w:color="auto"/>
              <w:right w:val="nil"/>
            </w:tcBorders>
            <w:shd w:val="clear" w:color="auto" w:fill="auto"/>
            <w:noWrap/>
            <w:vAlign w:val="center"/>
            <w:hideMark/>
          </w:tcPr>
          <w:p w14:paraId="5198A1E0"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2h</w:t>
            </w:r>
          </w:p>
        </w:tc>
        <w:tc>
          <w:tcPr>
            <w:tcW w:w="558" w:type="pct"/>
            <w:tcBorders>
              <w:top w:val="nil"/>
              <w:left w:val="nil"/>
              <w:bottom w:val="single" w:sz="8" w:space="0" w:color="auto"/>
              <w:right w:val="nil"/>
            </w:tcBorders>
            <w:shd w:val="clear" w:color="auto" w:fill="auto"/>
            <w:noWrap/>
            <w:vAlign w:val="center"/>
            <w:hideMark/>
          </w:tcPr>
          <w:p w14:paraId="6786EC7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4h</w:t>
            </w:r>
          </w:p>
        </w:tc>
        <w:tc>
          <w:tcPr>
            <w:tcW w:w="558" w:type="pct"/>
            <w:tcBorders>
              <w:top w:val="nil"/>
              <w:left w:val="nil"/>
              <w:bottom w:val="single" w:sz="8" w:space="0" w:color="auto"/>
              <w:right w:val="nil"/>
            </w:tcBorders>
            <w:shd w:val="clear" w:color="auto" w:fill="auto"/>
            <w:noWrap/>
            <w:vAlign w:val="center"/>
            <w:hideMark/>
          </w:tcPr>
          <w:p w14:paraId="3E2B304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8h</w:t>
            </w:r>
          </w:p>
        </w:tc>
        <w:tc>
          <w:tcPr>
            <w:tcW w:w="558" w:type="pct"/>
            <w:tcBorders>
              <w:top w:val="nil"/>
              <w:left w:val="nil"/>
              <w:bottom w:val="single" w:sz="8" w:space="0" w:color="auto"/>
              <w:right w:val="nil"/>
            </w:tcBorders>
            <w:shd w:val="clear" w:color="auto" w:fill="auto"/>
            <w:noWrap/>
            <w:vAlign w:val="center"/>
            <w:hideMark/>
          </w:tcPr>
          <w:p w14:paraId="19E80ED4"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12h</w:t>
            </w:r>
          </w:p>
        </w:tc>
        <w:tc>
          <w:tcPr>
            <w:tcW w:w="625" w:type="pct"/>
            <w:tcBorders>
              <w:top w:val="nil"/>
              <w:left w:val="nil"/>
              <w:bottom w:val="single" w:sz="8" w:space="0" w:color="auto"/>
              <w:right w:val="nil"/>
            </w:tcBorders>
            <w:shd w:val="clear" w:color="auto" w:fill="auto"/>
            <w:noWrap/>
            <w:vAlign w:val="center"/>
            <w:hideMark/>
          </w:tcPr>
          <w:p w14:paraId="768D983B"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24h</w:t>
            </w:r>
          </w:p>
        </w:tc>
        <w:tc>
          <w:tcPr>
            <w:tcW w:w="713" w:type="pct"/>
            <w:tcBorders>
              <w:top w:val="nil"/>
              <w:left w:val="nil"/>
              <w:bottom w:val="single" w:sz="8" w:space="0" w:color="auto"/>
              <w:right w:val="nil"/>
            </w:tcBorders>
            <w:shd w:val="clear" w:color="auto" w:fill="auto"/>
            <w:noWrap/>
            <w:vAlign w:val="center"/>
            <w:hideMark/>
          </w:tcPr>
          <w:p w14:paraId="3115F8A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48h</w:t>
            </w:r>
          </w:p>
        </w:tc>
      </w:tr>
      <w:tr w:rsidR="00EF65F1" w14:paraId="6FD78950" w14:textId="77777777">
        <w:trPr>
          <w:trHeight w:val="315"/>
        </w:trPr>
        <w:tc>
          <w:tcPr>
            <w:tcW w:w="1430" w:type="pct"/>
            <w:tcBorders>
              <w:top w:val="nil"/>
              <w:left w:val="nil"/>
              <w:bottom w:val="nil"/>
              <w:right w:val="nil"/>
            </w:tcBorders>
            <w:shd w:val="clear" w:color="auto" w:fill="auto"/>
            <w:vAlign w:val="center"/>
            <w:hideMark/>
          </w:tcPr>
          <w:p w14:paraId="44DE2E6C"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558" w:type="pct"/>
            <w:tcBorders>
              <w:top w:val="nil"/>
              <w:left w:val="nil"/>
              <w:bottom w:val="nil"/>
              <w:right w:val="nil"/>
            </w:tcBorders>
            <w:shd w:val="clear" w:color="auto" w:fill="auto"/>
            <w:noWrap/>
            <w:vAlign w:val="center"/>
            <w:hideMark/>
          </w:tcPr>
          <w:p w14:paraId="1AA7B38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0.011</w:t>
            </w:r>
          </w:p>
        </w:tc>
        <w:tc>
          <w:tcPr>
            <w:tcW w:w="558" w:type="pct"/>
            <w:tcBorders>
              <w:top w:val="nil"/>
              <w:left w:val="nil"/>
              <w:bottom w:val="nil"/>
              <w:right w:val="nil"/>
            </w:tcBorders>
            <w:shd w:val="clear" w:color="auto" w:fill="auto"/>
            <w:noWrap/>
            <w:vAlign w:val="center"/>
            <w:hideMark/>
          </w:tcPr>
          <w:p w14:paraId="2E9F617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0.17 ± 0.100</w:t>
            </w:r>
          </w:p>
        </w:tc>
        <w:tc>
          <w:tcPr>
            <w:tcW w:w="558" w:type="pct"/>
            <w:tcBorders>
              <w:top w:val="nil"/>
              <w:left w:val="nil"/>
              <w:bottom w:val="nil"/>
              <w:right w:val="nil"/>
            </w:tcBorders>
            <w:shd w:val="clear" w:color="auto" w:fill="auto"/>
            <w:noWrap/>
            <w:vAlign w:val="center"/>
            <w:hideMark/>
          </w:tcPr>
          <w:p w14:paraId="336BE6A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0.43 ± 0.279</w:t>
            </w:r>
          </w:p>
        </w:tc>
        <w:tc>
          <w:tcPr>
            <w:tcW w:w="558" w:type="pct"/>
            <w:tcBorders>
              <w:top w:val="nil"/>
              <w:left w:val="nil"/>
              <w:bottom w:val="nil"/>
              <w:right w:val="nil"/>
            </w:tcBorders>
            <w:shd w:val="clear" w:color="auto" w:fill="auto"/>
            <w:noWrap/>
            <w:vAlign w:val="center"/>
            <w:hideMark/>
          </w:tcPr>
          <w:p w14:paraId="4D7B8FB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0.91 ± 0.498</w:t>
            </w:r>
          </w:p>
        </w:tc>
        <w:tc>
          <w:tcPr>
            <w:tcW w:w="625" w:type="pct"/>
            <w:tcBorders>
              <w:top w:val="nil"/>
              <w:left w:val="nil"/>
              <w:bottom w:val="nil"/>
              <w:right w:val="nil"/>
            </w:tcBorders>
            <w:shd w:val="clear" w:color="auto" w:fill="auto"/>
            <w:noWrap/>
            <w:vAlign w:val="center"/>
            <w:hideMark/>
          </w:tcPr>
          <w:p w14:paraId="18466363"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2.86</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0.890</w:t>
            </w:r>
          </w:p>
        </w:tc>
        <w:tc>
          <w:tcPr>
            <w:tcW w:w="713" w:type="pct"/>
            <w:tcBorders>
              <w:top w:val="nil"/>
              <w:left w:val="nil"/>
              <w:bottom w:val="nil"/>
              <w:right w:val="nil"/>
            </w:tcBorders>
            <w:shd w:val="clear" w:color="auto" w:fill="auto"/>
            <w:noWrap/>
            <w:vAlign w:val="center"/>
            <w:hideMark/>
          </w:tcPr>
          <w:p w14:paraId="5F5F8E0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4.66</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1.782</w:t>
            </w:r>
          </w:p>
        </w:tc>
      </w:tr>
      <w:tr w:rsidR="00EF65F1" w14:paraId="4A7B866A" w14:textId="77777777">
        <w:trPr>
          <w:trHeight w:val="315"/>
        </w:trPr>
        <w:tc>
          <w:tcPr>
            <w:tcW w:w="1430" w:type="pct"/>
            <w:tcBorders>
              <w:top w:val="nil"/>
              <w:left w:val="nil"/>
              <w:bottom w:val="nil"/>
              <w:right w:val="nil"/>
            </w:tcBorders>
            <w:shd w:val="clear" w:color="auto" w:fill="auto"/>
            <w:vAlign w:val="center"/>
            <w:hideMark/>
          </w:tcPr>
          <w:p w14:paraId="3ABBB0C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Monensin</w:t>
            </w:r>
          </w:p>
        </w:tc>
        <w:tc>
          <w:tcPr>
            <w:tcW w:w="558" w:type="pct"/>
            <w:tcBorders>
              <w:top w:val="nil"/>
              <w:left w:val="nil"/>
              <w:bottom w:val="nil"/>
              <w:right w:val="nil"/>
            </w:tcBorders>
            <w:shd w:val="clear" w:color="auto" w:fill="auto"/>
            <w:noWrap/>
            <w:vAlign w:val="center"/>
            <w:hideMark/>
          </w:tcPr>
          <w:p w14:paraId="4D7ABAA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0.013</w:t>
            </w:r>
          </w:p>
        </w:tc>
        <w:tc>
          <w:tcPr>
            <w:tcW w:w="558" w:type="pct"/>
            <w:tcBorders>
              <w:top w:val="nil"/>
              <w:left w:val="nil"/>
              <w:bottom w:val="nil"/>
              <w:right w:val="nil"/>
            </w:tcBorders>
            <w:shd w:val="clear" w:color="auto" w:fill="auto"/>
            <w:noWrap/>
            <w:vAlign w:val="center"/>
            <w:hideMark/>
          </w:tcPr>
          <w:p w14:paraId="7857A77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0.19 ± 0.133</w:t>
            </w:r>
          </w:p>
        </w:tc>
        <w:tc>
          <w:tcPr>
            <w:tcW w:w="558" w:type="pct"/>
            <w:tcBorders>
              <w:top w:val="nil"/>
              <w:left w:val="nil"/>
              <w:bottom w:val="nil"/>
              <w:right w:val="nil"/>
            </w:tcBorders>
            <w:shd w:val="clear" w:color="auto" w:fill="auto"/>
            <w:noWrap/>
            <w:vAlign w:val="center"/>
            <w:hideMark/>
          </w:tcPr>
          <w:p w14:paraId="55C0FB7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0.41 ± 0.101</w:t>
            </w:r>
          </w:p>
        </w:tc>
        <w:tc>
          <w:tcPr>
            <w:tcW w:w="558" w:type="pct"/>
            <w:tcBorders>
              <w:top w:val="nil"/>
              <w:left w:val="nil"/>
              <w:bottom w:val="nil"/>
              <w:right w:val="nil"/>
            </w:tcBorders>
            <w:shd w:val="clear" w:color="auto" w:fill="auto"/>
            <w:noWrap/>
            <w:vAlign w:val="center"/>
            <w:hideMark/>
          </w:tcPr>
          <w:p w14:paraId="677BDFB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0.86 ± 0.460</w:t>
            </w:r>
          </w:p>
        </w:tc>
        <w:tc>
          <w:tcPr>
            <w:tcW w:w="625" w:type="pct"/>
            <w:tcBorders>
              <w:top w:val="nil"/>
              <w:left w:val="nil"/>
              <w:bottom w:val="nil"/>
              <w:right w:val="nil"/>
            </w:tcBorders>
            <w:shd w:val="clear" w:color="auto" w:fill="auto"/>
            <w:noWrap/>
            <w:vAlign w:val="center"/>
            <w:hideMark/>
          </w:tcPr>
          <w:p w14:paraId="1642675E"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2.71</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0.859</w:t>
            </w:r>
          </w:p>
        </w:tc>
        <w:tc>
          <w:tcPr>
            <w:tcW w:w="713" w:type="pct"/>
            <w:tcBorders>
              <w:top w:val="nil"/>
              <w:left w:val="nil"/>
              <w:bottom w:val="nil"/>
              <w:right w:val="nil"/>
            </w:tcBorders>
            <w:shd w:val="clear" w:color="auto" w:fill="auto"/>
            <w:noWrap/>
            <w:vAlign w:val="center"/>
            <w:hideMark/>
          </w:tcPr>
          <w:p w14:paraId="0C844C9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4.48</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1.233</w:t>
            </w:r>
          </w:p>
        </w:tc>
      </w:tr>
      <w:tr w:rsidR="00EF65F1" w14:paraId="65D1145C" w14:textId="77777777">
        <w:trPr>
          <w:trHeight w:val="315"/>
        </w:trPr>
        <w:tc>
          <w:tcPr>
            <w:tcW w:w="1430" w:type="pct"/>
            <w:tcBorders>
              <w:top w:val="nil"/>
              <w:left w:val="nil"/>
              <w:bottom w:val="nil"/>
              <w:right w:val="nil"/>
            </w:tcBorders>
            <w:shd w:val="clear" w:color="auto" w:fill="auto"/>
            <w:vAlign w:val="center"/>
            <w:hideMark/>
          </w:tcPr>
          <w:p w14:paraId="7FE05B82"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558" w:type="pct"/>
            <w:tcBorders>
              <w:top w:val="nil"/>
              <w:left w:val="nil"/>
              <w:bottom w:val="nil"/>
              <w:right w:val="nil"/>
            </w:tcBorders>
            <w:shd w:val="clear" w:color="auto" w:fill="auto"/>
            <w:noWrap/>
            <w:vAlign w:val="center"/>
            <w:hideMark/>
          </w:tcPr>
          <w:p w14:paraId="5D23839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0.04 ± 0.013</w:t>
            </w:r>
          </w:p>
        </w:tc>
        <w:tc>
          <w:tcPr>
            <w:tcW w:w="558" w:type="pct"/>
            <w:tcBorders>
              <w:top w:val="nil"/>
              <w:left w:val="nil"/>
              <w:bottom w:val="nil"/>
              <w:right w:val="nil"/>
            </w:tcBorders>
            <w:shd w:val="clear" w:color="auto" w:fill="auto"/>
            <w:noWrap/>
            <w:vAlign w:val="center"/>
            <w:hideMark/>
          </w:tcPr>
          <w:p w14:paraId="367CDB67"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0.15 ± 0.076</w:t>
            </w:r>
          </w:p>
        </w:tc>
        <w:tc>
          <w:tcPr>
            <w:tcW w:w="558" w:type="pct"/>
            <w:tcBorders>
              <w:top w:val="nil"/>
              <w:left w:val="nil"/>
              <w:bottom w:val="nil"/>
              <w:right w:val="nil"/>
            </w:tcBorders>
            <w:shd w:val="clear" w:color="auto" w:fill="auto"/>
            <w:noWrap/>
            <w:vAlign w:val="center"/>
            <w:hideMark/>
          </w:tcPr>
          <w:p w14:paraId="6EF9CF3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0.51 ± 0.208</w:t>
            </w:r>
          </w:p>
        </w:tc>
        <w:tc>
          <w:tcPr>
            <w:tcW w:w="558" w:type="pct"/>
            <w:tcBorders>
              <w:top w:val="nil"/>
              <w:left w:val="nil"/>
              <w:bottom w:val="nil"/>
              <w:right w:val="nil"/>
            </w:tcBorders>
            <w:shd w:val="clear" w:color="auto" w:fill="auto"/>
            <w:noWrap/>
            <w:vAlign w:val="center"/>
            <w:hideMark/>
          </w:tcPr>
          <w:p w14:paraId="008E5D4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0.73 ± 0.499</w:t>
            </w:r>
          </w:p>
        </w:tc>
        <w:tc>
          <w:tcPr>
            <w:tcW w:w="625" w:type="pct"/>
            <w:tcBorders>
              <w:top w:val="nil"/>
              <w:left w:val="nil"/>
              <w:bottom w:val="nil"/>
              <w:right w:val="nil"/>
            </w:tcBorders>
            <w:shd w:val="clear" w:color="auto" w:fill="auto"/>
            <w:noWrap/>
            <w:vAlign w:val="center"/>
            <w:hideMark/>
          </w:tcPr>
          <w:p w14:paraId="709E05FF"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2.75</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1.077</w:t>
            </w:r>
          </w:p>
        </w:tc>
        <w:tc>
          <w:tcPr>
            <w:tcW w:w="713" w:type="pct"/>
            <w:tcBorders>
              <w:top w:val="nil"/>
              <w:left w:val="nil"/>
              <w:bottom w:val="nil"/>
              <w:right w:val="nil"/>
            </w:tcBorders>
            <w:shd w:val="clear" w:color="auto" w:fill="auto"/>
            <w:noWrap/>
            <w:vAlign w:val="center"/>
            <w:hideMark/>
          </w:tcPr>
          <w:p w14:paraId="7958FC3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4.47</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1.865</w:t>
            </w:r>
          </w:p>
        </w:tc>
      </w:tr>
      <w:tr w:rsidR="00EF65F1" w14:paraId="25318D2B" w14:textId="77777777">
        <w:trPr>
          <w:trHeight w:val="300"/>
        </w:trPr>
        <w:tc>
          <w:tcPr>
            <w:tcW w:w="1430" w:type="pct"/>
            <w:tcBorders>
              <w:top w:val="nil"/>
              <w:left w:val="nil"/>
              <w:bottom w:val="nil"/>
              <w:right w:val="nil"/>
            </w:tcBorders>
            <w:shd w:val="clear" w:color="auto" w:fill="auto"/>
            <w:noWrap/>
            <w:vAlign w:val="center"/>
            <w:hideMark/>
          </w:tcPr>
          <w:p w14:paraId="2106FECA"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558" w:type="pct"/>
            <w:tcBorders>
              <w:top w:val="nil"/>
              <w:left w:val="nil"/>
              <w:bottom w:val="nil"/>
              <w:right w:val="nil"/>
            </w:tcBorders>
            <w:shd w:val="clear" w:color="auto" w:fill="auto"/>
            <w:noWrap/>
            <w:vAlign w:val="center"/>
            <w:hideMark/>
          </w:tcPr>
          <w:p w14:paraId="24695E6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0.05 ± 0.046</w:t>
            </w:r>
          </w:p>
        </w:tc>
        <w:tc>
          <w:tcPr>
            <w:tcW w:w="558" w:type="pct"/>
            <w:tcBorders>
              <w:top w:val="nil"/>
              <w:left w:val="nil"/>
              <w:bottom w:val="nil"/>
              <w:right w:val="nil"/>
            </w:tcBorders>
            <w:shd w:val="clear" w:color="auto" w:fill="auto"/>
            <w:noWrap/>
            <w:vAlign w:val="center"/>
            <w:hideMark/>
          </w:tcPr>
          <w:p w14:paraId="7957792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0.26 ± 0.183</w:t>
            </w:r>
          </w:p>
        </w:tc>
        <w:tc>
          <w:tcPr>
            <w:tcW w:w="558" w:type="pct"/>
            <w:tcBorders>
              <w:top w:val="nil"/>
              <w:left w:val="nil"/>
              <w:bottom w:val="nil"/>
              <w:right w:val="nil"/>
            </w:tcBorders>
            <w:shd w:val="clear" w:color="auto" w:fill="auto"/>
            <w:noWrap/>
            <w:vAlign w:val="center"/>
            <w:hideMark/>
          </w:tcPr>
          <w:p w14:paraId="2BCF779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0.67 ± 0.388</w:t>
            </w:r>
          </w:p>
        </w:tc>
        <w:tc>
          <w:tcPr>
            <w:tcW w:w="558" w:type="pct"/>
            <w:tcBorders>
              <w:top w:val="nil"/>
              <w:left w:val="nil"/>
              <w:bottom w:val="nil"/>
              <w:right w:val="nil"/>
            </w:tcBorders>
            <w:shd w:val="clear" w:color="auto" w:fill="auto"/>
            <w:noWrap/>
            <w:vAlign w:val="center"/>
            <w:hideMark/>
          </w:tcPr>
          <w:p w14:paraId="512B3B6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0.97 ± 0.449</w:t>
            </w:r>
          </w:p>
        </w:tc>
        <w:tc>
          <w:tcPr>
            <w:tcW w:w="625" w:type="pct"/>
            <w:tcBorders>
              <w:top w:val="nil"/>
              <w:left w:val="nil"/>
              <w:bottom w:val="nil"/>
              <w:right w:val="nil"/>
            </w:tcBorders>
            <w:shd w:val="clear" w:color="auto" w:fill="auto"/>
            <w:noWrap/>
            <w:vAlign w:val="center"/>
            <w:hideMark/>
          </w:tcPr>
          <w:p w14:paraId="02931266"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3.79</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1.376</w:t>
            </w:r>
          </w:p>
        </w:tc>
        <w:tc>
          <w:tcPr>
            <w:tcW w:w="713" w:type="pct"/>
            <w:tcBorders>
              <w:top w:val="nil"/>
              <w:left w:val="nil"/>
              <w:bottom w:val="nil"/>
              <w:right w:val="nil"/>
            </w:tcBorders>
            <w:shd w:val="clear" w:color="auto" w:fill="auto"/>
            <w:noWrap/>
            <w:vAlign w:val="center"/>
            <w:hideMark/>
          </w:tcPr>
          <w:p w14:paraId="5F35921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6.00</w:t>
            </w:r>
            <w:r>
              <w:rPr>
                <w:rFonts w:ascii="Times New Roman" w:eastAsia="Times New Roman" w:hAnsi="Times New Roman" w:cs="Times New Roman"/>
                <w:color w:val="000000"/>
                <w:sz w:val="22"/>
                <w:szCs w:val="22"/>
                <w:vertAlign w:val="superscript"/>
                <w:lang w:eastAsia="en-ZA"/>
              </w:rPr>
              <w:t>a</w:t>
            </w:r>
            <w:r>
              <w:rPr>
                <w:rFonts w:ascii="Times New Roman" w:eastAsia="Times New Roman" w:hAnsi="Times New Roman" w:cs="Times New Roman"/>
                <w:color w:val="000000"/>
                <w:sz w:val="22"/>
                <w:szCs w:val="22"/>
                <w:lang w:eastAsia="en-ZA"/>
              </w:rPr>
              <w:t xml:space="preserve"> ± 2.192</w:t>
            </w:r>
          </w:p>
        </w:tc>
      </w:tr>
      <w:tr w:rsidR="00EF65F1" w14:paraId="47656898" w14:textId="77777777">
        <w:trPr>
          <w:trHeight w:val="300"/>
        </w:trPr>
        <w:tc>
          <w:tcPr>
            <w:tcW w:w="1430" w:type="pct"/>
            <w:tcBorders>
              <w:top w:val="nil"/>
              <w:left w:val="nil"/>
              <w:bottom w:val="nil"/>
              <w:right w:val="nil"/>
            </w:tcBorders>
            <w:shd w:val="clear" w:color="auto" w:fill="auto"/>
            <w:noWrap/>
            <w:vAlign w:val="center"/>
            <w:hideMark/>
          </w:tcPr>
          <w:p w14:paraId="79015FD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558" w:type="pct"/>
            <w:tcBorders>
              <w:top w:val="nil"/>
              <w:left w:val="nil"/>
              <w:bottom w:val="nil"/>
              <w:right w:val="nil"/>
            </w:tcBorders>
            <w:shd w:val="clear" w:color="auto" w:fill="auto"/>
            <w:noWrap/>
            <w:vAlign w:val="center"/>
            <w:hideMark/>
          </w:tcPr>
          <w:p w14:paraId="44C5D3C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0.11 ± 0.095</w:t>
            </w:r>
          </w:p>
        </w:tc>
        <w:tc>
          <w:tcPr>
            <w:tcW w:w="558" w:type="pct"/>
            <w:tcBorders>
              <w:top w:val="nil"/>
              <w:left w:val="nil"/>
              <w:bottom w:val="nil"/>
              <w:right w:val="nil"/>
            </w:tcBorders>
            <w:shd w:val="clear" w:color="auto" w:fill="auto"/>
            <w:noWrap/>
            <w:vAlign w:val="center"/>
            <w:hideMark/>
          </w:tcPr>
          <w:p w14:paraId="745A670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0.24 ± 0.193</w:t>
            </w:r>
          </w:p>
        </w:tc>
        <w:tc>
          <w:tcPr>
            <w:tcW w:w="558" w:type="pct"/>
            <w:tcBorders>
              <w:top w:val="nil"/>
              <w:left w:val="nil"/>
              <w:bottom w:val="nil"/>
              <w:right w:val="nil"/>
            </w:tcBorders>
            <w:shd w:val="clear" w:color="auto" w:fill="auto"/>
            <w:noWrap/>
            <w:vAlign w:val="center"/>
            <w:hideMark/>
          </w:tcPr>
          <w:p w14:paraId="4B30AE9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0.69 ± 0.368</w:t>
            </w:r>
          </w:p>
        </w:tc>
        <w:tc>
          <w:tcPr>
            <w:tcW w:w="558" w:type="pct"/>
            <w:tcBorders>
              <w:top w:val="nil"/>
              <w:left w:val="nil"/>
              <w:bottom w:val="nil"/>
              <w:right w:val="nil"/>
            </w:tcBorders>
            <w:shd w:val="clear" w:color="auto" w:fill="auto"/>
            <w:noWrap/>
            <w:vAlign w:val="center"/>
            <w:hideMark/>
          </w:tcPr>
          <w:p w14:paraId="25A7F37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1.00 ± 0.530</w:t>
            </w:r>
          </w:p>
        </w:tc>
        <w:tc>
          <w:tcPr>
            <w:tcW w:w="625" w:type="pct"/>
            <w:tcBorders>
              <w:top w:val="nil"/>
              <w:left w:val="nil"/>
              <w:bottom w:val="nil"/>
              <w:right w:val="nil"/>
            </w:tcBorders>
            <w:shd w:val="clear" w:color="auto" w:fill="auto"/>
            <w:noWrap/>
            <w:vAlign w:val="center"/>
            <w:hideMark/>
          </w:tcPr>
          <w:p w14:paraId="3734C133"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3.72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0.753</w:t>
            </w:r>
          </w:p>
        </w:tc>
        <w:tc>
          <w:tcPr>
            <w:tcW w:w="713" w:type="pct"/>
            <w:tcBorders>
              <w:top w:val="nil"/>
              <w:left w:val="nil"/>
              <w:bottom w:val="nil"/>
              <w:right w:val="nil"/>
            </w:tcBorders>
            <w:shd w:val="clear" w:color="auto" w:fill="auto"/>
            <w:noWrap/>
            <w:vAlign w:val="center"/>
            <w:hideMark/>
          </w:tcPr>
          <w:p w14:paraId="7DE4A39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5.53</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1.273</w:t>
            </w:r>
          </w:p>
        </w:tc>
      </w:tr>
      <w:tr w:rsidR="00EF65F1" w14:paraId="6CF9DDDE" w14:textId="77777777">
        <w:trPr>
          <w:trHeight w:val="300"/>
        </w:trPr>
        <w:tc>
          <w:tcPr>
            <w:tcW w:w="1430" w:type="pct"/>
            <w:tcBorders>
              <w:top w:val="nil"/>
              <w:left w:val="nil"/>
              <w:bottom w:val="nil"/>
              <w:right w:val="nil"/>
            </w:tcBorders>
            <w:shd w:val="clear" w:color="auto" w:fill="auto"/>
            <w:noWrap/>
            <w:vAlign w:val="center"/>
            <w:hideMark/>
          </w:tcPr>
          <w:p w14:paraId="186A6FA7"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558" w:type="pct"/>
            <w:tcBorders>
              <w:top w:val="nil"/>
              <w:left w:val="nil"/>
              <w:bottom w:val="nil"/>
              <w:right w:val="nil"/>
            </w:tcBorders>
            <w:shd w:val="clear" w:color="auto" w:fill="auto"/>
            <w:noWrap/>
            <w:vAlign w:val="center"/>
            <w:hideMark/>
          </w:tcPr>
          <w:p w14:paraId="464A2AB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0.08 ± 0.063</w:t>
            </w:r>
          </w:p>
        </w:tc>
        <w:tc>
          <w:tcPr>
            <w:tcW w:w="558" w:type="pct"/>
            <w:tcBorders>
              <w:top w:val="nil"/>
              <w:left w:val="nil"/>
              <w:bottom w:val="nil"/>
              <w:right w:val="nil"/>
            </w:tcBorders>
            <w:shd w:val="clear" w:color="auto" w:fill="auto"/>
            <w:noWrap/>
            <w:vAlign w:val="center"/>
            <w:hideMark/>
          </w:tcPr>
          <w:p w14:paraId="2656830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0.18 ± 0.121</w:t>
            </w:r>
          </w:p>
        </w:tc>
        <w:tc>
          <w:tcPr>
            <w:tcW w:w="558" w:type="pct"/>
            <w:tcBorders>
              <w:top w:val="nil"/>
              <w:left w:val="nil"/>
              <w:bottom w:val="nil"/>
              <w:right w:val="nil"/>
            </w:tcBorders>
            <w:shd w:val="clear" w:color="auto" w:fill="auto"/>
            <w:noWrap/>
            <w:vAlign w:val="center"/>
            <w:hideMark/>
          </w:tcPr>
          <w:p w14:paraId="5FED92B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0.60 ± 0.314</w:t>
            </w:r>
          </w:p>
        </w:tc>
        <w:tc>
          <w:tcPr>
            <w:tcW w:w="558" w:type="pct"/>
            <w:tcBorders>
              <w:top w:val="nil"/>
              <w:left w:val="nil"/>
              <w:bottom w:val="nil"/>
              <w:right w:val="nil"/>
            </w:tcBorders>
            <w:shd w:val="clear" w:color="auto" w:fill="auto"/>
            <w:noWrap/>
            <w:vAlign w:val="center"/>
            <w:hideMark/>
          </w:tcPr>
          <w:p w14:paraId="3823256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1.04 ± 0.502</w:t>
            </w:r>
          </w:p>
        </w:tc>
        <w:tc>
          <w:tcPr>
            <w:tcW w:w="625" w:type="pct"/>
            <w:tcBorders>
              <w:top w:val="nil"/>
              <w:left w:val="nil"/>
              <w:bottom w:val="nil"/>
              <w:right w:val="nil"/>
            </w:tcBorders>
            <w:shd w:val="clear" w:color="auto" w:fill="auto"/>
            <w:noWrap/>
            <w:vAlign w:val="center"/>
            <w:hideMark/>
          </w:tcPr>
          <w:p w14:paraId="375F3BA9"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3.00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1.102</w:t>
            </w:r>
          </w:p>
        </w:tc>
        <w:tc>
          <w:tcPr>
            <w:tcW w:w="713" w:type="pct"/>
            <w:tcBorders>
              <w:top w:val="nil"/>
              <w:left w:val="nil"/>
              <w:bottom w:val="nil"/>
              <w:right w:val="nil"/>
            </w:tcBorders>
            <w:shd w:val="clear" w:color="auto" w:fill="auto"/>
            <w:noWrap/>
            <w:vAlign w:val="center"/>
            <w:hideMark/>
          </w:tcPr>
          <w:p w14:paraId="5B80884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4.37</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1.893</w:t>
            </w:r>
          </w:p>
        </w:tc>
      </w:tr>
      <w:tr w:rsidR="00EF65F1" w14:paraId="3440D7DF" w14:textId="77777777">
        <w:trPr>
          <w:trHeight w:val="300"/>
        </w:trPr>
        <w:tc>
          <w:tcPr>
            <w:tcW w:w="1430" w:type="pct"/>
            <w:tcBorders>
              <w:top w:val="nil"/>
              <w:left w:val="nil"/>
              <w:bottom w:val="nil"/>
              <w:right w:val="nil"/>
            </w:tcBorders>
            <w:shd w:val="clear" w:color="auto" w:fill="auto"/>
            <w:noWrap/>
            <w:vAlign w:val="center"/>
            <w:hideMark/>
          </w:tcPr>
          <w:p w14:paraId="48C17D1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558" w:type="pct"/>
            <w:tcBorders>
              <w:top w:val="nil"/>
              <w:left w:val="nil"/>
              <w:bottom w:val="nil"/>
              <w:right w:val="nil"/>
            </w:tcBorders>
            <w:shd w:val="clear" w:color="auto" w:fill="auto"/>
            <w:noWrap/>
            <w:vAlign w:val="center"/>
            <w:hideMark/>
          </w:tcPr>
          <w:p w14:paraId="41E7D2E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0.015</w:t>
            </w:r>
          </w:p>
        </w:tc>
        <w:tc>
          <w:tcPr>
            <w:tcW w:w="558" w:type="pct"/>
            <w:tcBorders>
              <w:top w:val="nil"/>
              <w:left w:val="nil"/>
              <w:bottom w:val="nil"/>
              <w:right w:val="nil"/>
            </w:tcBorders>
            <w:shd w:val="clear" w:color="auto" w:fill="auto"/>
            <w:noWrap/>
            <w:vAlign w:val="center"/>
            <w:hideMark/>
          </w:tcPr>
          <w:p w14:paraId="7593176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0.23 ± 0.182</w:t>
            </w:r>
          </w:p>
        </w:tc>
        <w:tc>
          <w:tcPr>
            <w:tcW w:w="558" w:type="pct"/>
            <w:tcBorders>
              <w:top w:val="nil"/>
              <w:left w:val="nil"/>
              <w:bottom w:val="nil"/>
              <w:right w:val="nil"/>
            </w:tcBorders>
            <w:shd w:val="clear" w:color="auto" w:fill="auto"/>
            <w:noWrap/>
            <w:vAlign w:val="center"/>
            <w:hideMark/>
          </w:tcPr>
          <w:p w14:paraId="26F58D5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0.57 ± 0.362</w:t>
            </w:r>
          </w:p>
        </w:tc>
        <w:tc>
          <w:tcPr>
            <w:tcW w:w="558" w:type="pct"/>
            <w:tcBorders>
              <w:top w:val="nil"/>
              <w:left w:val="nil"/>
              <w:bottom w:val="nil"/>
              <w:right w:val="nil"/>
            </w:tcBorders>
            <w:shd w:val="clear" w:color="auto" w:fill="auto"/>
            <w:noWrap/>
            <w:vAlign w:val="center"/>
            <w:hideMark/>
          </w:tcPr>
          <w:p w14:paraId="353BB14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0.99 ± 0.670</w:t>
            </w:r>
          </w:p>
        </w:tc>
        <w:tc>
          <w:tcPr>
            <w:tcW w:w="625" w:type="pct"/>
            <w:tcBorders>
              <w:top w:val="nil"/>
              <w:left w:val="nil"/>
              <w:bottom w:val="nil"/>
              <w:right w:val="nil"/>
            </w:tcBorders>
            <w:shd w:val="clear" w:color="auto" w:fill="auto"/>
            <w:noWrap/>
            <w:vAlign w:val="center"/>
            <w:hideMark/>
          </w:tcPr>
          <w:p w14:paraId="4E0D8C05"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3.12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1.357</w:t>
            </w:r>
          </w:p>
        </w:tc>
        <w:tc>
          <w:tcPr>
            <w:tcW w:w="713" w:type="pct"/>
            <w:tcBorders>
              <w:top w:val="nil"/>
              <w:left w:val="nil"/>
              <w:bottom w:val="nil"/>
              <w:right w:val="nil"/>
            </w:tcBorders>
            <w:shd w:val="clear" w:color="auto" w:fill="auto"/>
            <w:noWrap/>
            <w:vAlign w:val="center"/>
            <w:hideMark/>
          </w:tcPr>
          <w:p w14:paraId="78C18CB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4.52</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2.588</w:t>
            </w:r>
          </w:p>
        </w:tc>
      </w:tr>
      <w:tr w:rsidR="00EF65F1" w14:paraId="5F804DDE" w14:textId="77777777">
        <w:trPr>
          <w:trHeight w:val="300"/>
        </w:trPr>
        <w:tc>
          <w:tcPr>
            <w:tcW w:w="1430" w:type="pct"/>
            <w:tcBorders>
              <w:top w:val="nil"/>
              <w:left w:val="nil"/>
              <w:bottom w:val="nil"/>
              <w:right w:val="nil"/>
            </w:tcBorders>
            <w:shd w:val="clear" w:color="auto" w:fill="auto"/>
            <w:noWrap/>
            <w:vAlign w:val="center"/>
            <w:hideMark/>
          </w:tcPr>
          <w:p w14:paraId="36A65C4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558" w:type="pct"/>
            <w:tcBorders>
              <w:top w:val="nil"/>
              <w:left w:val="nil"/>
              <w:bottom w:val="nil"/>
              <w:right w:val="nil"/>
            </w:tcBorders>
            <w:shd w:val="clear" w:color="auto" w:fill="auto"/>
            <w:noWrap/>
            <w:vAlign w:val="center"/>
            <w:hideMark/>
          </w:tcPr>
          <w:p w14:paraId="272E061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0.03 ± 0.014</w:t>
            </w:r>
          </w:p>
        </w:tc>
        <w:tc>
          <w:tcPr>
            <w:tcW w:w="558" w:type="pct"/>
            <w:tcBorders>
              <w:top w:val="nil"/>
              <w:left w:val="nil"/>
              <w:bottom w:val="nil"/>
              <w:right w:val="nil"/>
            </w:tcBorders>
            <w:shd w:val="clear" w:color="auto" w:fill="auto"/>
            <w:noWrap/>
            <w:vAlign w:val="center"/>
            <w:hideMark/>
          </w:tcPr>
          <w:p w14:paraId="2BABE64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0.12 ± 0.084</w:t>
            </w:r>
          </w:p>
        </w:tc>
        <w:tc>
          <w:tcPr>
            <w:tcW w:w="558" w:type="pct"/>
            <w:tcBorders>
              <w:top w:val="nil"/>
              <w:left w:val="nil"/>
              <w:bottom w:val="nil"/>
              <w:right w:val="nil"/>
            </w:tcBorders>
            <w:shd w:val="clear" w:color="auto" w:fill="auto"/>
            <w:noWrap/>
            <w:vAlign w:val="center"/>
            <w:hideMark/>
          </w:tcPr>
          <w:p w14:paraId="7CAE611F"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0.43 ± 0.136</w:t>
            </w:r>
          </w:p>
        </w:tc>
        <w:tc>
          <w:tcPr>
            <w:tcW w:w="558" w:type="pct"/>
            <w:tcBorders>
              <w:top w:val="nil"/>
              <w:left w:val="nil"/>
              <w:bottom w:val="nil"/>
              <w:right w:val="nil"/>
            </w:tcBorders>
            <w:shd w:val="clear" w:color="auto" w:fill="auto"/>
            <w:noWrap/>
            <w:vAlign w:val="center"/>
            <w:hideMark/>
          </w:tcPr>
          <w:p w14:paraId="48D0E3F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0.95 ± 0.288</w:t>
            </w:r>
          </w:p>
        </w:tc>
        <w:tc>
          <w:tcPr>
            <w:tcW w:w="625" w:type="pct"/>
            <w:tcBorders>
              <w:top w:val="nil"/>
              <w:left w:val="nil"/>
              <w:bottom w:val="nil"/>
              <w:right w:val="nil"/>
            </w:tcBorders>
            <w:shd w:val="clear" w:color="auto" w:fill="auto"/>
            <w:noWrap/>
            <w:vAlign w:val="center"/>
            <w:hideMark/>
          </w:tcPr>
          <w:p w14:paraId="10C63E65"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2.68</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0.673</w:t>
            </w:r>
          </w:p>
        </w:tc>
        <w:tc>
          <w:tcPr>
            <w:tcW w:w="713" w:type="pct"/>
            <w:tcBorders>
              <w:top w:val="nil"/>
              <w:left w:val="nil"/>
              <w:bottom w:val="nil"/>
              <w:right w:val="nil"/>
            </w:tcBorders>
            <w:shd w:val="clear" w:color="auto" w:fill="auto"/>
            <w:noWrap/>
            <w:vAlign w:val="center"/>
            <w:hideMark/>
          </w:tcPr>
          <w:p w14:paraId="20545CF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4.80</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1.807</w:t>
            </w:r>
          </w:p>
        </w:tc>
      </w:tr>
      <w:tr w:rsidR="00EF65F1" w14:paraId="2B62296C" w14:textId="77777777">
        <w:trPr>
          <w:trHeight w:val="300"/>
        </w:trPr>
        <w:tc>
          <w:tcPr>
            <w:tcW w:w="1430" w:type="pct"/>
            <w:tcBorders>
              <w:top w:val="nil"/>
              <w:left w:val="nil"/>
              <w:bottom w:val="nil"/>
              <w:right w:val="nil"/>
            </w:tcBorders>
            <w:shd w:val="clear" w:color="auto" w:fill="auto"/>
            <w:noWrap/>
            <w:vAlign w:val="center"/>
            <w:hideMark/>
          </w:tcPr>
          <w:p w14:paraId="5838366F"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558" w:type="pct"/>
            <w:tcBorders>
              <w:top w:val="nil"/>
              <w:left w:val="nil"/>
              <w:bottom w:val="nil"/>
              <w:right w:val="nil"/>
            </w:tcBorders>
            <w:shd w:val="clear" w:color="auto" w:fill="auto"/>
            <w:noWrap/>
            <w:vAlign w:val="center"/>
            <w:hideMark/>
          </w:tcPr>
          <w:p w14:paraId="7F8D12A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0.06 ± 0.031</w:t>
            </w:r>
          </w:p>
        </w:tc>
        <w:tc>
          <w:tcPr>
            <w:tcW w:w="558" w:type="pct"/>
            <w:tcBorders>
              <w:top w:val="nil"/>
              <w:left w:val="nil"/>
              <w:bottom w:val="nil"/>
              <w:right w:val="nil"/>
            </w:tcBorders>
            <w:shd w:val="clear" w:color="auto" w:fill="auto"/>
            <w:noWrap/>
            <w:vAlign w:val="center"/>
            <w:hideMark/>
          </w:tcPr>
          <w:p w14:paraId="62121BD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0.18 ± 0.132</w:t>
            </w:r>
          </w:p>
        </w:tc>
        <w:tc>
          <w:tcPr>
            <w:tcW w:w="558" w:type="pct"/>
            <w:tcBorders>
              <w:top w:val="nil"/>
              <w:left w:val="nil"/>
              <w:bottom w:val="nil"/>
              <w:right w:val="nil"/>
            </w:tcBorders>
            <w:shd w:val="clear" w:color="auto" w:fill="auto"/>
            <w:noWrap/>
            <w:vAlign w:val="center"/>
            <w:hideMark/>
          </w:tcPr>
          <w:p w14:paraId="6BC3BCE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0.51 ± 0.217</w:t>
            </w:r>
          </w:p>
        </w:tc>
        <w:tc>
          <w:tcPr>
            <w:tcW w:w="558" w:type="pct"/>
            <w:tcBorders>
              <w:top w:val="nil"/>
              <w:left w:val="nil"/>
              <w:bottom w:val="nil"/>
              <w:right w:val="nil"/>
            </w:tcBorders>
            <w:shd w:val="clear" w:color="auto" w:fill="auto"/>
            <w:noWrap/>
            <w:vAlign w:val="center"/>
            <w:hideMark/>
          </w:tcPr>
          <w:p w14:paraId="4F33F9E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0.95 ± 0.295</w:t>
            </w:r>
          </w:p>
        </w:tc>
        <w:tc>
          <w:tcPr>
            <w:tcW w:w="625" w:type="pct"/>
            <w:tcBorders>
              <w:top w:val="nil"/>
              <w:left w:val="nil"/>
              <w:bottom w:val="nil"/>
              <w:right w:val="nil"/>
            </w:tcBorders>
            <w:shd w:val="clear" w:color="auto" w:fill="auto"/>
            <w:noWrap/>
            <w:vAlign w:val="center"/>
            <w:hideMark/>
          </w:tcPr>
          <w:p w14:paraId="18064405"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2.43</w:t>
            </w:r>
            <w:r>
              <w:rPr>
                <w:rFonts w:ascii="Times New Roman" w:eastAsia="Times New Roman" w:hAnsi="Times New Roman" w:cs="Times New Roman"/>
                <w:color w:val="000000"/>
                <w:sz w:val="22"/>
                <w:szCs w:val="22"/>
                <w:vertAlign w:val="superscript"/>
                <w:lang w:eastAsia="en-ZA"/>
              </w:rPr>
              <w:t>b</w:t>
            </w:r>
            <w:r>
              <w:rPr>
                <w:rFonts w:ascii="Times New Roman" w:eastAsia="Times New Roman" w:hAnsi="Times New Roman" w:cs="Times New Roman"/>
                <w:color w:val="000000"/>
                <w:sz w:val="22"/>
                <w:szCs w:val="22"/>
                <w:lang w:eastAsia="en-ZA"/>
              </w:rPr>
              <w:t xml:space="preserve"> ± 1.368</w:t>
            </w:r>
          </w:p>
        </w:tc>
        <w:tc>
          <w:tcPr>
            <w:tcW w:w="713" w:type="pct"/>
            <w:tcBorders>
              <w:top w:val="nil"/>
              <w:left w:val="nil"/>
              <w:bottom w:val="nil"/>
              <w:right w:val="nil"/>
            </w:tcBorders>
            <w:shd w:val="clear" w:color="auto" w:fill="auto"/>
            <w:noWrap/>
            <w:vAlign w:val="center"/>
            <w:hideMark/>
          </w:tcPr>
          <w:p w14:paraId="436C436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4.15</w:t>
            </w:r>
            <w:r>
              <w:rPr>
                <w:rFonts w:ascii="Times New Roman" w:eastAsia="Times New Roman" w:hAnsi="Times New Roman" w:cs="Times New Roman"/>
                <w:color w:val="000000"/>
                <w:sz w:val="22"/>
                <w:szCs w:val="22"/>
                <w:vertAlign w:val="superscript"/>
                <w:lang w:eastAsia="en-ZA"/>
              </w:rPr>
              <w:t>b</w:t>
            </w:r>
            <w:r>
              <w:rPr>
                <w:rFonts w:ascii="Times New Roman" w:eastAsia="Times New Roman" w:hAnsi="Times New Roman" w:cs="Times New Roman"/>
                <w:color w:val="000000"/>
                <w:sz w:val="22"/>
                <w:szCs w:val="22"/>
                <w:lang w:eastAsia="en-ZA"/>
              </w:rPr>
              <w:t xml:space="preserve"> ± 1.925</w:t>
            </w:r>
          </w:p>
        </w:tc>
      </w:tr>
      <w:tr w:rsidR="00EF65F1" w14:paraId="0624922D" w14:textId="77777777">
        <w:trPr>
          <w:trHeight w:val="300"/>
        </w:trPr>
        <w:tc>
          <w:tcPr>
            <w:tcW w:w="1430" w:type="pct"/>
            <w:tcBorders>
              <w:top w:val="nil"/>
              <w:left w:val="nil"/>
              <w:bottom w:val="nil"/>
              <w:right w:val="nil"/>
            </w:tcBorders>
            <w:shd w:val="clear" w:color="auto" w:fill="auto"/>
            <w:noWrap/>
            <w:vAlign w:val="center"/>
            <w:hideMark/>
          </w:tcPr>
          <w:p w14:paraId="6FDBE2C2"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558" w:type="pct"/>
            <w:tcBorders>
              <w:top w:val="nil"/>
              <w:left w:val="nil"/>
              <w:bottom w:val="nil"/>
              <w:right w:val="nil"/>
            </w:tcBorders>
            <w:shd w:val="clear" w:color="auto" w:fill="auto"/>
            <w:noWrap/>
            <w:vAlign w:val="center"/>
            <w:hideMark/>
          </w:tcPr>
          <w:p w14:paraId="6197141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0.05 ± 0.037</w:t>
            </w:r>
          </w:p>
        </w:tc>
        <w:tc>
          <w:tcPr>
            <w:tcW w:w="558" w:type="pct"/>
            <w:tcBorders>
              <w:top w:val="nil"/>
              <w:left w:val="nil"/>
              <w:bottom w:val="nil"/>
              <w:right w:val="nil"/>
            </w:tcBorders>
            <w:shd w:val="clear" w:color="auto" w:fill="auto"/>
            <w:noWrap/>
            <w:vAlign w:val="center"/>
            <w:hideMark/>
          </w:tcPr>
          <w:p w14:paraId="7BEB0B6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0.16 ± 0.109</w:t>
            </w:r>
          </w:p>
        </w:tc>
        <w:tc>
          <w:tcPr>
            <w:tcW w:w="558" w:type="pct"/>
            <w:tcBorders>
              <w:top w:val="nil"/>
              <w:left w:val="nil"/>
              <w:bottom w:val="nil"/>
              <w:right w:val="nil"/>
            </w:tcBorders>
            <w:shd w:val="clear" w:color="auto" w:fill="auto"/>
            <w:noWrap/>
            <w:vAlign w:val="center"/>
            <w:hideMark/>
          </w:tcPr>
          <w:p w14:paraId="03204B3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0.41 ± 0.245</w:t>
            </w:r>
          </w:p>
        </w:tc>
        <w:tc>
          <w:tcPr>
            <w:tcW w:w="558" w:type="pct"/>
            <w:tcBorders>
              <w:top w:val="nil"/>
              <w:left w:val="nil"/>
              <w:bottom w:val="nil"/>
              <w:right w:val="nil"/>
            </w:tcBorders>
            <w:shd w:val="clear" w:color="auto" w:fill="auto"/>
            <w:noWrap/>
            <w:vAlign w:val="center"/>
            <w:hideMark/>
          </w:tcPr>
          <w:p w14:paraId="08F2B28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0.85 ± 0.551</w:t>
            </w:r>
          </w:p>
        </w:tc>
        <w:tc>
          <w:tcPr>
            <w:tcW w:w="625" w:type="pct"/>
            <w:tcBorders>
              <w:top w:val="nil"/>
              <w:left w:val="nil"/>
              <w:bottom w:val="nil"/>
              <w:right w:val="nil"/>
            </w:tcBorders>
            <w:shd w:val="clear" w:color="auto" w:fill="auto"/>
            <w:noWrap/>
            <w:vAlign w:val="center"/>
            <w:hideMark/>
          </w:tcPr>
          <w:p w14:paraId="61B7E9AB" w14:textId="77777777" w:rsidR="00EF65F1" w:rsidRDefault="00484A18">
            <w:pPr>
              <w:spacing w:after="0" w:line="240" w:lineRule="auto"/>
              <w:contextualSpacing/>
              <w:jc w:val="both"/>
              <w:rPr>
                <w:rFonts w:ascii="Times New Roman" w:eastAsia="Times New Roman" w:hAnsi="Times New Roman" w:cs="Times New Roman"/>
                <w:color w:val="000000"/>
                <w:sz w:val="22"/>
                <w:szCs w:val="22"/>
                <w:vertAlign w:val="superscript"/>
                <w:lang w:eastAsia="en-ZA"/>
              </w:rPr>
            </w:pPr>
            <w:r>
              <w:rPr>
                <w:rFonts w:ascii="Times New Roman" w:eastAsia="Times New Roman" w:hAnsi="Times New Roman" w:cs="Times New Roman"/>
                <w:color w:val="000000"/>
                <w:sz w:val="22"/>
                <w:szCs w:val="22"/>
                <w:lang w:eastAsia="en-ZA"/>
              </w:rPr>
              <w:t>2.68</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±.950</w:t>
            </w:r>
          </w:p>
        </w:tc>
        <w:tc>
          <w:tcPr>
            <w:tcW w:w="713" w:type="pct"/>
            <w:tcBorders>
              <w:top w:val="nil"/>
              <w:left w:val="nil"/>
              <w:bottom w:val="nil"/>
              <w:right w:val="nil"/>
            </w:tcBorders>
            <w:shd w:val="clear" w:color="auto" w:fill="auto"/>
            <w:noWrap/>
            <w:vAlign w:val="center"/>
            <w:hideMark/>
          </w:tcPr>
          <w:p w14:paraId="678C22E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5.01</w:t>
            </w:r>
            <w:r>
              <w:rPr>
                <w:rFonts w:ascii="Times New Roman" w:eastAsia="Times New Roman" w:hAnsi="Times New Roman" w:cs="Times New Roman"/>
                <w:color w:val="000000"/>
                <w:sz w:val="22"/>
                <w:szCs w:val="22"/>
                <w:vertAlign w:val="superscript"/>
                <w:lang w:eastAsia="en-ZA"/>
              </w:rPr>
              <w:t>ab</w:t>
            </w:r>
            <w:r>
              <w:rPr>
                <w:rFonts w:ascii="Times New Roman" w:eastAsia="Times New Roman" w:hAnsi="Times New Roman" w:cs="Times New Roman"/>
                <w:color w:val="000000"/>
                <w:sz w:val="22"/>
                <w:szCs w:val="22"/>
                <w:lang w:eastAsia="en-ZA"/>
              </w:rPr>
              <w:t xml:space="preserve"> ± 1.906</w:t>
            </w:r>
          </w:p>
        </w:tc>
      </w:tr>
      <w:tr w:rsidR="00EF65F1" w14:paraId="39FB9145" w14:textId="77777777">
        <w:trPr>
          <w:trHeight w:val="300"/>
        </w:trPr>
        <w:tc>
          <w:tcPr>
            <w:tcW w:w="1430" w:type="pct"/>
            <w:tcBorders>
              <w:top w:val="nil"/>
              <w:left w:val="nil"/>
              <w:bottom w:val="nil"/>
              <w:right w:val="nil"/>
            </w:tcBorders>
            <w:shd w:val="clear" w:color="auto" w:fill="auto"/>
            <w:noWrap/>
            <w:vAlign w:val="center"/>
            <w:hideMark/>
          </w:tcPr>
          <w:p w14:paraId="4408850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SEM</w:t>
            </w:r>
          </w:p>
        </w:tc>
        <w:tc>
          <w:tcPr>
            <w:tcW w:w="558" w:type="pct"/>
            <w:tcBorders>
              <w:top w:val="nil"/>
              <w:left w:val="nil"/>
              <w:bottom w:val="nil"/>
              <w:right w:val="nil"/>
            </w:tcBorders>
            <w:shd w:val="clear" w:color="auto" w:fill="auto"/>
            <w:noWrap/>
            <w:vAlign w:val="center"/>
            <w:hideMark/>
          </w:tcPr>
          <w:p w14:paraId="15E4AF6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0.008</w:t>
            </w:r>
          </w:p>
        </w:tc>
        <w:tc>
          <w:tcPr>
            <w:tcW w:w="558" w:type="pct"/>
            <w:tcBorders>
              <w:top w:val="nil"/>
              <w:left w:val="nil"/>
              <w:bottom w:val="nil"/>
              <w:right w:val="nil"/>
            </w:tcBorders>
            <w:shd w:val="clear" w:color="auto" w:fill="auto"/>
            <w:noWrap/>
            <w:vAlign w:val="center"/>
            <w:hideMark/>
          </w:tcPr>
          <w:p w14:paraId="012A6D1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0.022</w:t>
            </w:r>
          </w:p>
        </w:tc>
        <w:tc>
          <w:tcPr>
            <w:tcW w:w="558" w:type="pct"/>
            <w:tcBorders>
              <w:top w:val="nil"/>
              <w:left w:val="nil"/>
              <w:bottom w:val="nil"/>
              <w:right w:val="nil"/>
            </w:tcBorders>
            <w:shd w:val="clear" w:color="auto" w:fill="auto"/>
            <w:noWrap/>
            <w:vAlign w:val="center"/>
            <w:hideMark/>
          </w:tcPr>
          <w:p w14:paraId="53A807A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0.046</w:t>
            </w:r>
          </w:p>
        </w:tc>
        <w:tc>
          <w:tcPr>
            <w:tcW w:w="558" w:type="pct"/>
            <w:tcBorders>
              <w:top w:val="nil"/>
              <w:left w:val="nil"/>
              <w:bottom w:val="nil"/>
              <w:right w:val="nil"/>
            </w:tcBorders>
            <w:shd w:val="clear" w:color="auto" w:fill="auto"/>
            <w:noWrap/>
            <w:vAlign w:val="center"/>
            <w:hideMark/>
          </w:tcPr>
          <w:p w14:paraId="703AC55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0.075</w:t>
            </w:r>
          </w:p>
        </w:tc>
        <w:tc>
          <w:tcPr>
            <w:tcW w:w="625" w:type="pct"/>
            <w:tcBorders>
              <w:top w:val="nil"/>
              <w:left w:val="nil"/>
              <w:bottom w:val="nil"/>
              <w:right w:val="nil"/>
            </w:tcBorders>
            <w:shd w:val="clear" w:color="auto" w:fill="auto"/>
            <w:noWrap/>
            <w:vAlign w:val="center"/>
            <w:hideMark/>
          </w:tcPr>
          <w:p w14:paraId="19B1BC4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0.181</w:t>
            </w:r>
          </w:p>
        </w:tc>
        <w:tc>
          <w:tcPr>
            <w:tcW w:w="713" w:type="pct"/>
            <w:tcBorders>
              <w:top w:val="nil"/>
              <w:left w:val="nil"/>
              <w:bottom w:val="nil"/>
              <w:right w:val="nil"/>
            </w:tcBorders>
            <w:shd w:val="clear" w:color="auto" w:fill="auto"/>
            <w:noWrap/>
            <w:vAlign w:val="center"/>
            <w:hideMark/>
          </w:tcPr>
          <w:p w14:paraId="5291AF3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0.303</w:t>
            </w:r>
          </w:p>
        </w:tc>
      </w:tr>
      <w:tr w:rsidR="00EF65F1" w14:paraId="0D988FB8" w14:textId="77777777">
        <w:trPr>
          <w:trHeight w:val="315"/>
        </w:trPr>
        <w:tc>
          <w:tcPr>
            <w:tcW w:w="1430" w:type="pct"/>
            <w:tcBorders>
              <w:top w:val="nil"/>
              <w:left w:val="nil"/>
              <w:bottom w:val="single" w:sz="8" w:space="0" w:color="auto"/>
              <w:right w:val="nil"/>
            </w:tcBorders>
            <w:shd w:val="clear" w:color="auto" w:fill="auto"/>
            <w:noWrap/>
            <w:vAlign w:val="center"/>
            <w:hideMark/>
          </w:tcPr>
          <w:p w14:paraId="0300D811"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P-value</w:t>
            </w:r>
          </w:p>
        </w:tc>
        <w:tc>
          <w:tcPr>
            <w:tcW w:w="558" w:type="pct"/>
            <w:tcBorders>
              <w:top w:val="nil"/>
              <w:left w:val="nil"/>
              <w:bottom w:val="single" w:sz="8" w:space="0" w:color="auto"/>
              <w:right w:val="nil"/>
            </w:tcBorders>
            <w:shd w:val="clear" w:color="auto" w:fill="auto"/>
            <w:noWrap/>
            <w:vAlign w:val="center"/>
            <w:hideMark/>
          </w:tcPr>
          <w:p w14:paraId="526DA90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0.09</w:t>
            </w:r>
          </w:p>
        </w:tc>
        <w:tc>
          <w:tcPr>
            <w:tcW w:w="558" w:type="pct"/>
            <w:tcBorders>
              <w:top w:val="nil"/>
              <w:left w:val="nil"/>
              <w:bottom w:val="single" w:sz="8" w:space="0" w:color="auto"/>
              <w:right w:val="nil"/>
            </w:tcBorders>
            <w:shd w:val="clear" w:color="auto" w:fill="auto"/>
            <w:noWrap/>
            <w:vAlign w:val="center"/>
            <w:hideMark/>
          </w:tcPr>
          <w:p w14:paraId="53FACC8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0.07</w:t>
            </w:r>
          </w:p>
        </w:tc>
        <w:tc>
          <w:tcPr>
            <w:tcW w:w="558" w:type="pct"/>
            <w:tcBorders>
              <w:top w:val="nil"/>
              <w:left w:val="nil"/>
              <w:bottom w:val="single" w:sz="8" w:space="0" w:color="auto"/>
              <w:right w:val="nil"/>
            </w:tcBorders>
            <w:shd w:val="clear" w:color="auto" w:fill="auto"/>
            <w:noWrap/>
            <w:vAlign w:val="center"/>
            <w:hideMark/>
          </w:tcPr>
          <w:p w14:paraId="57867851"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0.43</w:t>
            </w:r>
          </w:p>
        </w:tc>
        <w:tc>
          <w:tcPr>
            <w:tcW w:w="558" w:type="pct"/>
            <w:tcBorders>
              <w:top w:val="nil"/>
              <w:left w:val="nil"/>
              <w:bottom w:val="single" w:sz="8" w:space="0" w:color="auto"/>
              <w:right w:val="nil"/>
            </w:tcBorders>
            <w:shd w:val="clear" w:color="auto" w:fill="auto"/>
            <w:noWrap/>
            <w:vAlign w:val="center"/>
            <w:hideMark/>
          </w:tcPr>
          <w:p w14:paraId="5CC2AA9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0.54</w:t>
            </w:r>
          </w:p>
        </w:tc>
        <w:tc>
          <w:tcPr>
            <w:tcW w:w="625" w:type="pct"/>
            <w:tcBorders>
              <w:top w:val="nil"/>
              <w:left w:val="nil"/>
              <w:bottom w:val="single" w:sz="8" w:space="0" w:color="auto"/>
              <w:right w:val="nil"/>
            </w:tcBorders>
            <w:shd w:val="clear" w:color="auto" w:fill="auto"/>
            <w:noWrap/>
            <w:vAlign w:val="center"/>
            <w:hideMark/>
          </w:tcPr>
          <w:p w14:paraId="33185E8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0.04</w:t>
            </w:r>
          </w:p>
        </w:tc>
        <w:tc>
          <w:tcPr>
            <w:tcW w:w="713" w:type="pct"/>
            <w:tcBorders>
              <w:top w:val="nil"/>
              <w:left w:val="nil"/>
              <w:bottom w:val="single" w:sz="8" w:space="0" w:color="auto"/>
              <w:right w:val="nil"/>
            </w:tcBorders>
            <w:shd w:val="clear" w:color="auto" w:fill="auto"/>
            <w:noWrap/>
            <w:vAlign w:val="center"/>
            <w:hideMark/>
          </w:tcPr>
          <w:p w14:paraId="48EED61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0.02</w:t>
            </w:r>
          </w:p>
        </w:tc>
      </w:tr>
      <w:tr w:rsidR="00EF65F1" w14:paraId="1869EB39" w14:textId="77777777">
        <w:trPr>
          <w:trHeight w:val="300"/>
        </w:trPr>
        <w:tc>
          <w:tcPr>
            <w:tcW w:w="3662" w:type="pct"/>
            <w:gridSpan w:val="5"/>
            <w:tcBorders>
              <w:top w:val="single" w:sz="4" w:space="0" w:color="auto"/>
              <w:left w:val="nil"/>
              <w:bottom w:val="nil"/>
              <w:right w:val="nil"/>
            </w:tcBorders>
            <w:shd w:val="clear" w:color="auto" w:fill="auto"/>
            <w:noWrap/>
            <w:vAlign w:val="bottom"/>
            <w:hideMark/>
          </w:tcPr>
          <w:p w14:paraId="30CE4B61" w14:textId="77777777" w:rsidR="00EF65F1" w:rsidRDefault="00484A18">
            <w:pPr>
              <w:spacing w:after="0" w:line="240" w:lineRule="auto"/>
              <w:contextualSpacing/>
              <w:jc w:val="both"/>
              <w:rPr>
                <w:rFonts w:ascii="Times New Roman" w:eastAsia="Times New Roman" w:hAnsi="Times New Roman" w:cs="Times New Roman"/>
                <w:color w:val="000000"/>
                <w:szCs w:val="20"/>
                <w:lang w:eastAsia="en-ZA"/>
              </w:rPr>
            </w:pPr>
            <w:r>
              <w:rPr>
                <w:rFonts w:ascii="Times New Roman" w:eastAsia="Times New Roman" w:hAnsi="Times New Roman" w:cs="Times New Roman"/>
                <w:color w:val="000000"/>
                <w:szCs w:val="20"/>
                <w:vertAlign w:val="superscript"/>
                <w:lang w:eastAsia="en-ZA"/>
              </w:rPr>
              <w:t xml:space="preserve">ab </w:t>
            </w:r>
            <w:r>
              <w:rPr>
                <w:rFonts w:ascii="Times New Roman" w:eastAsia="Times New Roman" w:hAnsi="Times New Roman" w:cs="Times New Roman"/>
                <w:color w:val="000000"/>
                <w:szCs w:val="20"/>
                <w:lang w:eastAsia="en-ZA"/>
              </w:rPr>
              <w:t>Within a column: Means with different superscripts differ (P &lt; 0.05)</w:t>
            </w:r>
          </w:p>
        </w:tc>
        <w:tc>
          <w:tcPr>
            <w:tcW w:w="625" w:type="pct"/>
            <w:tcBorders>
              <w:top w:val="nil"/>
              <w:left w:val="nil"/>
              <w:bottom w:val="nil"/>
              <w:right w:val="nil"/>
            </w:tcBorders>
            <w:shd w:val="clear" w:color="auto" w:fill="auto"/>
            <w:noWrap/>
            <w:vAlign w:val="bottom"/>
            <w:hideMark/>
          </w:tcPr>
          <w:p w14:paraId="752E914A" w14:textId="77777777" w:rsidR="00EF65F1" w:rsidRDefault="00EF65F1">
            <w:pPr>
              <w:spacing w:after="0" w:line="240" w:lineRule="auto"/>
              <w:contextualSpacing/>
              <w:jc w:val="both"/>
              <w:rPr>
                <w:rFonts w:ascii="Times New Roman" w:eastAsia="Times New Roman" w:hAnsi="Times New Roman" w:cs="Times New Roman"/>
                <w:color w:val="000000"/>
                <w:sz w:val="22"/>
                <w:szCs w:val="22"/>
                <w:lang w:eastAsia="en-ZA"/>
              </w:rPr>
            </w:pPr>
          </w:p>
        </w:tc>
        <w:tc>
          <w:tcPr>
            <w:tcW w:w="713" w:type="pct"/>
            <w:tcBorders>
              <w:top w:val="nil"/>
              <w:left w:val="nil"/>
              <w:bottom w:val="nil"/>
              <w:right w:val="nil"/>
            </w:tcBorders>
            <w:shd w:val="clear" w:color="auto" w:fill="auto"/>
            <w:noWrap/>
            <w:vAlign w:val="bottom"/>
            <w:hideMark/>
          </w:tcPr>
          <w:p w14:paraId="1688C7E9"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r w:rsidR="00EF65F1" w14:paraId="7BDCDC15" w14:textId="77777777">
        <w:trPr>
          <w:trHeight w:val="315"/>
        </w:trPr>
        <w:tc>
          <w:tcPr>
            <w:tcW w:w="3104" w:type="pct"/>
            <w:gridSpan w:val="4"/>
            <w:tcBorders>
              <w:top w:val="nil"/>
              <w:left w:val="nil"/>
              <w:bottom w:val="nil"/>
              <w:right w:val="nil"/>
            </w:tcBorders>
            <w:shd w:val="clear" w:color="auto" w:fill="auto"/>
            <w:noWrap/>
            <w:vAlign w:val="bottom"/>
          </w:tcPr>
          <w:p w14:paraId="32719850"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58" w:type="pct"/>
            <w:tcBorders>
              <w:top w:val="nil"/>
              <w:left w:val="nil"/>
              <w:bottom w:val="nil"/>
              <w:right w:val="nil"/>
            </w:tcBorders>
            <w:shd w:val="clear" w:color="auto" w:fill="auto"/>
            <w:noWrap/>
            <w:vAlign w:val="bottom"/>
            <w:hideMark/>
          </w:tcPr>
          <w:p w14:paraId="4AED0E27"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625" w:type="pct"/>
            <w:tcBorders>
              <w:top w:val="nil"/>
              <w:left w:val="nil"/>
              <w:bottom w:val="nil"/>
              <w:right w:val="nil"/>
            </w:tcBorders>
            <w:shd w:val="clear" w:color="auto" w:fill="auto"/>
            <w:noWrap/>
            <w:vAlign w:val="bottom"/>
            <w:hideMark/>
          </w:tcPr>
          <w:p w14:paraId="0344C6E3"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713" w:type="pct"/>
            <w:tcBorders>
              <w:top w:val="nil"/>
              <w:left w:val="nil"/>
              <w:bottom w:val="nil"/>
              <w:right w:val="nil"/>
            </w:tcBorders>
            <w:shd w:val="clear" w:color="auto" w:fill="auto"/>
            <w:noWrap/>
            <w:vAlign w:val="bottom"/>
            <w:hideMark/>
          </w:tcPr>
          <w:p w14:paraId="008EA858"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r w:rsidR="00EF65F1" w14:paraId="59EC5CAF" w14:textId="77777777">
        <w:trPr>
          <w:trHeight w:val="444"/>
        </w:trPr>
        <w:tc>
          <w:tcPr>
            <w:tcW w:w="3104" w:type="pct"/>
            <w:gridSpan w:val="4"/>
            <w:tcBorders>
              <w:top w:val="nil"/>
              <w:left w:val="nil"/>
              <w:bottom w:val="nil"/>
              <w:right w:val="nil"/>
            </w:tcBorders>
            <w:shd w:val="clear" w:color="auto" w:fill="auto"/>
            <w:noWrap/>
            <w:vAlign w:val="bottom"/>
          </w:tcPr>
          <w:p w14:paraId="62F41798"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558" w:type="pct"/>
            <w:tcBorders>
              <w:top w:val="nil"/>
              <w:left w:val="nil"/>
              <w:bottom w:val="nil"/>
              <w:right w:val="nil"/>
            </w:tcBorders>
            <w:shd w:val="clear" w:color="auto" w:fill="auto"/>
            <w:noWrap/>
            <w:vAlign w:val="bottom"/>
            <w:hideMark/>
          </w:tcPr>
          <w:p w14:paraId="493A06B3" w14:textId="77777777" w:rsidR="00EF65F1" w:rsidRDefault="00EF65F1">
            <w:pPr>
              <w:spacing w:after="0" w:line="240" w:lineRule="auto"/>
              <w:contextualSpacing/>
              <w:jc w:val="both"/>
              <w:rPr>
                <w:rFonts w:ascii="Times New Roman" w:eastAsia="Times New Roman" w:hAnsi="Times New Roman" w:cs="Times New Roman"/>
                <w:color w:val="000000"/>
                <w:szCs w:val="20"/>
                <w:lang w:eastAsia="en-ZA"/>
              </w:rPr>
            </w:pPr>
          </w:p>
        </w:tc>
        <w:tc>
          <w:tcPr>
            <w:tcW w:w="625" w:type="pct"/>
            <w:tcBorders>
              <w:top w:val="nil"/>
              <w:left w:val="nil"/>
              <w:bottom w:val="nil"/>
              <w:right w:val="nil"/>
            </w:tcBorders>
            <w:shd w:val="clear" w:color="auto" w:fill="auto"/>
            <w:noWrap/>
            <w:vAlign w:val="bottom"/>
            <w:hideMark/>
          </w:tcPr>
          <w:p w14:paraId="521FCAC2"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713" w:type="pct"/>
            <w:tcBorders>
              <w:top w:val="nil"/>
              <w:left w:val="nil"/>
              <w:bottom w:val="nil"/>
              <w:right w:val="nil"/>
            </w:tcBorders>
            <w:shd w:val="clear" w:color="auto" w:fill="auto"/>
            <w:noWrap/>
            <w:vAlign w:val="bottom"/>
            <w:hideMark/>
          </w:tcPr>
          <w:p w14:paraId="28B24421"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bl>
    <w:p w14:paraId="5BAC9657" w14:textId="77777777" w:rsidR="00EF65F1" w:rsidRDefault="00484A18">
      <w:pPr>
        <w:jc w:val="both"/>
        <w:rPr>
          <w:rFonts w:ascii="Times New Roman" w:hAnsi="Times New Roman" w:cs="Times New Roman"/>
          <w:iCs/>
          <w:sz w:val="24"/>
          <w:szCs w:val="24"/>
          <w:lang w:val="en-GB"/>
        </w:rPr>
      </w:pPr>
      <w:r>
        <w:rPr>
          <w:rFonts w:ascii="Times New Roman" w:hAnsi="Times New Roman" w:cs="Times New Roman"/>
          <w:i/>
          <w:sz w:val="24"/>
          <w:szCs w:val="24"/>
        </w:rPr>
        <w:br w:type="page"/>
      </w:r>
    </w:p>
    <w:p w14:paraId="07106F9C" w14:textId="30AA2776" w:rsidR="00EF65F1" w:rsidRDefault="00484A18">
      <w:pPr>
        <w:pStyle w:val="Caption"/>
        <w:keepNext/>
        <w:spacing w:after="0" w:line="360" w:lineRule="auto"/>
        <w:contextualSpacing/>
        <w:jc w:val="both"/>
        <w:rPr>
          <w:rFonts w:ascii="Times New Roman" w:hAnsi="Times New Roman" w:cs="Times New Roman"/>
          <w:i w:val="0"/>
          <w:color w:val="auto"/>
          <w:sz w:val="24"/>
          <w:szCs w:val="24"/>
        </w:rPr>
      </w:pPr>
      <w:bookmarkStart w:id="189" w:name="_Toc2349144"/>
      <w:r>
        <w:rPr>
          <w:rFonts w:ascii="Times New Roman" w:hAnsi="Times New Roman" w:cs="Times New Roman"/>
          <w:i w:val="0"/>
          <w:color w:val="auto"/>
          <w:sz w:val="24"/>
          <w:szCs w:val="24"/>
        </w:rPr>
        <w:lastRenderedPageBreak/>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6</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Cumulative methane volumes (mL CH</w:t>
      </w:r>
      <w:r>
        <w:rPr>
          <w:rFonts w:ascii="Times New Roman" w:hAnsi="Times New Roman" w:cs="Times New Roman"/>
          <w:i w:val="0"/>
          <w:color w:val="auto"/>
          <w:sz w:val="24"/>
          <w:szCs w:val="24"/>
          <w:vertAlign w:val="subscript"/>
        </w:rPr>
        <w:t>4</w:t>
      </w:r>
      <w:r>
        <w:rPr>
          <w:rFonts w:ascii="Times New Roman" w:hAnsi="Times New Roman" w:cs="Times New Roman"/>
          <w:i w:val="0"/>
          <w:color w:val="auto"/>
          <w:sz w:val="24"/>
          <w:szCs w:val="24"/>
        </w:rPr>
        <w:t xml:space="preserve"> /g DM) of seven plant extracts analysed at 300 and 600 mg/kg DM dose level</w:t>
      </w:r>
      <w:bookmarkEnd w:id="189"/>
    </w:p>
    <w:tbl>
      <w:tblPr>
        <w:tblW w:w="4895" w:type="pct"/>
        <w:tblLook w:val="04A0" w:firstRow="1" w:lastRow="0" w:firstColumn="1" w:lastColumn="0" w:noHBand="0" w:noVBand="1"/>
      </w:tblPr>
      <w:tblGrid>
        <w:gridCol w:w="1385"/>
        <w:gridCol w:w="326"/>
        <w:gridCol w:w="1082"/>
        <w:gridCol w:w="576"/>
        <w:gridCol w:w="1658"/>
        <w:gridCol w:w="1679"/>
        <w:gridCol w:w="1679"/>
        <w:gridCol w:w="317"/>
        <w:gridCol w:w="1342"/>
        <w:gridCol w:w="1679"/>
        <w:gridCol w:w="1679"/>
        <w:gridCol w:w="1673"/>
      </w:tblGrid>
      <w:tr w:rsidR="00EF65F1" w14:paraId="77E7BB81" w14:textId="77777777">
        <w:trPr>
          <w:trHeight w:val="270"/>
        </w:trPr>
        <w:tc>
          <w:tcPr>
            <w:tcW w:w="567" w:type="pct"/>
            <w:gridSpan w:val="2"/>
            <w:tcBorders>
              <w:top w:val="single" w:sz="4" w:space="0" w:color="auto"/>
              <w:left w:val="nil"/>
              <w:bottom w:val="single" w:sz="8" w:space="0" w:color="auto"/>
              <w:right w:val="nil"/>
            </w:tcBorders>
            <w:shd w:val="clear" w:color="auto" w:fill="auto"/>
            <w:noWrap/>
            <w:vAlign w:val="bottom"/>
            <w:hideMark/>
          </w:tcPr>
          <w:p w14:paraId="1C966BA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 </w:t>
            </w:r>
          </w:p>
        </w:tc>
        <w:tc>
          <w:tcPr>
            <w:tcW w:w="359" w:type="pct"/>
            <w:tcBorders>
              <w:top w:val="single" w:sz="4" w:space="0" w:color="auto"/>
              <w:left w:val="nil"/>
              <w:bottom w:val="single" w:sz="8" w:space="0" w:color="auto"/>
              <w:right w:val="nil"/>
            </w:tcBorders>
            <w:shd w:val="clear" w:color="auto" w:fill="auto"/>
            <w:noWrap/>
            <w:vAlign w:val="bottom"/>
            <w:hideMark/>
          </w:tcPr>
          <w:p w14:paraId="51AC66B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 </w:t>
            </w:r>
          </w:p>
        </w:tc>
        <w:tc>
          <w:tcPr>
            <w:tcW w:w="4074" w:type="pct"/>
            <w:gridSpan w:val="9"/>
            <w:tcBorders>
              <w:top w:val="single" w:sz="4" w:space="0" w:color="auto"/>
              <w:left w:val="nil"/>
              <w:bottom w:val="single" w:sz="8" w:space="0" w:color="auto"/>
              <w:right w:val="nil"/>
            </w:tcBorders>
            <w:shd w:val="clear" w:color="auto" w:fill="auto"/>
            <w:noWrap/>
            <w:vAlign w:val="bottom"/>
            <w:hideMark/>
          </w:tcPr>
          <w:p w14:paraId="5DED6926" w14:textId="77777777" w:rsidR="00EF65F1" w:rsidRDefault="00484A18">
            <w:pPr>
              <w:spacing w:after="0" w:line="240" w:lineRule="auto"/>
              <w:contextualSpacing/>
              <w:jc w:val="center"/>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 xml:space="preserve">Mean ± SD </w:t>
            </w:r>
            <w:r>
              <w:rPr>
                <w:rFonts w:ascii="Times New Roman" w:hAnsi="Times New Roman" w:cs="Times New Roman"/>
                <w:sz w:val="24"/>
                <w:szCs w:val="24"/>
              </w:rPr>
              <w:t>(mL CH</w:t>
            </w:r>
            <w:r>
              <w:rPr>
                <w:rFonts w:ascii="Times New Roman" w:hAnsi="Times New Roman" w:cs="Times New Roman"/>
                <w:sz w:val="24"/>
                <w:szCs w:val="24"/>
                <w:vertAlign w:val="subscript"/>
              </w:rPr>
              <w:t>4</w:t>
            </w:r>
            <w:r>
              <w:rPr>
                <w:rFonts w:ascii="Times New Roman" w:hAnsi="Times New Roman" w:cs="Times New Roman"/>
                <w:sz w:val="24"/>
                <w:szCs w:val="24"/>
              </w:rPr>
              <w:t xml:space="preserve"> /g DM)</w:t>
            </w:r>
          </w:p>
        </w:tc>
      </w:tr>
      <w:tr w:rsidR="00EF65F1" w14:paraId="720249B2" w14:textId="77777777">
        <w:trPr>
          <w:trHeight w:val="735"/>
        </w:trPr>
        <w:tc>
          <w:tcPr>
            <w:tcW w:w="459" w:type="pct"/>
            <w:tcBorders>
              <w:top w:val="nil"/>
              <w:left w:val="nil"/>
              <w:bottom w:val="single" w:sz="8" w:space="0" w:color="auto"/>
              <w:right w:val="nil"/>
            </w:tcBorders>
            <w:shd w:val="clear" w:color="auto" w:fill="auto"/>
            <w:noWrap/>
            <w:vAlign w:val="bottom"/>
            <w:hideMark/>
          </w:tcPr>
          <w:p w14:paraId="101148D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Time Period</w:t>
            </w:r>
          </w:p>
        </w:tc>
        <w:tc>
          <w:tcPr>
            <w:tcW w:w="658" w:type="pct"/>
            <w:gridSpan w:val="3"/>
            <w:tcBorders>
              <w:top w:val="nil"/>
              <w:left w:val="nil"/>
              <w:bottom w:val="single" w:sz="8" w:space="0" w:color="auto"/>
              <w:right w:val="nil"/>
            </w:tcBorders>
            <w:shd w:val="clear" w:color="auto" w:fill="auto"/>
            <w:noWrap/>
            <w:vAlign w:val="bottom"/>
            <w:hideMark/>
          </w:tcPr>
          <w:p w14:paraId="022509A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Dose</w:t>
            </w:r>
          </w:p>
        </w:tc>
        <w:tc>
          <w:tcPr>
            <w:tcW w:w="550" w:type="pct"/>
            <w:tcBorders>
              <w:top w:val="nil"/>
              <w:left w:val="nil"/>
              <w:bottom w:val="single" w:sz="8" w:space="0" w:color="auto"/>
              <w:right w:val="nil"/>
            </w:tcBorders>
            <w:shd w:val="clear" w:color="auto" w:fill="auto"/>
            <w:vAlign w:val="center"/>
            <w:hideMark/>
          </w:tcPr>
          <w:p w14:paraId="61EFE418"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Combretum erythrophyllum</w:t>
            </w:r>
          </w:p>
        </w:tc>
        <w:tc>
          <w:tcPr>
            <w:tcW w:w="557" w:type="pct"/>
            <w:tcBorders>
              <w:top w:val="nil"/>
              <w:left w:val="nil"/>
              <w:bottom w:val="single" w:sz="8" w:space="0" w:color="auto"/>
              <w:right w:val="nil"/>
            </w:tcBorders>
            <w:shd w:val="clear" w:color="auto" w:fill="auto"/>
            <w:vAlign w:val="center"/>
            <w:hideMark/>
          </w:tcPr>
          <w:p w14:paraId="4B0E4ECD"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Dodonaea viscosa</w:t>
            </w:r>
          </w:p>
        </w:tc>
        <w:tc>
          <w:tcPr>
            <w:tcW w:w="557" w:type="pct"/>
            <w:tcBorders>
              <w:top w:val="nil"/>
              <w:left w:val="nil"/>
              <w:bottom w:val="single" w:sz="8" w:space="0" w:color="auto"/>
              <w:right w:val="nil"/>
            </w:tcBorders>
            <w:shd w:val="clear" w:color="auto" w:fill="auto"/>
            <w:vAlign w:val="center"/>
            <w:hideMark/>
          </w:tcPr>
          <w:p w14:paraId="7EF1F665"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Heteropyxis natalensis</w:t>
            </w:r>
          </w:p>
        </w:tc>
        <w:tc>
          <w:tcPr>
            <w:tcW w:w="550" w:type="pct"/>
            <w:gridSpan w:val="2"/>
            <w:tcBorders>
              <w:top w:val="nil"/>
              <w:left w:val="nil"/>
              <w:bottom w:val="single" w:sz="8" w:space="0" w:color="auto"/>
              <w:right w:val="nil"/>
            </w:tcBorders>
            <w:shd w:val="clear" w:color="auto" w:fill="auto"/>
            <w:vAlign w:val="center"/>
            <w:hideMark/>
          </w:tcPr>
          <w:p w14:paraId="23867E6C"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Sclerocarya birrea</w:t>
            </w:r>
          </w:p>
        </w:tc>
        <w:tc>
          <w:tcPr>
            <w:tcW w:w="557" w:type="pct"/>
            <w:tcBorders>
              <w:top w:val="nil"/>
              <w:left w:val="nil"/>
              <w:bottom w:val="single" w:sz="8" w:space="0" w:color="auto"/>
              <w:right w:val="nil"/>
            </w:tcBorders>
            <w:shd w:val="clear" w:color="auto" w:fill="auto"/>
            <w:vAlign w:val="center"/>
            <w:hideMark/>
          </w:tcPr>
          <w:p w14:paraId="79ACC747"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Erythrina lysistemon</w:t>
            </w:r>
          </w:p>
        </w:tc>
        <w:tc>
          <w:tcPr>
            <w:tcW w:w="557" w:type="pct"/>
            <w:tcBorders>
              <w:top w:val="nil"/>
              <w:left w:val="nil"/>
              <w:bottom w:val="single" w:sz="8" w:space="0" w:color="auto"/>
              <w:right w:val="nil"/>
            </w:tcBorders>
            <w:shd w:val="clear" w:color="auto" w:fill="auto"/>
            <w:vAlign w:val="center"/>
            <w:hideMark/>
          </w:tcPr>
          <w:p w14:paraId="7465EB05"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Searsia chirindensis</w:t>
            </w:r>
          </w:p>
        </w:tc>
        <w:tc>
          <w:tcPr>
            <w:tcW w:w="558" w:type="pct"/>
            <w:tcBorders>
              <w:top w:val="nil"/>
              <w:left w:val="nil"/>
              <w:bottom w:val="single" w:sz="8" w:space="0" w:color="auto"/>
              <w:right w:val="nil"/>
            </w:tcBorders>
            <w:shd w:val="clear" w:color="auto" w:fill="auto"/>
            <w:vAlign w:val="center"/>
            <w:hideMark/>
          </w:tcPr>
          <w:p w14:paraId="04F62551"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Halleria lucida</w:t>
            </w:r>
          </w:p>
        </w:tc>
      </w:tr>
      <w:tr w:rsidR="00EF65F1" w14:paraId="7CD74144" w14:textId="77777777">
        <w:trPr>
          <w:trHeight w:val="259"/>
        </w:trPr>
        <w:tc>
          <w:tcPr>
            <w:tcW w:w="459" w:type="pct"/>
            <w:tcBorders>
              <w:top w:val="nil"/>
              <w:left w:val="nil"/>
              <w:bottom w:val="nil"/>
              <w:right w:val="nil"/>
            </w:tcBorders>
            <w:shd w:val="clear" w:color="auto" w:fill="auto"/>
            <w:noWrap/>
            <w:vAlign w:val="center"/>
            <w:hideMark/>
          </w:tcPr>
          <w:p w14:paraId="5CD2377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2h</w:t>
            </w:r>
          </w:p>
        </w:tc>
        <w:tc>
          <w:tcPr>
            <w:tcW w:w="658" w:type="pct"/>
            <w:gridSpan w:val="3"/>
            <w:tcBorders>
              <w:top w:val="nil"/>
              <w:left w:val="nil"/>
              <w:bottom w:val="nil"/>
              <w:right w:val="nil"/>
            </w:tcBorders>
            <w:shd w:val="clear" w:color="auto" w:fill="auto"/>
            <w:vAlign w:val="center"/>
            <w:hideMark/>
          </w:tcPr>
          <w:p w14:paraId="07A779C6"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3EF75FB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7" w:type="pct"/>
            <w:tcBorders>
              <w:top w:val="nil"/>
              <w:left w:val="nil"/>
              <w:bottom w:val="nil"/>
              <w:right w:val="nil"/>
            </w:tcBorders>
            <w:shd w:val="clear" w:color="auto" w:fill="auto"/>
            <w:noWrap/>
            <w:vAlign w:val="center"/>
            <w:hideMark/>
          </w:tcPr>
          <w:p w14:paraId="331FF7E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7" w:type="pct"/>
            <w:tcBorders>
              <w:top w:val="nil"/>
              <w:left w:val="nil"/>
              <w:bottom w:val="nil"/>
              <w:right w:val="nil"/>
            </w:tcBorders>
            <w:shd w:val="clear" w:color="auto" w:fill="auto"/>
            <w:noWrap/>
            <w:vAlign w:val="center"/>
            <w:hideMark/>
          </w:tcPr>
          <w:p w14:paraId="6C77100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0" w:type="pct"/>
            <w:gridSpan w:val="2"/>
            <w:tcBorders>
              <w:top w:val="nil"/>
              <w:left w:val="nil"/>
              <w:bottom w:val="nil"/>
              <w:right w:val="nil"/>
            </w:tcBorders>
            <w:shd w:val="clear" w:color="auto" w:fill="auto"/>
            <w:noWrap/>
            <w:vAlign w:val="center"/>
            <w:hideMark/>
          </w:tcPr>
          <w:p w14:paraId="2EAE704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7" w:type="pct"/>
            <w:tcBorders>
              <w:top w:val="nil"/>
              <w:left w:val="nil"/>
              <w:bottom w:val="nil"/>
              <w:right w:val="nil"/>
            </w:tcBorders>
            <w:shd w:val="clear" w:color="auto" w:fill="auto"/>
            <w:noWrap/>
            <w:vAlign w:val="center"/>
            <w:hideMark/>
          </w:tcPr>
          <w:p w14:paraId="7515186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7" w:type="pct"/>
            <w:tcBorders>
              <w:top w:val="nil"/>
              <w:left w:val="nil"/>
              <w:bottom w:val="nil"/>
              <w:right w:val="nil"/>
            </w:tcBorders>
            <w:shd w:val="clear" w:color="auto" w:fill="auto"/>
            <w:noWrap/>
            <w:vAlign w:val="center"/>
            <w:hideMark/>
          </w:tcPr>
          <w:p w14:paraId="4555D00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c>
          <w:tcPr>
            <w:tcW w:w="558" w:type="pct"/>
            <w:tcBorders>
              <w:top w:val="nil"/>
              <w:left w:val="nil"/>
              <w:bottom w:val="nil"/>
              <w:right w:val="nil"/>
            </w:tcBorders>
            <w:shd w:val="clear" w:color="auto" w:fill="auto"/>
            <w:noWrap/>
            <w:vAlign w:val="center"/>
            <w:hideMark/>
          </w:tcPr>
          <w:p w14:paraId="081A87C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0.011</w:t>
            </w:r>
          </w:p>
        </w:tc>
      </w:tr>
      <w:tr w:rsidR="00EF65F1" w14:paraId="17FDACEC" w14:textId="77777777">
        <w:trPr>
          <w:trHeight w:val="259"/>
        </w:trPr>
        <w:tc>
          <w:tcPr>
            <w:tcW w:w="459" w:type="pct"/>
            <w:tcBorders>
              <w:top w:val="nil"/>
              <w:left w:val="nil"/>
              <w:bottom w:val="nil"/>
              <w:right w:val="nil"/>
            </w:tcBorders>
            <w:shd w:val="clear" w:color="auto" w:fill="auto"/>
            <w:noWrap/>
            <w:vAlign w:val="bottom"/>
            <w:hideMark/>
          </w:tcPr>
          <w:p w14:paraId="68EFD073"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531CCAA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1296703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0.10 ± 0.089</w:t>
            </w:r>
          </w:p>
        </w:tc>
        <w:tc>
          <w:tcPr>
            <w:tcW w:w="557" w:type="pct"/>
            <w:tcBorders>
              <w:top w:val="nil"/>
              <w:left w:val="nil"/>
              <w:bottom w:val="nil"/>
              <w:right w:val="nil"/>
            </w:tcBorders>
            <w:shd w:val="clear" w:color="auto" w:fill="auto"/>
            <w:noWrap/>
            <w:vAlign w:val="center"/>
            <w:hideMark/>
          </w:tcPr>
          <w:p w14:paraId="305A91E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0.06 ± 0.049</w:t>
            </w:r>
          </w:p>
        </w:tc>
        <w:tc>
          <w:tcPr>
            <w:tcW w:w="557" w:type="pct"/>
            <w:tcBorders>
              <w:top w:val="nil"/>
              <w:left w:val="nil"/>
              <w:bottom w:val="nil"/>
              <w:right w:val="nil"/>
            </w:tcBorders>
            <w:shd w:val="clear" w:color="auto" w:fill="auto"/>
            <w:noWrap/>
            <w:vAlign w:val="center"/>
            <w:hideMark/>
          </w:tcPr>
          <w:p w14:paraId="1D9CABD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0.09 ± 0.083</w:t>
            </w:r>
          </w:p>
        </w:tc>
        <w:tc>
          <w:tcPr>
            <w:tcW w:w="550" w:type="pct"/>
            <w:gridSpan w:val="2"/>
            <w:tcBorders>
              <w:top w:val="nil"/>
              <w:left w:val="nil"/>
              <w:bottom w:val="nil"/>
              <w:right w:val="nil"/>
            </w:tcBorders>
            <w:shd w:val="clear" w:color="auto" w:fill="auto"/>
            <w:noWrap/>
            <w:vAlign w:val="center"/>
            <w:hideMark/>
          </w:tcPr>
          <w:p w14:paraId="1E79AEF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0.05 ± 0.048</w:t>
            </w:r>
          </w:p>
        </w:tc>
        <w:tc>
          <w:tcPr>
            <w:tcW w:w="557" w:type="pct"/>
            <w:tcBorders>
              <w:top w:val="nil"/>
              <w:left w:val="nil"/>
              <w:bottom w:val="nil"/>
              <w:right w:val="nil"/>
            </w:tcBorders>
            <w:shd w:val="clear" w:color="auto" w:fill="auto"/>
            <w:noWrap/>
            <w:vAlign w:val="center"/>
            <w:hideMark/>
          </w:tcPr>
          <w:p w14:paraId="3D3A6C0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0.04 ± 0.025</w:t>
            </w:r>
          </w:p>
        </w:tc>
        <w:tc>
          <w:tcPr>
            <w:tcW w:w="557" w:type="pct"/>
            <w:tcBorders>
              <w:top w:val="nil"/>
              <w:left w:val="nil"/>
              <w:bottom w:val="nil"/>
              <w:right w:val="nil"/>
            </w:tcBorders>
            <w:shd w:val="clear" w:color="auto" w:fill="auto"/>
            <w:noWrap/>
            <w:vAlign w:val="center"/>
            <w:hideMark/>
          </w:tcPr>
          <w:p w14:paraId="055060F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0.07 ± 0.038</w:t>
            </w:r>
          </w:p>
        </w:tc>
        <w:tc>
          <w:tcPr>
            <w:tcW w:w="558" w:type="pct"/>
            <w:tcBorders>
              <w:top w:val="nil"/>
              <w:left w:val="nil"/>
              <w:bottom w:val="nil"/>
              <w:right w:val="nil"/>
            </w:tcBorders>
            <w:shd w:val="clear" w:color="auto" w:fill="auto"/>
            <w:noWrap/>
            <w:vAlign w:val="center"/>
            <w:hideMark/>
          </w:tcPr>
          <w:p w14:paraId="77A5356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0.02 ± 0.010</w:t>
            </w:r>
          </w:p>
        </w:tc>
      </w:tr>
      <w:tr w:rsidR="00EF65F1" w14:paraId="63D1663D" w14:textId="77777777">
        <w:trPr>
          <w:trHeight w:val="259"/>
        </w:trPr>
        <w:tc>
          <w:tcPr>
            <w:tcW w:w="459" w:type="pct"/>
            <w:tcBorders>
              <w:top w:val="nil"/>
              <w:left w:val="nil"/>
              <w:bottom w:val="nil"/>
              <w:right w:val="nil"/>
            </w:tcBorders>
            <w:shd w:val="clear" w:color="auto" w:fill="auto"/>
            <w:noWrap/>
            <w:vAlign w:val="bottom"/>
            <w:hideMark/>
          </w:tcPr>
          <w:p w14:paraId="79DF95C0"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1180D38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164071D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0.05 ± 0.046</w:t>
            </w:r>
          </w:p>
        </w:tc>
        <w:tc>
          <w:tcPr>
            <w:tcW w:w="557" w:type="pct"/>
            <w:tcBorders>
              <w:top w:val="nil"/>
              <w:left w:val="nil"/>
              <w:bottom w:val="nil"/>
              <w:right w:val="nil"/>
            </w:tcBorders>
            <w:shd w:val="clear" w:color="auto" w:fill="auto"/>
            <w:noWrap/>
            <w:vAlign w:val="center"/>
            <w:hideMark/>
          </w:tcPr>
          <w:p w14:paraId="415AE4C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0.11 ± 0.095</w:t>
            </w:r>
          </w:p>
        </w:tc>
        <w:tc>
          <w:tcPr>
            <w:tcW w:w="557" w:type="pct"/>
            <w:tcBorders>
              <w:top w:val="nil"/>
              <w:left w:val="nil"/>
              <w:bottom w:val="nil"/>
              <w:right w:val="nil"/>
            </w:tcBorders>
            <w:shd w:val="clear" w:color="auto" w:fill="auto"/>
            <w:noWrap/>
            <w:vAlign w:val="center"/>
            <w:hideMark/>
          </w:tcPr>
          <w:p w14:paraId="570739D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0.08 ± 0.063</w:t>
            </w:r>
          </w:p>
        </w:tc>
        <w:tc>
          <w:tcPr>
            <w:tcW w:w="550" w:type="pct"/>
            <w:gridSpan w:val="2"/>
            <w:tcBorders>
              <w:top w:val="nil"/>
              <w:left w:val="nil"/>
              <w:bottom w:val="nil"/>
              <w:right w:val="nil"/>
            </w:tcBorders>
            <w:shd w:val="clear" w:color="auto" w:fill="auto"/>
            <w:noWrap/>
            <w:vAlign w:val="center"/>
            <w:hideMark/>
          </w:tcPr>
          <w:p w14:paraId="4B43235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0.015</w:t>
            </w:r>
          </w:p>
        </w:tc>
        <w:tc>
          <w:tcPr>
            <w:tcW w:w="557" w:type="pct"/>
            <w:tcBorders>
              <w:top w:val="nil"/>
              <w:left w:val="nil"/>
              <w:bottom w:val="nil"/>
              <w:right w:val="nil"/>
            </w:tcBorders>
            <w:shd w:val="clear" w:color="auto" w:fill="auto"/>
            <w:noWrap/>
            <w:vAlign w:val="center"/>
            <w:hideMark/>
          </w:tcPr>
          <w:p w14:paraId="69AF442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0.03 ± 0.014</w:t>
            </w:r>
          </w:p>
        </w:tc>
        <w:tc>
          <w:tcPr>
            <w:tcW w:w="557" w:type="pct"/>
            <w:tcBorders>
              <w:top w:val="nil"/>
              <w:left w:val="nil"/>
              <w:bottom w:val="nil"/>
              <w:right w:val="nil"/>
            </w:tcBorders>
            <w:shd w:val="clear" w:color="auto" w:fill="auto"/>
            <w:noWrap/>
            <w:vAlign w:val="center"/>
            <w:hideMark/>
          </w:tcPr>
          <w:p w14:paraId="03D56E1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0.06 ± 0.031</w:t>
            </w:r>
          </w:p>
        </w:tc>
        <w:tc>
          <w:tcPr>
            <w:tcW w:w="558" w:type="pct"/>
            <w:tcBorders>
              <w:top w:val="nil"/>
              <w:left w:val="nil"/>
              <w:bottom w:val="nil"/>
              <w:right w:val="nil"/>
            </w:tcBorders>
            <w:shd w:val="clear" w:color="auto" w:fill="auto"/>
            <w:noWrap/>
            <w:vAlign w:val="center"/>
            <w:hideMark/>
          </w:tcPr>
          <w:p w14:paraId="2DEC785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0.05 ± 0.037</w:t>
            </w:r>
          </w:p>
        </w:tc>
      </w:tr>
      <w:tr w:rsidR="00EF65F1" w14:paraId="2FC817B4" w14:textId="77777777">
        <w:trPr>
          <w:trHeight w:val="259"/>
        </w:trPr>
        <w:tc>
          <w:tcPr>
            <w:tcW w:w="459" w:type="pct"/>
            <w:tcBorders>
              <w:top w:val="nil"/>
              <w:left w:val="nil"/>
              <w:bottom w:val="nil"/>
              <w:right w:val="nil"/>
            </w:tcBorders>
            <w:shd w:val="clear" w:color="auto" w:fill="auto"/>
            <w:noWrap/>
            <w:vAlign w:val="bottom"/>
            <w:hideMark/>
          </w:tcPr>
          <w:p w14:paraId="734C1AAF"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49A8945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550" w:type="pct"/>
            <w:tcBorders>
              <w:top w:val="nil"/>
              <w:left w:val="nil"/>
              <w:bottom w:val="nil"/>
              <w:right w:val="nil"/>
            </w:tcBorders>
            <w:shd w:val="clear" w:color="auto" w:fill="auto"/>
            <w:noWrap/>
            <w:vAlign w:val="bottom"/>
            <w:hideMark/>
          </w:tcPr>
          <w:p w14:paraId="634F0B98"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0.02</w:t>
            </w:r>
          </w:p>
        </w:tc>
        <w:tc>
          <w:tcPr>
            <w:tcW w:w="557" w:type="pct"/>
            <w:tcBorders>
              <w:top w:val="nil"/>
              <w:left w:val="nil"/>
              <w:bottom w:val="nil"/>
              <w:right w:val="nil"/>
            </w:tcBorders>
            <w:shd w:val="clear" w:color="auto" w:fill="auto"/>
            <w:noWrap/>
            <w:vAlign w:val="bottom"/>
            <w:hideMark/>
          </w:tcPr>
          <w:p w14:paraId="6A7C9F15"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0.02</w:t>
            </w:r>
          </w:p>
        </w:tc>
        <w:tc>
          <w:tcPr>
            <w:tcW w:w="557" w:type="pct"/>
            <w:tcBorders>
              <w:top w:val="nil"/>
              <w:left w:val="nil"/>
              <w:bottom w:val="nil"/>
              <w:right w:val="nil"/>
            </w:tcBorders>
            <w:shd w:val="clear" w:color="auto" w:fill="auto"/>
            <w:noWrap/>
            <w:vAlign w:val="bottom"/>
            <w:hideMark/>
          </w:tcPr>
          <w:p w14:paraId="49EFD2C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0.02</w:t>
            </w:r>
          </w:p>
        </w:tc>
        <w:tc>
          <w:tcPr>
            <w:tcW w:w="550" w:type="pct"/>
            <w:gridSpan w:val="2"/>
            <w:tcBorders>
              <w:top w:val="nil"/>
              <w:left w:val="nil"/>
              <w:bottom w:val="nil"/>
              <w:right w:val="nil"/>
            </w:tcBorders>
            <w:shd w:val="clear" w:color="auto" w:fill="auto"/>
            <w:noWrap/>
            <w:vAlign w:val="bottom"/>
            <w:hideMark/>
          </w:tcPr>
          <w:p w14:paraId="1076EB1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0.01</w:t>
            </w:r>
          </w:p>
        </w:tc>
        <w:tc>
          <w:tcPr>
            <w:tcW w:w="557" w:type="pct"/>
            <w:tcBorders>
              <w:top w:val="nil"/>
              <w:left w:val="nil"/>
              <w:bottom w:val="nil"/>
              <w:right w:val="nil"/>
            </w:tcBorders>
            <w:shd w:val="clear" w:color="auto" w:fill="auto"/>
            <w:noWrap/>
            <w:vAlign w:val="bottom"/>
            <w:hideMark/>
          </w:tcPr>
          <w:p w14:paraId="3D25014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0.01</w:t>
            </w:r>
          </w:p>
        </w:tc>
        <w:tc>
          <w:tcPr>
            <w:tcW w:w="557" w:type="pct"/>
            <w:tcBorders>
              <w:top w:val="nil"/>
              <w:left w:val="nil"/>
              <w:bottom w:val="nil"/>
              <w:right w:val="nil"/>
            </w:tcBorders>
            <w:shd w:val="clear" w:color="auto" w:fill="auto"/>
            <w:noWrap/>
            <w:vAlign w:val="bottom"/>
            <w:hideMark/>
          </w:tcPr>
          <w:p w14:paraId="4FAE1425"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0.01</w:t>
            </w:r>
          </w:p>
        </w:tc>
        <w:tc>
          <w:tcPr>
            <w:tcW w:w="558" w:type="pct"/>
            <w:tcBorders>
              <w:top w:val="nil"/>
              <w:left w:val="nil"/>
              <w:bottom w:val="nil"/>
              <w:right w:val="nil"/>
            </w:tcBorders>
            <w:shd w:val="clear" w:color="auto" w:fill="auto"/>
            <w:noWrap/>
            <w:vAlign w:val="bottom"/>
            <w:hideMark/>
          </w:tcPr>
          <w:p w14:paraId="6447C11B"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0.01</w:t>
            </w:r>
          </w:p>
        </w:tc>
      </w:tr>
      <w:tr w:rsidR="00EF65F1" w14:paraId="141CA5A7" w14:textId="77777777">
        <w:trPr>
          <w:trHeight w:val="259"/>
        </w:trPr>
        <w:tc>
          <w:tcPr>
            <w:tcW w:w="459" w:type="pct"/>
            <w:tcBorders>
              <w:top w:val="nil"/>
              <w:left w:val="nil"/>
              <w:bottom w:val="single" w:sz="4" w:space="0" w:color="auto"/>
              <w:right w:val="nil"/>
            </w:tcBorders>
            <w:shd w:val="clear" w:color="auto" w:fill="auto"/>
            <w:noWrap/>
            <w:vAlign w:val="bottom"/>
            <w:hideMark/>
          </w:tcPr>
          <w:p w14:paraId="2A4227A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46F76A7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1CBD01D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0.25</w:t>
            </w:r>
          </w:p>
        </w:tc>
        <w:tc>
          <w:tcPr>
            <w:tcW w:w="557" w:type="pct"/>
            <w:tcBorders>
              <w:top w:val="nil"/>
              <w:left w:val="nil"/>
              <w:bottom w:val="single" w:sz="4" w:space="0" w:color="auto"/>
              <w:right w:val="nil"/>
            </w:tcBorders>
            <w:shd w:val="clear" w:color="auto" w:fill="auto"/>
            <w:noWrap/>
            <w:vAlign w:val="bottom"/>
            <w:hideMark/>
          </w:tcPr>
          <w:p w14:paraId="19FBA8E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0.28</w:t>
            </w:r>
          </w:p>
        </w:tc>
        <w:tc>
          <w:tcPr>
            <w:tcW w:w="557" w:type="pct"/>
            <w:tcBorders>
              <w:top w:val="nil"/>
              <w:left w:val="nil"/>
              <w:bottom w:val="single" w:sz="4" w:space="0" w:color="auto"/>
              <w:right w:val="nil"/>
            </w:tcBorders>
            <w:shd w:val="clear" w:color="auto" w:fill="auto"/>
            <w:noWrap/>
            <w:vAlign w:val="bottom"/>
            <w:hideMark/>
          </w:tcPr>
          <w:p w14:paraId="668BC16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0.29</w:t>
            </w:r>
          </w:p>
        </w:tc>
        <w:tc>
          <w:tcPr>
            <w:tcW w:w="550" w:type="pct"/>
            <w:gridSpan w:val="2"/>
            <w:tcBorders>
              <w:top w:val="nil"/>
              <w:left w:val="nil"/>
              <w:bottom w:val="single" w:sz="4" w:space="0" w:color="auto"/>
              <w:right w:val="nil"/>
            </w:tcBorders>
            <w:shd w:val="clear" w:color="auto" w:fill="auto"/>
            <w:noWrap/>
            <w:vAlign w:val="bottom"/>
            <w:hideMark/>
          </w:tcPr>
          <w:p w14:paraId="1A8715D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0.42</w:t>
            </w:r>
          </w:p>
        </w:tc>
        <w:tc>
          <w:tcPr>
            <w:tcW w:w="557" w:type="pct"/>
            <w:tcBorders>
              <w:top w:val="nil"/>
              <w:left w:val="nil"/>
              <w:bottom w:val="single" w:sz="4" w:space="0" w:color="auto"/>
              <w:right w:val="nil"/>
            </w:tcBorders>
            <w:shd w:val="clear" w:color="auto" w:fill="auto"/>
            <w:noWrap/>
            <w:vAlign w:val="bottom"/>
            <w:hideMark/>
          </w:tcPr>
          <w:p w14:paraId="4B5E6E6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0.57</w:t>
            </w:r>
          </w:p>
        </w:tc>
        <w:tc>
          <w:tcPr>
            <w:tcW w:w="557" w:type="pct"/>
            <w:tcBorders>
              <w:top w:val="nil"/>
              <w:left w:val="nil"/>
              <w:bottom w:val="single" w:sz="4" w:space="0" w:color="auto"/>
              <w:right w:val="nil"/>
            </w:tcBorders>
            <w:shd w:val="clear" w:color="auto" w:fill="auto"/>
            <w:noWrap/>
            <w:vAlign w:val="bottom"/>
            <w:hideMark/>
          </w:tcPr>
          <w:p w14:paraId="00BEBC0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0.16</w:t>
            </w:r>
          </w:p>
        </w:tc>
        <w:tc>
          <w:tcPr>
            <w:tcW w:w="558" w:type="pct"/>
            <w:tcBorders>
              <w:top w:val="nil"/>
              <w:left w:val="nil"/>
              <w:bottom w:val="single" w:sz="4" w:space="0" w:color="auto"/>
              <w:right w:val="nil"/>
            </w:tcBorders>
            <w:shd w:val="clear" w:color="auto" w:fill="auto"/>
            <w:noWrap/>
            <w:vAlign w:val="bottom"/>
            <w:hideMark/>
          </w:tcPr>
          <w:p w14:paraId="303FA15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0.14</w:t>
            </w:r>
          </w:p>
        </w:tc>
      </w:tr>
      <w:tr w:rsidR="00EF65F1" w14:paraId="7BA40CCF" w14:textId="77777777">
        <w:trPr>
          <w:trHeight w:val="259"/>
        </w:trPr>
        <w:tc>
          <w:tcPr>
            <w:tcW w:w="459" w:type="pct"/>
            <w:tcBorders>
              <w:top w:val="nil"/>
              <w:left w:val="nil"/>
              <w:bottom w:val="nil"/>
              <w:right w:val="nil"/>
            </w:tcBorders>
            <w:shd w:val="clear" w:color="auto" w:fill="auto"/>
            <w:noWrap/>
            <w:vAlign w:val="center"/>
            <w:hideMark/>
          </w:tcPr>
          <w:p w14:paraId="2A0BB500"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4h</w:t>
            </w:r>
          </w:p>
        </w:tc>
        <w:tc>
          <w:tcPr>
            <w:tcW w:w="658" w:type="pct"/>
            <w:gridSpan w:val="3"/>
            <w:tcBorders>
              <w:top w:val="nil"/>
              <w:left w:val="nil"/>
              <w:bottom w:val="nil"/>
              <w:right w:val="nil"/>
            </w:tcBorders>
            <w:shd w:val="clear" w:color="auto" w:fill="auto"/>
            <w:vAlign w:val="center"/>
            <w:hideMark/>
          </w:tcPr>
          <w:p w14:paraId="1E2B7B1C"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051EA28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7" w:type="pct"/>
            <w:tcBorders>
              <w:top w:val="nil"/>
              <w:left w:val="nil"/>
              <w:bottom w:val="nil"/>
              <w:right w:val="nil"/>
            </w:tcBorders>
            <w:shd w:val="clear" w:color="auto" w:fill="auto"/>
            <w:noWrap/>
            <w:vAlign w:val="center"/>
            <w:hideMark/>
          </w:tcPr>
          <w:p w14:paraId="034EADF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7" w:type="pct"/>
            <w:tcBorders>
              <w:top w:val="nil"/>
              <w:left w:val="nil"/>
              <w:bottom w:val="nil"/>
              <w:right w:val="nil"/>
            </w:tcBorders>
            <w:shd w:val="clear" w:color="auto" w:fill="auto"/>
            <w:noWrap/>
            <w:vAlign w:val="center"/>
            <w:hideMark/>
          </w:tcPr>
          <w:p w14:paraId="7C758BE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0" w:type="pct"/>
            <w:gridSpan w:val="2"/>
            <w:tcBorders>
              <w:top w:val="nil"/>
              <w:left w:val="nil"/>
              <w:bottom w:val="nil"/>
              <w:right w:val="nil"/>
            </w:tcBorders>
            <w:shd w:val="clear" w:color="auto" w:fill="auto"/>
            <w:noWrap/>
            <w:vAlign w:val="center"/>
            <w:hideMark/>
          </w:tcPr>
          <w:p w14:paraId="4485F07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7" w:type="pct"/>
            <w:tcBorders>
              <w:top w:val="nil"/>
              <w:left w:val="nil"/>
              <w:bottom w:val="nil"/>
              <w:right w:val="nil"/>
            </w:tcBorders>
            <w:shd w:val="clear" w:color="auto" w:fill="auto"/>
            <w:noWrap/>
            <w:vAlign w:val="center"/>
            <w:hideMark/>
          </w:tcPr>
          <w:p w14:paraId="61669A4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7" w:type="pct"/>
            <w:tcBorders>
              <w:top w:val="nil"/>
              <w:left w:val="nil"/>
              <w:bottom w:val="nil"/>
              <w:right w:val="nil"/>
            </w:tcBorders>
            <w:shd w:val="clear" w:color="auto" w:fill="auto"/>
            <w:noWrap/>
            <w:vAlign w:val="center"/>
            <w:hideMark/>
          </w:tcPr>
          <w:p w14:paraId="3839BDE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c>
          <w:tcPr>
            <w:tcW w:w="558" w:type="pct"/>
            <w:tcBorders>
              <w:top w:val="nil"/>
              <w:left w:val="nil"/>
              <w:bottom w:val="nil"/>
              <w:right w:val="nil"/>
            </w:tcBorders>
            <w:shd w:val="clear" w:color="auto" w:fill="auto"/>
            <w:noWrap/>
            <w:vAlign w:val="center"/>
            <w:hideMark/>
          </w:tcPr>
          <w:p w14:paraId="1A38446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0.100</w:t>
            </w:r>
          </w:p>
        </w:tc>
      </w:tr>
      <w:tr w:rsidR="00EF65F1" w14:paraId="729DE1DD" w14:textId="77777777">
        <w:trPr>
          <w:trHeight w:val="259"/>
        </w:trPr>
        <w:tc>
          <w:tcPr>
            <w:tcW w:w="459" w:type="pct"/>
            <w:tcBorders>
              <w:top w:val="nil"/>
              <w:left w:val="nil"/>
              <w:bottom w:val="nil"/>
              <w:right w:val="nil"/>
            </w:tcBorders>
            <w:shd w:val="clear" w:color="auto" w:fill="auto"/>
            <w:noWrap/>
            <w:vAlign w:val="bottom"/>
            <w:hideMark/>
          </w:tcPr>
          <w:p w14:paraId="5F8C5DA7"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26F1C4A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2411431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0.29 ± 0.219</w:t>
            </w:r>
          </w:p>
        </w:tc>
        <w:tc>
          <w:tcPr>
            <w:tcW w:w="557" w:type="pct"/>
            <w:tcBorders>
              <w:top w:val="nil"/>
              <w:left w:val="nil"/>
              <w:bottom w:val="nil"/>
              <w:right w:val="nil"/>
            </w:tcBorders>
            <w:shd w:val="clear" w:color="auto" w:fill="auto"/>
            <w:noWrap/>
            <w:vAlign w:val="center"/>
            <w:hideMark/>
          </w:tcPr>
          <w:p w14:paraId="45475A5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0.17 ± 0.113</w:t>
            </w:r>
          </w:p>
        </w:tc>
        <w:tc>
          <w:tcPr>
            <w:tcW w:w="557" w:type="pct"/>
            <w:tcBorders>
              <w:top w:val="nil"/>
              <w:left w:val="nil"/>
              <w:bottom w:val="nil"/>
              <w:right w:val="nil"/>
            </w:tcBorders>
            <w:shd w:val="clear" w:color="auto" w:fill="auto"/>
            <w:noWrap/>
            <w:vAlign w:val="center"/>
            <w:hideMark/>
          </w:tcPr>
          <w:p w14:paraId="5D62848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0.24 ± 0.166</w:t>
            </w:r>
          </w:p>
        </w:tc>
        <w:tc>
          <w:tcPr>
            <w:tcW w:w="550" w:type="pct"/>
            <w:gridSpan w:val="2"/>
            <w:tcBorders>
              <w:top w:val="nil"/>
              <w:left w:val="nil"/>
              <w:bottom w:val="nil"/>
              <w:right w:val="nil"/>
            </w:tcBorders>
            <w:shd w:val="clear" w:color="auto" w:fill="auto"/>
            <w:noWrap/>
            <w:vAlign w:val="center"/>
            <w:hideMark/>
          </w:tcPr>
          <w:p w14:paraId="27838B6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0.24 ± 0.203</w:t>
            </w:r>
          </w:p>
        </w:tc>
        <w:tc>
          <w:tcPr>
            <w:tcW w:w="557" w:type="pct"/>
            <w:tcBorders>
              <w:top w:val="nil"/>
              <w:left w:val="nil"/>
              <w:bottom w:val="nil"/>
              <w:right w:val="nil"/>
            </w:tcBorders>
            <w:shd w:val="clear" w:color="auto" w:fill="auto"/>
            <w:noWrap/>
            <w:vAlign w:val="center"/>
            <w:hideMark/>
          </w:tcPr>
          <w:p w14:paraId="7C87F67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0.14 ± 0.117</w:t>
            </w:r>
          </w:p>
        </w:tc>
        <w:tc>
          <w:tcPr>
            <w:tcW w:w="557" w:type="pct"/>
            <w:tcBorders>
              <w:top w:val="nil"/>
              <w:left w:val="nil"/>
              <w:bottom w:val="nil"/>
              <w:right w:val="nil"/>
            </w:tcBorders>
            <w:shd w:val="clear" w:color="auto" w:fill="auto"/>
            <w:noWrap/>
            <w:vAlign w:val="center"/>
            <w:hideMark/>
          </w:tcPr>
          <w:p w14:paraId="0707EDD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0.19 ± 0.125</w:t>
            </w:r>
          </w:p>
        </w:tc>
        <w:tc>
          <w:tcPr>
            <w:tcW w:w="558" w:type="pct"/>
            <w:tcBorders>
              <w:top w:val="nil"/>
              <w:left w:val="nil"/>
              <w:bottom w:val="nil"/>
              <w:right w:val="nil"/>
            </w:tcBorders>
            <w:shd w:val="clear" w:color="auto" w:fill="auto"/>
            <w:noWrap/>
            <w:vAlign w:val="center"/>
            <w:hideMark/>
          </w:tcPr>
          <w:p w14:paraId="563CB94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0.16 ± 0.121</w:t>
            </w:r>
          </w:p>
        </w:tc>
      </w:tr>
      <w:tr w:rsidR="00EF65F1" w14:paraId="10278DD8" w14:textId="77777777">
        <w:trPr>
          <w:trHeight w:val="259"/>
        </w:trPr>
        <w:tc>
          <w:tcPr>
            <w:tcW w:w="459" w:type="pct"/>
            <w:tcBorders>
              <w:top w:val="nil"/>
              <w:left w:val="nil"/>
              <w:bottom w:val="nil"/>
              <w:right w:val="nil"/>
            </w:tcBorders>
            <w:shd w:val="clear" w:color="auto" w:fill="auto"/>
            <w:noWrap/>
            <w:vAlign w:val="bottom"/>
            <w:hideMark/>
          </w:tcPr>
          <w:p w14:paraId="2DEED725"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3EC063A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75BC0D3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0.26 ± 0.183</w:t>
            </w:r>
          </w:p>
        </w:tc>
        <w:tc>
          <w:tcPr>
            <w:tcW w:w="557" w:type="pct"/>
            <w:tcBorders>
              <w:top w:val="nil"/>
              <w:left w:val="nil"/>
              <w:bottom w:val="nil"/>
              <w:right w:val="nil"/>
            </w:tcBorders>
            <w:shd w:val="clear" w:color="auto" w:fill="auto"/>
            <w:noWrap/>
            <w:vAlign w:val="center"/>
            <w:hideMark/>
          </w:tcPr>
          <w:p w14:paraId="4A546B2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0.24 ± 0.193</w:t>
            </w:r>
          </w:p>
        </w:tc>
        <w:tc>
          <w:tcPr>
            <w:tcW w:w="557" w:type="pct"/>
            <w:tcBorders>
              <w:top w:val="nil"/>
              <w:left w:val="nil"/>
              <w:bottom w:val="nil"/>
              <w:right w:val="nil"/>
            </w:tcBorders>
            <w:shd w:val="clear" w:color="auto" w:fill="auto"/>
            <w:noWrap/>
            <w:vAlign w:val="center"/>
            <w:hideMark/>
          </w:tcPr>
          <w:p w14:paraId="23A04FA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0.18 ± 0.121</w:t>
            </w:r>
          </w:p>
        </w:tc>
        <w:tc>
          <w:tcPr>
            <w:tcW w:w="550" w:type="pct"/>
            <w:gridSpan w:val="2"/>
            <w:tcBorders>
              <w:top w:val="nil"/>
              <w:left w:val="nil"/>
              <w:bottom w:val="nil"/>
              <w:right w:val="nil"/>
            </w:tcBorders>
            <w:shd w:val="clear" w:color="auto" w:fill="auto"/>
            <w:noWrap/>
            <w:vAlign w:val="center"/>
            <w:hideMark/>
          </w:tcPr>
          <w:p w14:paraId="581B826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0.23 ± 0.182</w:t>
            </w:r>
          </w:p>
        </w:tc>
        <w:tc>
          <w:tcPr>
            <w:tcW w:w="557" w:type="pct"/>
            <w:tcBorders>
              <w:top w:val="nil"/>
              <w:left w:val="nil"/>
              <w:bottom w:val="nil"/>
              <w:right w:val="nil"/>
            </w:tcBorders>
            <w:shd w:val="clear" w:color="auto" w:fill="auto"/>
            <w:noWrap/>
            <w:vAlign w:val="center"/>
            <w:hideMark/>
          </w:tcPr>
          <w:p w14:paraId="32662B4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0.12 ± 0.084</w:t>
            </w:r>
          </w:p>
        </w:tc>
        <w:tc>
          <w:tcPr>
            <w:tcW w:w="557" w:type="pct"/>
            <w:tcBorders>
              <w:top w:val="nil"/>
              <w:left w:val="nil"/>
              <w:bottom w:val="nil"/>
              <w:right w:val="nil"/>
            </w:tcBorders>
            <w:shd w:val="clear" w:color="auto" w:fill="auto"/>
            <w:noWrap/>
            <w:vAlign w:val="center"/>
            <w:hideMark/>
          </w:tcPr>
          <w:p w14:paraId="1497A47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0.18 ± 0.132</w:t>
            </w:r>
          </w:p>
        </w:tc>
        <w:tc>
          <w:tcPr>
            <w:tcW w:w="558" w:type="pct"/>
            <w:tcBorders>
              <w:top w:val="nil"/>
              <w:left w:val="nil"/>
              <w:bottom w:val="nil"/>
              <w:right w:val="nil"/>
            </w:tcBorders>
            <w:shd w:val="clear" w:color="auto" w:fill="auto"/>
            <w:noWrap/>
            <w:vAlign w:val="center"/>
            <w:hideMark/>
          </w:tcPr>
          <w:p w14:paraId="188DBA0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0.16 ± 0.109</w:t>
            </w:r>
          </w:p>
        </w:tc>
      </w:tr>
      <w:tr w:rsidR="00EF65F1" w14:paraId="7EE290A9" w14:textId="77777777">
        <w:trPr>
          <w:trHeight w:val="259"/>
        </w:trPr>
        <w:tc>
          <w:tcPr>
            <w:tcW w:w="459" w:type="pct"/>
            <w:tcBorders>
              <w:top w:val="nil"/>
              <w:left w:val="nil"/>
              <w:bottom w:val="nil"/>
              <w:right w:val="nil"/>
            </w:tcBorders>
            <w:shd w:val="clear" w:color="auto" w:fill="auto"/>
            <w:noWrap/>
            <w:vAlign w:val="bottom"/>
            <w:hideMark/>
          </w:tcPr>
          <w:p w14:paraId="58795A61"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428D1CF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550" w:type="pct"/>
            <w:tcBorders>
              <w:top w:val="nil"/>
              <w:left w:val="nil"/>
              <w:bottom w:val="nil"/>
              <w:right w:val="nil"/>
            </w:tcBorders>
            <w:shd w:val="clear" w:color="auto" w:fill="auto"/>
            <w:noWrap/>
            <w:vAlign w:val="bottom"/>
            <w:hideMark/>
          </w:tcPr>
          <w:p w14:paraId="3A9C445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0.05</w:t>
            </w:r>
          </w:p>
        </w:tc>
        <w:tc>
          <w:tcPr>
            <w:tcW w:w="557" w:type="pct"/>
            <w:tcBorders>
              <w:top w:val="nil"/>
              <w:left w:val="nil"/>
              <w:bottom w:val="nil"/>
              <w:right w:val="nil"/>
            </w:tcBorders>
            <w:shd w:val="clear" w:color="auto" w:fill="auto"/>
            <w:noWrap/>
            <w:vAlign w:val="bottom"/>
            <w:hideMark/>
          </w:tcPr>
          <w:p w14:paraId="17F74C1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0.04</w:t>
            </w:r>
          </w:p>
        </w:tc>
        <w:tc>
          <w:tcPr>
            <w:tcW w:w="557" w:type="pct"/>
            <w:tcBorders>
              <w:top w:val="nil"/>
              <w:left w:val="nil"/>
              <w:bottom w:val="nil"/>
              <w:right w:val="nil"/>
            </w:tcBorders>
            <w:shd w:val="clear" w:color="auto" w:fill="auto"/>
            <w:noWrap/>
            <w:vAlign w:val="bottom"/>
            <w:hideMark/>
          </w:tcPr>
          <w:p w14:paraId="052F2A4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0.04</w:t>
            </w:r>
          </w:p>
        </w:tc>
        <w:tc>
          <w:tcPr>
            <w:tcW w:w="550" w:type="pct"/>
            <w:gridSpan w:val="2"/>
            <w:tcBorders>
              <w:top w:val="nil"/>
              <w:left w:val="nil"/>
              <w:bottom w:val="nil"/>
              <w:right w:val="nil"/>
            </w:tcBorders>
            <w:shd w:val="clear" w:color="auto" w:fill="auto"/>
            <w:noWrap/>
            <w:vAlign w:val="bottom"/>
            <w:hideMark/>
          </w:tcPr>
          <w:p w14:paraId="7D75E5C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0.05</w:t>
            </w:r>
          </w:p>
        </w:tc>
        <w:tc>
          <w:tcPr>
            <w:tcW w:w="557" w:type="pct"/>
            <w:tcBorders>
              <w:top w:val="nil"/>
              <w:left w:val="nil"/>
              <w:bottom w:val="nil"/>
              <w:right w:val="nil"/>
            </w:tcBorders>
            <w:shd w:val="clear" w:color="auto" w:fill="auto"/>
            <w:noWrap/>
            <w:vAlign w:val="bottom"/>
            <w:hideMark/>
          </w:tcPr>
          <w:p w14:paraId="2EFC99B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0.03</w:t>
            </w:r>
          </w:p>
        </w:tc>
        <w:tc>
          <w:tcPr>
            <w:tcW w:w="557" w:type="pct"/>
            <w:tcBorders>
              <w:top w:val="nil"/>
              <w:left w:val="nil"/>
              <w:bottom w:val="nil"/>
              <w:right w:val="nil"/>
            </w:tcBorders>
            <w:shd w:val="clear" w:color="auto" w:fill="auto"/>
            <w:noWrap/>
            <w:vAlign w:val="bottom"/>
            <w:hideMark/>
          </w:tcPr>
          <w:p w14:paraId="2BA1277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0.04</w:t>
            </w:r>
          </w:p>
        </w:tc>
        <w:tc>
          <w:tcPr>
            <w:tcW w:w="558" w:type="pct"/>
            <w:tcBorders>
              <w:top w:val="nil"/>
              <w:left w:val="nil"/>
              <w:bottom w:val="nil"/>
              <w:right w:val="nil"/>
            </w:tcBorders>
            <w:shd w:val="clear" w:color="auto" w:fill="auto"/>
            <w:noWrap/>
            <w:vAlign w:val="bottom"/>
            <w:hideMark/>
          </w:tcPr>
          <w:p w14:paraId="6074E0D7"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0.03</w:t>
            </w:r>
          </w:p>
        </w:tc>
      </w:tr>
      <w:tr w:rsidR="00EF65F1" w14:paraId="410F1A20" w14:textId="77777777">
        <w:trPr>
          <w:trHeight w:val="259"/>
        </w:trPr>
        <w:tc>
          <w:tcPr>
            <w:tcW w:w="459" w:type="pct"/>
            <w:tcBorders>
              <w:top w:val="nil"/>
              <w:left w:val="nil"/>
              <w:bottom w:val="single" w:sz="4" w:space="0" w:color="auto"/>
              <w:right w:val="nil"/>
            </w:tcBorders>
            <w:shd w:val="clear" w:color="auto" w:fill="auto"/>
            <w:noWrap/>
            <w:vAlign w:val="bottom"/>
            <w:hideMark/>
          </w:tcPr>
          <w:p w14:paraId="54D4AD90"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7E13450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444CF87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0.21</w:t>
            </w:r>
          </w:p>
        </w:tc>
        <w:tc>
          <w:tcPr>
            <w:tcW w:w="557" w:type="pct"/>
            <w:tcBorders>
              <w:top w:val="nil"/>
              <w:left w:val="nil"/>
              <w:bottom w:val="single" w:sz="4" w:space="0" w:color="auto"/>
              <w:right w:val="nil"/>
            </w:tcBorders>
            <w:shd w:val="clear" w:color="auto" w:fill="auto"/>
            <w:noWrap/>
            <w:vAlign w:val="bottom"/>
            <w:hideMark/>
          </w:tcPr>
          <w:p w14:paraId="57E4A0B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0.50</w:t>
            </w:r>
          </w:p>
        </w:tc>
        <w:tc>
          <w:tcPr>
            <w:tcW w:w="557" w:type="pct"/>
            <w:tcBorders>
              <w:top w:val="nil"/>
              <w:left w:val="nil"/>
              <w:bottom w:val="single" w:sz="4" w:space="0" w:color="auto"/>
              <w:right w:val="nil"/>
            </w:tcBorders>
            <w:shd w:val="clear" w:color="auto" w:fill="auto"/>
            <w:noWrap/>
            <w:vAlign w:val="bottom"/>
            <w:hideMark/>
          </w:tcPr>
          <w:p w14:paraId="78F6116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0.36</w:t>
            </w:r>
          </w:p>
        </w:tc>
        <w:tc>
          <w:tcPr>
            <w:tcW w:w="550" w:type="pct"/>
            <w:gridSpan w:val="2"/>
            <w:tcBorders>
              <w:top w:val="nil"/>
              <w:left w:val="nil"/>
              <w:bottom w:val="single" w:sz="4" w:space="0" w:color="auto"/>
              <w:right w:val="nil"/>
            </w:tcBorders>
            <w:shd w:val="clear" w:color="auto" w:fill="auto"/>
            <w:noWrap/>
            <w:vAlign w:val="bottom"/>
            <w:hideMark/>
          </w:tcPr>
          <w:p w14:paraId="13075BF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0.50</w:t>
            </w:r>
          </w:p>
        </w:tc>
        <w:tc>
          <w:tcPr>
            <w:tcW w:w="557" w:type="pct"/>
            <w:tcBorders>
              <w:top w:val="nil"/>
              <w:left w:val="nil"/>
              <w:bottom w:val="single" w:sz="4" w:space="0" w:color="auto"/>
              <w:right w:val="nil"/>
            </w:tcBorders>
            <w:shd w:val="clear" w:color="auto" w:fill="auto"/>
            <w:noWrap/>
            <w:vAlign w:val="bottom"/>
            <w:hideMark/>
          </w:tcPr>
          <w:p w14:paraId="1C60C73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0.40</w:t>
            </w:r>
          </w:p>
        </w:tc>
        <w:tc>
          <w:tcPr>
            <w:tcW w:w="557" w:type="pct"/>
            <w:tcBorders>
              <w:top w:val="nil"/>
              <w:left w:val="nil"/>
              <w:bottom w:val="single" w:sz="4" w:space="0" w:color="auto"/>
              <w:right w:val="nil"/>
            </w:tcBorders>
            <w:shd w:val="clear" w:color="auto" w:fill="auto"/>
            <w:noWrap/>
            <w:vAlign w:val="bottom"/>
            <w:hideMark/>
          </w:tcPr>
          <w:p w14:paraId="47C7355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0.90</w:t>
            </w:r>
          </w:p>
        </w:tc>
        <w:tc>
          <w:tcPr>
            <w:tcW w:w="558" w:type="pct"/>
            <w:tcBorders>
              <w:top w:val="nil"/>
              <w:left w:val="nil"/>
              <w:bottom w:val="single" w:sz="4" w:space="0" w:color="auto"/>
              <w:right w:val="nil"/>
            </w:tcBorders>
            <w:shd w:val="clear" w:color="auto" w:fill="auto"/>
            <w:noWrap/>
            <w:vAlign w:val="bottom"/>
            <w:hideMark/>
          </w:tcPr>
          <w:p w14:paraId="4056127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0.93</w:t>
            </w:r>
          </w:p>
        </w:tc>
      </w:tr>
      <w:tr w:rsidR="00EF65F1" w14:paraId="01E731B0" w14:textId="77777777">
        <w:trPr>
          <w:trHeight w:val="259"/>
        </w:trPr>
        <w:tc>
          <w:tcPr>
            <w:tcW w:w="459" w:type="pct"/>
            <w:tcBorders>
              <w:top w:val="nil"/>
              <w:left w:val="nil"/>
              <w:bottom w:val="nil"/>
              <w:right w:val="nil"/>
            </w:tcBorders>
            <w:shd w:val="clear" w:color="auto" w:fill="auto"/>
            <w:noWrap/>
            <w:vAlign w:val="center"/>
            <w:hideMark/>
          </w:tcPr>
          <w:p w14:paraId="7B6A0E9F"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8h</w:t>
            </w:r>
          </w:p>
        </w:tc>
        <w:tc>
          <w:tcPr>
            <w:tcW w:w="658" w:type="pct"/>
            <w:gridSpan w:val="3"/>
            <w:tcBorders>
              <w:top w:val="nil"/>
              <w:left w:val="nil"/>
              <w:bottom w:val="nil"/>
              <w:right w:val="nil"/>
            </w:tcBorders>
            <w:shd w:val="clear" w:color="auto" w:fill="auto"/>
            <w:vAlign w:val="center"/>
            <w:hideMark/>
          </w:tcPr>
          <w:p w14:paraId="2EBFD12A"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0FC8053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7" w:type="pct"/>
            <w:tcBorders>
              <w:top w:val="nil"/>
              <w:left w:val="nil"/>
              <w:bottom w:val="nil"/>
              <w:right w:val="nil"/>
            </w:tcBorders>
            <w:shd w:val="clear" w:color="auto" w:fill="auto"/>
            <w:noWrap/>
            <w:vAlign w:val="center"/>
            <w:hideMark/>
          </w:tcPr>
          <w:p w14:paraId="077CB10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7" w:type="pct"/>
            <w:tcBorders>
              <w:top w:val="nil"/>
              <w:left w:val="nil"/>
              <w:bottom w:val="nil"/>
              <w:right w:val="nil"/>
            </w:tcBorders>
            <w:shd w:val="clear" w:color="auto" w:fill="auto"/>
            <w:noWrap/>
            <w:vAlign w:val="center"/>
            <w:hideMark/>
          </w:tcPr>
          <w:p w14:paraId="559F124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0" w:type="pct"/>
            <w:gridSpan w:val="2"/>
            <w:tcBorders>
              <w:top w:val="nil"/>
              <w:left w:val="nil"/>
              <w:bottom w:val="nil"/>
              <w:right w:val="nil"/>
            </w:tcBorders>
            <w:shd w:val="clear" w:color="auto" w:fill="auto"/>
            <w:noWrap/>
            <w:vAlign w:val="center"/>
            <w:hideMark/>
          </w:tcPr>
          <w:p w14:paraId="528E3B3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7" w:type="pct"/>
            <w:tcBorders>
              <w:top w:val="nil"/>
              <w:left w:val="nil"/>
              <w:bottom w:val="nil"/>
              <w:right w:val="nil"/>
            </w:tcBorders>
            <w:shd w:val="clear" w:color="auto" w:fill="auto"/>
            <w:noWrap/>
            <w:vAlign w:val="center"/>
            <w:hideMark/>
          </w:tcPr>
          <w:p w14:paraId="358270A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7" w:type="pct"/>
            <w:tcBorders>
              <w:top w:val="nil"/>
              <w:left w:val="nil"/>
              <w:bottom w:val="nil"/>
              <w:right w:val="nil"/>
            </w:tcBorders>
            <w:shd w:val="clear" w:color="auto" w:fill="auto"/>
            <w:noWrap/>
            <w:vAlign w:val="center"/>
            <w:hideMark/>
          </w:tcPr>
          <w:p w14:paraId="68281E3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c>
          <w:tcPr>
            <w:tcW w:w="558" w:type="pct"/>
            <w:tcBorders>
              <w:top w:val="nil"/>
              <w:left w:val="nil"/>
              <w:bottom w:val="nil"/>
              <w:right w:val="nil"/>
            </w:tcBorders>
            <w:shd w:val="clear" w:color="auto" w:fill="auto"/>
            <w:noWrap/>
            <w:vAlign w:val="center"/>
            <w:hideMark/>
          </w:tcPr>
          <w:p w14:paraId="661D021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0.279</w:t>
            </w:r>
          </w:p>
        </w:tc>
      </w:tr>
      <w:tr w:rsidR="00EF65F1" w14:paraId="5B782953" w14:textId="77777777">
        <w:trPr>
          <w:trHeight w:val="259"/>
        </w:trPr>
        <w:tc>
          <w:tcPr>
            <w:tcW w:w="459" w:type="pct"/>
            <w:tcBorders>
              <w:top w:val="nil"/>
              <w:left w:val="nil"/>
              <w:bottom w:val="nil"/>
              <w:right w:val="nil"/>
            </w:tcBorders>
            <w:shd w:val="clear" w:color="auto" w:fill="auto"/>
            <w:noWrap/>
            <w:vAlign w:val="bottom"/>
            <w:hideMark/>
          </w:tcPr>
          <w:p w14:paraId="1D69D8EC"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00B3A11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0638BC0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0.60 ± 0.401</w:t>
            </w:r>
          </w:p>
        </w:tc>
        <w:tc>
          <w:tcPr>
            <w:tcW w:w="557" w:type="pct"/>
            <w:tcBorders>
              <w:top w:val="nil"/>
              <w:left w:val="nil"/>
              <w:bottom w:val="nil"/>
              <w:right w:val="nil"/>
            </w:tcBorders>
            <w:shd w:val="clear" w:color="auto" w:fill="auto"/>
            <w:noWrap/>
            <w:vAlign w:val="center"/>
            <w:hideMark/>
          </w:tcPr>
          <w:p w14:paraId="499291B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0.61 ± 0.181</w:t>
            </w:r>
          </w:p>
        </w:tc>
        <w:tc>
          <w:tcPr>
            <w:tcW w:w="557" w:type="pct"/>
            <w:tcBorders>
              <w:top w:val="nil"/>
              <w:left w:val="nil"/>
              <w:bottom w:val="nil"/>
              <w:right w:val="nil"/>
            </w:tcBorders>
            <w:shd w:val="clear" w:color="auto" w:fill="auto"/>
            <w:noWrap/>
            <w:vAlign w:val="center"/>
            <w:hideMark/>
          </w:tcPr>
          <w:p w14:paraId="16EC124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0.57 ± 0.254</w:t>
            </w:r>
          </w:p>
        </w:tc>
        <w:tc>
          <w:tcPr>
            <w:tcW w:w="550" w:type="pct"/>
            <w:gridSpan w:val="2"/>
            <w:tcBorders>
              <w:top w:val="nil"/>
              <w:left w:val="nil"/>
              <w:bottom w:val="nil"/>
              <w:right w:val="nil"/>
            </w:tcBorders>
            <w:shd w:val="clear" w:color="auto" w:fill="auto"/>
            <w:noWrap/>
            <w:vAlign w:val="center"/>
            <w:hideMark/>
          </w:tcPr>
          <w:p w14:paraId="7985A8E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0.60 ± 0.326</w:t>
            </w:r>
          </w:p>
        </w:tc>
        <w:tc>
          <w:tcPr>
            <w:tcW w:w="557" w:type="pct"/>
            <w:tcBorders>
              <w:top w:val="nil"/>
              <w:left w:val="nil"/>
              <w:bottom w:val="nil"/>
              <w:right w:val="nil"/>
            </w:tcBorders>
            <w:shd w:val="clear" w:color="auto" w:fill="auto"/>
            <w:noWrap/>
            <w:vAlign w:val="center"/>
            <w:hideMark/>
          </w:tcPr>
          <w:p w14:paraId="17AE46F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0.50 ± 0.160</w:t>
            </w:r>
          </w:p>
        </w:tc>
        <w:tc>
          <w:tcPr>
            <w:tcW w:w="557" w:type="pct"/>
            <w:tcBorders>
              <w:top w:val="nil"/>
              <w:left w:val="nil"/>
              <w:bottom w:val="nil"/>
              <w:right w:val="nil"/>
            </w:tcBorders>
            <w:shd w:val="clear" w:color="auto" w:fill="auto"/>
            <w:noWrap/>
            <w:vAlign w:val="center"/>
            <w:hideMark/>
          </w:tcPr>
          <w:p w14:paraId="13E64F6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0.58 ± 0.226</w:t>
            </w:r>
          </w:p>
        </w:tc>
        <w:tc>
          <w:tcPr>
            <w:tcW w:w="558" w:type="pct"/>
            <w:tcBorders>
              <w:top w:val="nil"/>
              <w:left w:val="nil"/>
              <w:bottom w:val="nil"/>
              <w:right w:val="nil"/>
            </w:tcBorders>
            <w:shd w:val="clear" w:color="auto" w:fill="auto"/>
            <w:noWrap/>
            <w:vAlign w:val="center"/>
            <w:hideMark/>
          </w:tcPr>
          <w:p w14:paraId="0581B13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0.39 ± 0.203</w:t>
            </w:r>
          </w:p>
        </w:tc>
      </w:tr>
      <w:tr w:rsidR="00EF65F1" w14:paraId="0E25EC19" w14:textId="77777777">
        <w:trPr>
          <w:trHeight w:val="259"/>
        </w:trPr>
        <w:tc>
          <w:tcPr>
            <w:tcW w:w="459" w:type="pct"/>
            <w:tcBorders>
              <w:top w:val="nil"/>
              <w:left w:val="nil"/>
              <w:bottom w:val="nil"/>
              <w:right w:val="nil"/>
            </w:tcBorders>
            <w:shd w:val="clear" w:color="auto" w:fill="auto"/>
            <w:noWrap/>
            <w:vAlign w:val="bottom"/>
            <w:hideMark/>
          </w:tcPr>
          <w:p w14:paraId="2BD644A6"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5614529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64B082B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0.67 ± 0.388</w:t>
            </w:r>
          </w:p>
        </w:tc>
        <w:tc>
          <w:tcPr>
            <w:tcW w:w="557" w:type="pct"/>
            <w:tcBorders>
              <w:top w:val="nil"/>
              <w:left w:val="nil"/>
              <w:bottom w:val="nil"/>
              <w:right w:val="nil"/>
            </w:tcBorders>
            <w:shd w:val="clear" w:color="auto" w:fill="auto"/>
            <w:noWrap/>
            <w:vAlign w:val="center"/>
            <w:hideMark/>
          </w:tcPr>
          <w:p w14:paraId="6293212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0.69 ± 0.368</w:t>
            </w:r>
          </w:p>
        </w:tc>
        <w:tc>
          <w:tcPr>
            <w:tcW w:w="557" w:type="pct"/>
            <w:tcBorders>
              <w:top w:val="nil"/>
              <w:left w:val="nil"/>
              <w:bottom w:val="nil"/>
              <w:right w:val="nil"/>
            </w:tcBorders>
            <w:shd w:val="clear" w:color="auto" w:fill="auto"/>
            <w:noWrap/>
            <w:vAlign w:val="center"/>
            <w:hideMark/>
          </w:tcPr>
          <w:p w14:paraId="416BFFB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0.60 ± 0.314</w:t>
            </w:r>
          </w:p>
        </w:tc>
        <w:tc>
          <w:tcPr>
            <w:tcW w:w="550" w:type="pct"/>
            <w:gridSpan w:val="2"/>
            <w:tcBorders>
              <w:top w:val="nil"/>
              <w:left w:val="nil"/>
              <w:bottom w:val="nil"/>
              <w:right w:val="nil"/>
            </w:tcBorders>
            <w:shd w:val="clear" w:color="auto" w:fill="auto"/>
            <w:noWrap/>
            <w:vAlign w:val="center"/>
            <w:hideMark/>
          </w:tcPr>
          <w:p w14:paraId="673D861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0.57 ± 0.362</w:t>
            </w:r>
          </w:p>
        </w:tc>
        <w:tc>
          <w:tcPr>
            <w:tcW w:w="557" w:type="pct"/>
            <w:tcBorders>
              <w:top w:val="nil"/>
              <w:left w:val="nil"/>
              <w:bottom w:val="nil"/>
              <w:right w:val="nil"/>
            </w:tcBorders>
            <w:shd w:val="clear" w:color="auto" w:fill="auto"/>
            <w:noWrap/>
            <w:vAlign w:val="center"/>
            <w:hideMark/>
          </w:tcPr>
          <w:p w14:paraId="3E4EEBB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0.43 ± 0.136</w:t>
            </w:r>
          </w:p>
        </w:tc>
        <w:tc>
          <w:tcPr>
            <w:tcW w:w="557" w:type="pct"/>
            <w:tcBorders>
              <w:top w:val="nil"/>
              <w:left w:val="nil"/>
              <w:bottom w:val="nil"/>
              <w:right w:val="nil"/>
            </w:tcBorders>
            <w:shd w:val="clear" w:color="auto" w:fill="auto"/>
            <w:noWrap/>
            <w:vAlign w:val="center"/>
            <w:hideMark/>
          </w:tcPr>
          <w:p w14:paraId="74B4A10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0.51 ± 0.217</w:t>
            </w:r>
          </w:p>
        </w:tc>
        <w:tc>
          <w:tcPr>
            <w:tcW w:w="558" w:type="pct"/>
            <w:tcBorders>
              <w:top w:val="nil"/>
              <w:left w:val="nil"/>
              <w:bottom w:val="nil"/>
              <w:right w:val="nil"/>
            </w:tcBorders>
            <w:shd w:val="clear" w:color="auto" w:fill="auto"/>
            <w:noWrap/>
            <w:vAlign w:val="center"/>
            <w:hideMark/>
          </w:tcPr>
          <w:p w14:paraId="50920DB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0.41 ± 0.245</w:t>
            </w:r>
          </w:p>
        </w:tc>
      </w:tr>
      <w:tr w:rsidR="00EF65F1" w14:paraId="538FCB28" w14:textId="77777777">
        <w:trPr>
          <w:trHeight w:val="259"/>
        </w:trPr>
        <w:tc>
          <w:tcPr>
            <w:tcW w:w="459" w:type="pct"/>
            <w:tcBorders>
              <w:top w:val="nil"/>
              <w:left w:val="nil"/>
              <w:bottom w:val="nil"/>
              <w:right w:val="nil"/>
            </w:tcBorders>
            <w:shd w:val="clear" w:color="auto" w:fill="auto"/>
            <w:noWrap/>
            <w:vAlign w:val="bottom"/>
            <w:hideMark/>
          </w:tcPr>
          <w:p w14:paraId="5FDF25CA"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0EB9A4C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SEM</w:t>
            </w:r>
          </w:p>
        </w:tc>
        <w:tc>
          <w:tcPr>
            <w:tcW w:w="550" w:type="pct"/>
            <w:tcBorders>
              <w:top w:val="nil"/>
              <w:left w:val="nil"/>
              <w:bottom w:val="nil"/>
              <w:right w:val="nil"/>
            </w:tcBorders>
            <w:shd w:val="clear" w:color="auto" w:fill="auto"/>
            <w:noWrap/>
            <w:vAlign w:val="bottom"/>
            <w:hideMark/>
          </w:tcPr>
          <w:p w14:paraId="02F248F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0.11</w:t>
            </w:r>
          </w:p>
        </w:tc>
        <w:tc>
          <w:tcPr>
            <w:tcW w:w="557" w:type="pct"/>
            <w:tcBorders>
              <w:top w:val="nil"/>
              <w:left w:val="nil"/>
              <w:bottom w:val="nil"/>
              <w:right w:val="nil"/>
            </w:tcBorders>
            <w:shd w:val="clear" w:color="auto" w:fill="auto"/>
            <w:noWrap/>
            <w:vAlign w:val="bottom"/>
            <w:hideMark/>
          </w:tcPr>
          <w:p w14:paraId="23E534A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0.09</w:t>
            </w:r>
          </w:p>
        </w:tc>
        <w:tc>
          <w:tcPr>
            <w:tcW w:w="557" w:type="pct"/>
            <w:tcBorders>
              <w:top w:val="nil"/>
              <w:left w:val="nil"/>
              <w:bottom w:val="nil"/>
              <w:right w:val="nil"/>
            </w:tcBorders>
            <w:shd w:val="clear" w:color="auto" w:fill="auto"/>
            <w:noWrap/>
            <w:vAlign w:val="bottom"/>
            <w:hideMark/>
          </w:tcPr>
          <w:p w14:paraId="2B226C4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0.09</w:t>
            </w:r>
          </w:p>
        </w:tc>
        <w:tc>
          <w:tcPr>
            <w:tcW w:w="550" w:type="pct"/>
            <w:gridSpan w:val="2"/>
            <w:tcBorders>
              <w:top w:val="nil"/>
              <w:left w:val="nil"/>
              <w:bottom w:val="nil"/>
              <w:right w:val="nil"/>
            </w:tcBorders>
            <w:shd w:val="clear" w:color="auto" w:fill="auto"/>
            <w:noWrap/>
            <w:vAlign w:val="bottom"/>
            <w:hideMark/>
          </w:tcPr>
          <w:p w14:paraId="62A09657"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0.10</w:t>
            </w:r>
          </w:p>
        </w:tc>
        <w:tc>
          <w:tcPr>
            <w:tcW w:w="557" w:type="pct"/>
            <w:tcBorders>
              <w:top w:val="nil"/>
              <w:left w:val="nil"/>
              <w:bottom w:val="nil"/>
              <w:right w:val="nil"/>
            </w:tcBorders>
            <w:shd w:val="clear" w:color="auto" w:fill="auto"/>
            <w:noWrap/>
            <w:vAlign w:val="bottom"/>
            <w:hideMark/>
          </w:tcPr>
          <w:p w14:paraId="45B46A70"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0.06</w:t>
            </w:r>
          </w:p>
        </w:tc>
        <w:tc>
          <w:tcPr>
            <w:tcW w:w="557" w:type="pct"/>
            <w:tcBorders>
              <w:top w:val="nil"/>
              <w:left w:val="nil"/>
              <w:bottom w:val="nil"/>
              <w:right w:val="nil"/>
            </w:tcBorders>
            <w:shd w:val="clear" w:color="auto" w:fill="auto"/>
            <w:noWrap/>
            <w:vAlign w:val="bottom"/>
            <w:hideMark/>
          </w:tcPr>
          <w:p w14:paraId="3564149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0.07</w:t>
            </w:r>
          </w:p>
        </w:tc>
        <w:tc>
          <w:tcPr>
            <w:tcW w:w="558" w:type="pct"/>
            <w:tcBorders>
              <w:top w:val="nil"/>
              <w:left w:val="nil"/>
              <w:bottom w:val="nil"/>
              <w:right w:val="nil"/>
            </w:tcBorders>
            <w:shd w:val="clear" w:color="auto" w:fill="auto"/>
            <w:noWrap/>
            <w:vAlign w:val="bottom"/>
            <w:hideMark/>
          </w:tcPr>
          <w:p w14:paraId="5B75DC4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0.07</w:t>
            </w:r>
          </w:p>
        </w:tc>
      </w:tr>
      <w:tr w:rsidR="00EF65F1" w14:paraId="5B2FCC72" w14:textId="77777777">
        <w:trPr>
          <w:trHeight w:val="259"/>
        </w:trPr>
        <w:tc>
          <w:tcPr>
            <w:tcW w:w="459" w:type="pct"/>
            <w:tcBorders>
              <w:top w:val="nil"/>
              <w:left w:val="nil"/>
              <w:bottom w:val="single" w:sz="4" w:space="0" w:color="auto"/>
              <w:right w:val="nil"/>
            </w:tcBorders>
            <w:shd w:val="clear" w:color="auto" w:fill="auto"/>
            <w:noWrap/>
            <w:vAlign w:val="bottom"/>
            <w:hideMark/>
          </w:tcPr>
          <w:p w14:paraId="4E71AF0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7A55405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33913EE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0.23</w:t>
            </w:r>
          </w:p>
        </w:tc>
        <w:tc>
          <w:tcPr>
            <w:tcW w:w="557" w:type="pct"/>
            <w:tcBorders>
              <w:top w:val="nil"/>
              <w:left w:val="nil"/>
              <w:bottom w:val="single" w:sz="4" w:space="0" w:color="auto"/>
              <w:right w:val="nil"/>
            </w:tcBorders>
            <w:shd w:val="clear" w:color="auto" w:fill="auto"/>
            <w:noWrap/>
            <w:vAlign w:val="bottom"/>
            <w:hideMark/>
          </w:tcPr>
          <w:p w14:paraId="6627689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0.43</w:t>
            </w:r>
          </w:p>
        </w:tc>
        <w:tc>
          <w:tcPr>
            <w:tcW w:w="557" w:type="pct"/>
            <w:tcBorders>
              <w:top w:val="nil"/>
              <w:left w:val="nil"/>
              <w:bottom w:val="single" w:sz="4" w:space="0" w:color="auto"/>
              <w:right w:val="nil"/>
            </w:tcBorders>
            <w:shd w:val="clear" w:color="auto" w:fill="auto"/>
            <w:noWrap/>
            <w:vAlign w:val="bottom"/>
            <w:hideMark/>
          </w:tcPr>
          <w:p w14:paraId="10E4D4B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0.61</w:t>
            </w:r>
          </w:p>
        </w:tc>
        <w:tc>
          <w:tcPr>
            <w:tcW w:w="550" w:type="pct"/>
            <w:gridSpan w:val="2"/>
            <w:tcBorders>
              <w:top w:val="nil"/>
              <w:left w:val="nil"/>
              <w:bottom w:val="single" w:sz="4" w:space="0" w:color="auto"/>
              <w:right w:val="nil"/>
            </w:tcBorders>
            <w:shd w:val="clear" w:color="auto" w:fill="auto"/>
            <w:noWrap/>
            <w:vAlign w:val="bottom"/>
            <w:hideMark/>
          </w:tcPr>
          <w:p w14:paraId="35C1DC48"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0.54</w:t>
            </w:r>
          </w:p>
        </w:tc>
        <w:tc>
          <w:tcPr>
            <w:tcW w:w="557" w:type="pct"/>
            <w:tcBorders>
              <w:top w:val="nil"/>
              <w:left w:val="nil"/>
              <w:bottom w:val="single" w:sz="4" w:space="0" w:color="auto"/>
              <w:right w:val="nil"/>
            </w:tcBorders>
            <w:shd w:val="clear" w:color="auto" w:fill="auto"/>
            <w:noWrap/>
            <w:vAlign w:val="bottom"/>
            <w:hideMark/>
          </w:tcPr>
          <w:p w14:paraId="692C8188"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0.81</w:t>
            </w:r>
          </w:p>
        </w:tc>
        <w:tc>
          <w:tcPr>
            <w:tcW w:w="557" w:type="pct"/>
            <w:tcBorders>
              <w:top w:val="nil"/>
              <w:left w:val="nil"/>
              <w:bottom w:val="single" w:sz="4" w:space="0" w:color="auto"/>
              <w:right w:val="nil"/>
            </w:tcBorders>
            <w:shd w:val="clear" w:color="auto" w:fill="auto"/>
            <w:noWrap/>
            <w:vAlign w:val="bottom"/>
            <w:hideMark/>
          </w:tcPr>
          <w:p w14:paraId="6B72344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0.61</w:t>
            </w:r>
          </w:p>
        </w:tc>
        <w:tc>
          <w:tcPr>
            <w:tcW w:w="558" w:type="pct"/>
            <w:tcBorders>
              <w:top w:val="nil"/>
              <w:left w:val="nil"/>
              <w:bottom w:val="single" w:sz="4" w:space="0" w:color="auto"/>
              <w:right w:val="nil"/>
            </w:tcBorders>
            <w:shd w:val="clear" w:color="auto" w:fill="auto"/>
            <w:noWrap/>
            <w:vAlign w:val="bottom"/>
            <w:hideMark/>
          </w:tcPr>
          <w:p w14:paraId="174C0A3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0.94</w:t>
            </w:r>
          </w:p>
        </w:tc>
      </w:tr>
      <w:tr w:rsidR="00EF65F1" w14:paraId="4512E708" w14:textId="77777777">
        <w:trPr>
          <w:trHeight w:val="259"/>
        </w:trPr>
        <w:tc>
          <w:tcPr>
            <w:tcW w:w="459" w:type="pct"/>
            <w:tcBorders>
              <w:top w:val="nil"/>
              <w:left w:val="nil"/>
              <w:bottom w:val="nil"/>
              <w:right w:val="nil"/>
            </w:tcBorders>
            <w:shd w:val="clear" w:color="auto" w:fill="auto"/>
            <w:noWrap/>
            <w:vAlign w:val="center"/>
            <w:hideMark/>
          </w:tcPr>
          <w:p w14:paraId="53C318A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12h</w:t>
            </w:r>
          </w:p>
        </w:tc>
        <w:tc>
          <w:tcPr>
            <w:tcW w:w="658" w:type="pct"/>
            <w:gridSpan w:val="3"/>
            <w:tcBorders>
              <w:top w:val="nil"/>
              <w:left w:val="nil"/>
              <w:bottom w:val="nil"/>
              <w:right w:val="nil"/>
            </w:tcBorders>
            <w:shd w:val="clear" w:color="auto" w:fill="auto"/>
            <w:vAlign w:val="center"/>
            <w:hideMark/>
          </w:tcPr>
          <w:p w14:paraId="7E961722"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5F026A5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7" w:type="pct"/>
            <w:tcBorders>
              <w:top w:val="nil"/>
              <w:left w:val="nil"/>
              <w:bottom w:val="nil"/>
              <w:right w:val="nil"/>
            </w:tcBorders>
            <w:shd w:val="clear" w:color="auto" w:fill="auto"/>
            <w:noWrap/>
            <w:vAlign w:val="center"/>
            <w:hideMark/>
          </w:tcPr>
          <w:p w14:paraId="7AB6502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7" w:type="pct"/>
            <w:tcBorders>
              <w:top w:val="nil"/>
              <w:left w:val="nil"/>
              <w:bottom w:val="nil"/>
              <w:right w:val="nil"/>
            </w:tcBorders>
            <w:shd w:val="clear" w:color="auto" w:fill="auto"/>
            <w:noWrap/>
            <w:vAlign w:val="center"/>
            <w:hideMark/>
          </w:tcPr>
          <w:p w14:paraId="3F2E3CD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0" w:type="pct"/>
            <w:gridSpan w:val="2"/>
            <w:tcBorders>
              <w:top w:val="nil"/>
              <w:left w:val="nil"/>
              <w:bottom w:val="nil"/>
              <w:right w:val="nil"/>
            </w:tcBorders>
            <w:shd w:val="clear" w:color="auto" w:fill="auto"/>
            <w:noWrap/>
            <w:vAlign w:val="center"/>
            <w:hideMark/>
          </w:tcPr>
          <w:p w14:paraId="6BDFE49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7" w:type="pct"/>
            <w:tcBorders>
              <w:top w:val="nil"/>
              <w:left w:val="nil"/>
              <w:bottom w:val="nil"/>
              <w:right w:val="nil"/>
            </w:tcBorders>
            <w:shd w:val="clear" w:color="auto" w:fill="auto"/>
            <w:noWrap/>
            <w:vAlign w:val="center"/>
            <w:hideMark/>
          </w:tcPr>
          <w:p w14:paraId="07510CF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7" w:type="pct"/>
            <w:tcBorders>
              <w:top w:val="nil"/>
              <w:left w:val="nil"/>
              <w:bottom w:val="nil"/>
              <w:right w:val="nil"/>
            </w:tcBorders>
            <w:shd w:val="clear" w:color="auto" w:fill="auto"/>
            <w:noWrap/>
            <w:vAlign w:val="center"/>
            <w:hideMark/>
          </w:tcPr>
          <w:p w14:paraId="4B6BE5E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c>
          <w:tcPr>
            <w:tcW w:w="558" w:type="pct"/>
            <w:tcBorders>
              <w:top w:val="nil"/>
              <w:left w:val="nil"/>
              <w:bottom w:val="nil"/>
              <w:right w:val="nil"/>
            </w:tcBorders>
            <w:shd w:val="clear" w:color="auto" w:fill="auto"/>
            <w:noWrap/>
            <w:vAlign w:val="center"/>
            <w:hideMark/>
          </w:tcPr>
          <w:p w14:paraId="055FBE4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0.498</w:t>
            </w:r>
          </w:p>
        </w:tc>
      </w:tr>
      <w:tr w:rsidR="00EF65F1" w14:paraId="6E333378" w14:textId="77777777">
        <w:trPr>
          <w:trHeight w:val="259"/>
        </w:trPr>
        <w:tc>
          <w:tcPr>
            <w:tcW w:w="459" w:type="pct"/>
            <w:tcBorders>
              <w:top w:val="nil"/>
              <w:left w:val="nil"/>
              <w:bottom w:val="nil"/>
              <w:right w:val="nil"/>
            </w:tcBorders>
            <w:shd w:val="clear" w:color="auto" w:fill="auto"/>
            <w:noWrap/>
            <w:vAlign w:val="bottom"/>
            <w:hideMark/>
          </w:tcPr>
          <w:p w14:paraId="0135FDD2"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0F57019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17E495F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1.12 ± 0.663</w:t>
            </w:r>
          </w:p>
        </w:tc>
        <w:tc>
          <w:tcPr>
            <w:tcW w:w="557" w:type="pct"/>
            <w:tcBorders>
              <w:top w:val="nil"/>
              <w:left w:val="nil"/>
              <w:bottom w:val="nil"/>
              <w:right w:val="nil"/>
            </w:tcBorders>
            <w:shd w:val="clear" w:color="auto" w:fill="auto"/>
            <w:noWrap/>
            <w:vAlign w:val="center"/>
            <w:hideMark/>
          </w:tcPr>
          <w:p w14:paraId="375AB64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0.99 ± 0.272</w:t>
            </w:r>
          </w:p>
        </w:tc>
        <w:tc>
          <w:tcPr>
            <w:tcW w:w="557" w:type="pct"/>
            <w:tcBorders>
              <w:top w:val="nil"/>
              <w:left w:val="nil"/>
              <w:bottom w:val="nil"/>
              <w:right w:val="nil"/>
            </w:tcBorders>
            <w:shd w:val="clear" w:color="auto" w:fill="auto"/>
            <w:noWrap/>
            <w:vAlign w:val="center"/>
            <w:hideMark/>
          </w:tcPr>
          <w:p w14:paraId="2E0ECBA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1.05 ± 0.433</w:t>
            </w:r>
          </w:p>
        </w:tc>
        <w:tc>
          <w:tcPr>
            <w:tcW w:w="550" w:type="pct"/>
            <w:gridSpan w:val="2"/>
            <w:tcBorders>
              <w:top w:val="nil"/>
              <w:left w:val="nil"/>
              <w:bottom w:val="nil"/>
              <w:right w:val="nil"/>
            </w:tcBorders>
            <w:shd w:val="clear" w:color="auto" w:fill="auto"/>
            <w:noWrap/>
            <w:vAlign w:val="center"/>
            <w:hideMark/>
          </w:tcPr>
          <w:p w14:paraId="08A83E6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0.96 ± 0.534</w:t>
            </w:r>
          </w:p>
        </w:tc>
        <w:tc>
          <w:tcPr>
            <w:tcW w:w="557" w:type="pct"/>
            <w:tcBorders>
              <w:top w:val="nil"/>
              <w:left w:val="nil"/>
              <w:bottom w:val="nil"/>
              <w:right w:val="nil"/>
            </w:tcBorders>
            <w:shd w:val="clear" w:color="auto" w:fill="auto"/>
            <w:noWrap/>
            <w:vAlign w:val="center"/>
            <w:hideMark/>
          </w:tcPr>
          <w:p w14:paraId="396FDD9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0.91 ± 0.381</w:t>
            </w:r>
          </w:p>
        </w:tc>
        <w:tc>
          <w:tcPr>
            <w:tcW w:w="557" w:type="pct"/>
            <w:tcBorders>
              <w:top w:val="nil"/>
              <w:left w:val="nil"/>
              <w:bottom w:val="nil"/>
              <w:right w:val="nil"/>
            </w:tcBorders>
            <w:shd w:val="clear" w:color="auto" w:fill="auto"/>
            <w:noWrap/>
            <w:vAlign w:val="center"/>
            <w:hideMark/>
          </w:tcPr>
          <w:p w14:paraId="1395160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1.11 ± 0.402</w:t>
            </w:r>
          </w:p>
        </w:tc>
        <w:tc>
          <w:tcPr>
            <w:tcW w:w="558" w:type="pct"/>
            <w:tcBorders>
              <w:top w:val="nil"/>
              <w:left w:val="nil"/>
              <w:bottom w:val="nil"/>
              <w:right w:val="nil"/>
            </w:tcBorders>
            <w:shd w:val="clear" w:color="auto" w:fill="auto"/>
            <w:noWrap/>
            <w:vAlign w:val="center"/>
            <w:hideMark/>
          </w:tcPr>
          <w:p w14:paraId="597B673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0.72 ± 0.284</w:t>
            </w:r>
          </w:p>
        </w:tc>
      </w:tr>
      <w:tr w:rsidR="00EF65F1" w14:paraId="280ACDC7" w14:textId="77777777">
        <w:trPr>
          <w:trHeight w:val="259"/>
        </w:trPr>
        <w:tc>
          <w:tcPr>
            <w:tcW w:w="459" w:type="pct"/>
            <w:tcBorders>
              <w:top w:val="nil"/>
              <w:left w:val="nil"/>
              <w:bottom w:val="nil"/>
              <w:right w:val="nil"/>
            </w:tcBorders>
            <w:shd w:val="clear" w:color="auto" w:fill="auto"/>
            <w:noWrap/>
            <w:vAlign w:val="bottom"/>
            <w:hideMark/>
          </w:tcPr>
          <w:p w14:paraId="3D4A6CEB"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6B41439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41CBF2D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0.97 ± 0.449</w:t>
            </w:r>
          </w:p>
        </w:tc>
        <w:tc>
          <w:tcPr>
            <w:tcW w:w="557" w:type="pct"/>
            <w:tcBorders>
              <w:top w:val="nil"/>
              <w:left w:val="nil"/>
              <w:bottom w:val="nil"/>
              <w:right w:val="nil"/>
            </w:tcBorders>
            <w:shd w:val="clear" w:color="auto" w:fill="auto"/>
            <w:noWrap/>
            <w:vAlign w:val="center"/>
            <w:hideMark/>
          </w:tcPr>
          <w:p w14:paraId="4830186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1.00 ± 0.530</w:t>
            </w:r>
          </w:p>
        </w:tc>
        <w:tc>
          <w:tcPr>
            <w:tcW w:w="557" w:type="pct"/>
            <w:tcBorders>
              <w:top w:val="nil"/>
              <w:left w:val="nil"/>
              <w:bottom w:val="nil"/>
              <w:right w:val="nil"/>
            </w:tcBorders>
            <w:shd w:val="clear" w:color="auto" w:fill="auto"/>
            <w:noWrap/>
            <w:vAlign w:val="center"/>
            <w:hideMark/>
          </w:tcPr>
          <w:p w14:paraId="7825937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1.04 ± 0.502</w:t>
            </w:r>
          </w:p>
        </w:tc>
        <w:tc>
          <w:tcPr>
            <w:tcW w:w="550" w:type="pct"/>
            <w:gridSpan w:val="2"/>
            <w:tcBorders>
              <w:top w:val="nil"/>
              <w:left w:val="nil"/>
              <w:bottom w:val="nil"/>
              <w:right w:val="nil"/>
            </w:tcBorders>
            <w:shd w:val="clear" w:color="auto" w:fill="auto"/>
            <w:noWrap/>
            <w:vAlign w:val="center"/>
            <w:hideMark/>
          </w:tcPr>
          <w:p w14:paraId="5496365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0.99 ± 0.670</w:t>
            </w:r>
          </w:p>
        </w:tc>
        <w:tc>
          <w:tcPr>
            <w:tcW w:w="557" w:type="pct"/>
            <w:tcBorders>
              <w:top w:val="nil"/>
              <w:left w:val="nil"/>
              <w:bottom w:val="nil"/>
              <w:right w:val="nil"/>
            </w:tcBorders>
            <w:shd w:val="clear" w:color="auto" w:fill="auto"/>
            <w:noWrap/>
            <w:vAlign w:val="center"/>
            <w:hideMark/>
          </w:tcPr>
          <w:p w14:paraId="21AF447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0.95 ± 0.288</w:t>
            </w:r>
          </w:p>
        </w:tc>
        <w:tc>
          <w:tcPr>
            <w:tcW w:w="557" w:type="pct"/>
            <w:tcBorders>
              <w:top w:val="nil"/>
              <w:left w:val="nil"/>
              <w:bottom w:val="nil"/>
              <w:right w:val="nil"/>
            </w:tcBorders>
            <w:shd w:val="clear" w:color="auto" w:fill="auto"/>
            <w:noWrap/>
            <w:vAlign w:val="center"/>
            <w:hideMark/>
          </w:tcPr>
          <w:p w14:paraId="5BE1ED5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0.95 ± 0.295</w:t>
            </w:r>
          </w:p>
        </w:tc>
        <w:tc>
          <w:tcPr>
            <w:tcW w:w="558" w:type="pct"/>
            <w:tcBorders>
              <w:top w:val="nil"/>
              <w:left w:val="nil"/>
              <w:bottom w:val="nil"/>
              <w:right w:val="nil"/>
            </w:tcBorders>
            <w:shd w:val="clear" w:color="auto" w:fill="auto"/>
            <w:noWrap/>
            <w:vAlign w:val="center"/>
            <w:hideMark/>
          </w:tcPr>
          <w:p w14:paraId="055BA66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0.85 ± 0.551</w:t>
            </w:r>
          </w:p>
        </w:tc>
      </w:tr>
      <w:tr w:rsidR="00EF65F1" w14:paraId="04D3D123" w14:textId="77777777">
        <w:trPr>
          <w:trHeight w:val="259"/>
        </w:trPr>
        <w:tc>
          <w:tcPr>
            <w:tcW w:w="459" w:type="pct"/>
            <w:tcBorders>
              <w:top w:val="nil"/>
              <w:left w:val="nil"/>
              <w:bottom w:val="nil"/>
              <w:right w:val="nil"/>
            </w:tcBorders>
            <w:shd w:val="clear" w:color="auto" w:fill="auto"/>
            <w:noWrap/>
            <w:vAlign w:val="bottom"/>
            <w:hideMark/>
          </w:tcPr>
          <w:p w14:paraId="41850C68"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2839C5B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550" w:type="pct"/>
            <w:tcBorders>
              <w:top w:val="nil"/>
              <w:left w:val="nil"/>
              <w:bottom w:val="nil"/>
              <w:right w:val="nil"/>
            </w:tcBorders>
            <w:shd w:val="clear" w:color="auto" w:fill="auto"/>
            <w:noWrap/>
            <w:vAlign w:val="bottom"/>
            <w:hideMark/>
          </w:tcPr>
          <w:p w14:paraId="4B624EA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0.16</w:t>
            </w:r>
          </w:p>
        </w:tc>
        <w:tc>
          <w:tcPr>
            <w:tcW w:w="557" w:type="pct"/>
            <w:tcBorders>
              <w:top w:val="nil"/>
              <w:left w:val="nil"/>
              <w:bottom w:val="nil"/>
              <w:right w:val="nil"/>
            </w:tcBorders>
            <w:shd w:val="clear" w:color="auto" w:fill="auto"/>
            <w:noWrap/>
            <w:vAlign w:val="bottom"/>
            <w:hideMark/>
          </w:tcPr>
          <w:p w14:paraId="1570225B"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0.13</w:t>
            </w:r>
          </w:p>
        </w:tc>
        <w:tc>
          <w:tcPr>
            <w:tcW w:w="557" w:type="pct"/>
            <w:tcBorders>
              <w:top w:val="nil"/>
              <w:left w:val="nil"/>
              <w:bottom w:val="nil"/>
              <w:right w:val="nil"/>
            </w:tcBorders>
            <w:shd w:val="clear" w:color="auto" w:fill="auto"/>
            <w:noWrap/>
            <w:vAlign w:val="bottom"/>
            <w:hideMark/>
          </w:tcPr>
          <w:p w14:paraId="09E2ADB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0.14</w:t>
            </w:r>
          </w:p>
        </w:tc>
        <w:tc>
          <w:tcPr>
            <w:tcW w:w="550" w:type="pct"/>
            <w:gridSpan w:val="2"/>
            <w:tcBorders>
              <w:top w:val="nil"/>
              <w:left w:val="nil"/>
              <w:bottom w:val="nil"/>
              <w:right w:val="nil"/>
            </w:tcBorders>
            <w:shd w:val="clear" w:color="auto" w:fill="auto"/>
            <w:noWrap/>
            <w:vAlign w:val="bottom"/>
            <w:hideMark/>
          </w:tcPr>
          <w:p w14:paraId="582E0E5B"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0.17</w:t>
            </w:r>
          </w:p>
        </w:tc>
        <w:tc>
          <w:tcPr>
            <w:tcW w:w="557" w:type="pct"/>
            <w:tcBorders>
              <w:top w:val="nil"/>
              <w:left w:val="nil"/>
              <w:bottom w:val="nil"/>
              <w:right w:val="nil"/>
            </w:tcBorders>
            <w:shd w:val="clear" w:color="auto" w:fill="auto"/>
            <w:noWrap/>
            <w:vAlign w:val="bottom"/>
            <w:hideMark/>
          </w:tcPr>
          <w:p w14:paraId="79E99598"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0.12</w:t>
            </w:r>
          </w:p>
        </w:tc>
        <w:tc>
          <w:tcPr>
            <w:tcW w:w="557" w:type="pct"/>
            <w:tcBorders>
              <w:top w:val="nil"/>
              <w:left w:val="nil"/>
              <w:bottom w:val="nil"/>
              <w:right w:val="nil"/>
            </w:tcBorders>
            <w:shd w:val="clear" w:color="auto" w:fill="auto"/>
            <w:noWrap/>
            <w:vAlign w:val="bottom"/>
            <w:hideMark/>
          </w:tcPr>
          <w:p w14:paraId="111CCE9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0.12</w:t>
            </w:r>
          </w:p>
        </w:tc>
        <w:tc>
          <w:tcPr>
            <w:tcW w:w="558" w:type="pct"/>
            <w:tcBorders>
              <w:top w:val="nil"/>
              <w:left w:val="nil"/>
              <w:bottom w:val="nil"/>
              <w:right w:val="nil"/>
            </w:tcBorders>
            <w:shd w:val="clear" w:color="auto" w:fill="auto"/>
            <w:noWrap/>
            <w:vAlign w:val="bottom"/>
            <w:hideMark/>
          </w:tcPr>
          <w:p w14:paraId="192D95A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0.14</w:t>
            </w:r>
          </w:p>
        </w:tc>
      </w:tr>
      <w:tr w:rsidR="00EF65F1" w14:paraId="4599BB40" w14:textId="77777777">
        <w:trPr>
          <w:trHeight w:val="259"/>
        </w:trPr>
        <w:tc>
          <w:tcPr>
            <w:tcW w:w="459" w:type="pct"/>
            <w:tcBorders>
              <w:top w:val="nil"/>
              <w:left w:val="nil"/>
              <w:bottom w:val="single" w:sz="4" w:space="0" w:color="auto"/>
              <w:right w:val="nil"/>
            </w:tcBorders>
            <w:shd w:val="clear" w:color="auto" w:fill="auto"/>
            <w:noWrap/>
            <w:vAlign w:val="bottom"/>
            <w:hideMark/>
          </w:tcPr>
          <w:p w14:paraId="4D0AE38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35C7E4F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50A7F50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0.42</w:t>
            </w:r>
          </w:p>
        </w:tc>
        <w:tc>
          <w:tcPr>
            <w:tcW w:w="557" w:type="pct"/>
            <w:tcBorders>
              <w:top w:val="nil"/>
              <w:left w:val="nil"/>
              <w:bottom w:val="single" w:sz="4" w:space="0" w:color="auto"/>
              <w:right w:val="nil"/>
            </w:tcBorders>
            <w:shd w:val="clear" w:color="auto" w:fill="auto"/>
            <w:noWrap/>
            <w:vAlign w:val="bottom"/>
            <w:hideMark/>
          </w:tcPr>
          <w:p w14:paraId="566F0B5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0.77</w:t>
            </w:r>
          </w:p>
        </w:tc>
        <w:tc>
          <w:tcPr>
            <w:tcW w:w="557" w:type="pct"/>
            <w:tcBorders>
              <w:top w:val="nil"/>
              <w:left w:val="nil"/>
              <w:bottom w:val="single" w:sz="4" w:space="0" w:color="auto"/>
              <w:right w:val="nil"/>
            </w:tcBorders>
            <w:shd w:val="clear" w:color="auto" w:fill="auto"/>
            <w:noWrap/>
            <w:vAlign w:val="bottom"/>
            <w:hideMark/>
          </w:tcPr>
          <w:p w14:paraId="7D12081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0.73</w:t>
            </w:r>
          </w:p>
        </w:tc>
        <w:tc>
          <w:tcPr>
            <w:tcW w:w="550" w:type="pct"/>
            <w:gridSpan w:val="2"/>
            <w:tcBorders>
              <w:top w:val="nil"/>
              <w:left w:val="nil"/>
              <w:bottom w:val="single" w:sz="4" w:space="0" w:color="auto"/>
              <w:right w:val="nil"/>
            </w:tcBorders>
            <w:shd w:val="clear" w:color="auto" w:fill="auto"/>
            <w:noWrap/>
            <w:vAlign w:val="bottom"/>
            <w:hideMark/>
          </w:tcPr>
          <w:p w14:paraId="37CDB9F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0.94</w:t>
            </w:r>
          </w:p>
        </w:tc>
        <w:tc>
          <w:tcPr>
            <w:tcW w:w="557" w:type="pct"/>
            <w:tcBorders>
              <w:top w:val="nil"/>
              <w:left w:val="nil"/>
              <w:bottom w:val="single" w:sz="4" w:space="0" w:color="auto"/>
              <w:right w:val="nil"/>
            </w:tcBorders>
            <w:shd w:val="clear" w:color="auto" w:fill="auto"/>
            <w:noWrap/>
            <w:vAlign w:val="bottom"/>
            <w:hideMark/>
          </w:tcPr>
          <w:p w14:paraId="6A632CF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0.97</w:t>
            </w:r>
          </w:p>
        </w:tc>
        <w:tc>
          <w:tcPr>
            <w:tcW w:w="557" w:type="pct"/>
            <w:tcBorders>
              <w:top w:val="nil"/>
              <w:left w:val="nil"/>
              <w:bottom w:val="single" w:sz="4" w:space="0" w:color="auto"/>
              <w:right w:val="nil"/>
            </w:tcBorders>
            <w:shd w:val="clear" w:color="auto" w:fill="auto"/>
            <w:noWrap/>
            <w:vAlign w:val="bottom"/>
            <w:hideMark/>
          </w:tcPr>
          <w:p w14:paraId="79C1C8F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0.34</w:t>
            </w:r>
          </w:p>
        </w:tc>
        <w:tc>
          <w:tcPr>
            <w:tcW w:w="558" w:type="pct"/>
            <w:tcBorders>
              <w:top w:val="nil"/>
              <w:left w:val="nil"/>
              <w:bottom w:val="single" w:sz="4" w:space="0" w:color="auto"/>
              <w:right w:val="nil"/>
            </w:tcBorders>
            <w:shd w:val="clear" w:color="auto" w:fill="auto"/>
            <w:noWrap/>
            <w:vAlign w:val="bottom"/>
            <w:hideMark/>
          </w:tcPr>
          <w:p w14:paraId="1A478A8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0.55</w:t>
            </w:r>
          </w:p>
        </w:tc>
      </w:tr>
      <w:tr w:rsidR="00EF65F1" w14:paraId="3C6227B5" w14:textId="77777777">
        <w:trPr>
          <w:trHeight w:val="259"/>
        </w:trPr>
        <w:tc>
          <w:tcPr>
            <w:tcW w:w="459" w:type="pct"/>
            <w:tcBorders>
              <w:top w:val="nil"/>
              <w:left w:val="nil"/>
              <w:bottom w:val="nil"/>
              <w:right w:val="nil"/>
            </w:tcBorders>
            <w:shd w:val="clear" w:color="auto" w:fill="auto"/>
            <w:noWrap/>
            <w:vAlign w:val="center"/>
            <w:hideMark/>
          </w:tcPr>
          <w:p w14:paraId="35B16329"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24h</w:t>
            </w:r>
          </w:p>
        </w:tc>
        <w:tc>
          <w:tcPr>
            <w:tcW w:w="658" w:type="pct"/>
            <w:gridSpan w:val="3"/>
            <w:tcBorders>
              <w:top w:val="nil"/>
              <w:left w:val="nil"/>
              <w:bottom w:val="nil"/>
              <w:right w:val="nil"/>
            </w:tcBorders>
            <w:shd w:val="clear" w:color="auto" w:fill="auto"/>
            <w:vAlign w:val="center"/>
            <w:hideMark/>
          </w:tcPr>
          <w:p w14:paraId="7135FEB9"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3F79EF7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7" w:type="pct"/>
            <w:tcBorders>
              <w:top w:val="nil"/>
              <w:left w:val="nil"/>
              <w:bottom w:val="nil"/>
              <w:right w:val="nil"/>
            </w:tcBorders>
            <w:shd w:val="clear" w:color="auto" w:fill="auto"/>
            <w:noWrap/>
            <w:vAlign w:val="center"/>
            <w:hideMark/>
          </w:tcPr>
          <w:p w14:paraId="43E3EC8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7" w:type="pct"/>
            <w:tcBorders>
              <w:top w:val="nil"/>
              <w:left w:val="nil"/>
              <w:bottom w:val="nil"/>
              <w:right w:val="nil"/>
            </w:tcBorders>
            <w:shd w:val="clear" w:color="auto" w:fill="auto"/>
            <w:noWrap/>
            <w:vAlign w:val="center"/>
            <w:hideMark/>
          </w:tcPr>
          <w:p w14:paraId="19F5405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0" w:type="pct"/>
            <w:gridSpan w:val="2"/>
            <w:tcBorders>
              <w:top w:val="nil"/>
              <w:left w:val="nil"/>
              <w:bottom w:val="nil"/>
              <w:right w:val="nil"/>
            </w:tcBorders>
            <w:shd w:val="clear" w:color="auto" w:fill="auto"/>
            <w:noWrap/>
            <w:vAlign w:val="center"/>
            <w:hideMark/>
          </w:tcPr>
          <w:p w14:paraId="70B2593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7" w:type="pct"/>
            <w:tcBorders>
              <w:top w:val="nil"/>
              <w:left w:val="nil"/>
              <w:bottom w:val="nil"/>
              <w:right w:val="nil"/>
            </w:tcBorders>
            <w:shd w:val="clear" w:color="auto" w:fill="auto"/>
            <w:noWrap/>
            <w:vAlign w:val="center"/>
            <w:hideMark/>
          </w:tcPr>
          <w:p w14:paraId="0516813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7" w:type="pct"/>
            <w:tcBorders>
              <w:top w:val="nil"/>
              <w:left w:val="nil"/>
              <w:bottom w:val="nil"/>
              <w:right w:val="nil"/>
            </w:tcBorders>
            <w:shd w:val="clear" w:color="auto" w:fill="auto"/>
            <w:noWrap/>
            <w:vAlign w:val="center"/>
            <w:hideMark/>
          </w:tcPr>
          <w:p w14:paraId="4B6888E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c>
          <w:tcPr>
            <w:tcW w:w="558" w:type="pct"/>
            <w:tcBorders>
              <w:top w:val="nil"/>
              <w:left w:val="nil"/>
              <w:bottom w:val="nil"/>
              <w:right w:val="nil"/>
            </w:tcBorders>
            <w:shd w:val="clear" w:color="auto" w:fill="auto"/>
            <w:noWrap/>
            <w:vAlign w:val="center"/>
            <w:hideMark/>
          </w:tcPr>
          <w:p w14:paraId="0457EE6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2.86 ± 0.890</w:t>
            </w:r>
          </w:p>
        </w:tc>
      </w:tr>
      <w:tr w:rsidR="00EF65F1" w14:paraId="1C110D79" w14:textId="77777777">
        <w:trPr>
          <w:trHeight w:val="259"/>
        </w:trPr>
        <w:tc>
          <w:tcPr>
            <w:tcW w:w="459" w:type="pct"/>
            <w:tcBorders>
              <w:top w:val="nil"/>
              <w:left w:val="nil"/>
              <w:bottom w:val="nil"/>
              <w:right w:val="nil"/>
            </w:tcBorders>
            <w:shd w:val="clear" w:color="auto" w:fill="auto"/>
            <w:noWrap/>
            <w:vAlign w:val="bottom"/>
            <w:hideMark/>
          </w:tcPr>
          <w:p w14:paraId="1C9A245F"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60720D4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1274428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2.70 ± 0.824</w:t>
            </w:r>
          </w:p>
        </w:tc>
        <w:tc>
          <w:tcPr>
            <w:tcW w:w="557" w:type="pct"/>
            <w:tcBorders>
              <w:top w:val="nil"/>
              <w:left w:val="nil"/>
              <w:bottom w:val="nil"/>
              <w:right w:val="nil"/>
            </w:tcBorders>
            <w:shd w:val="clear" w:color="auto" w:fill="auto"/>
            <w:noWrap/>
            <w:vAlign w:val="center"/>
            <w:hideMark/>
          </w:tcPr>
          <w:p w14:paraId="1129C1F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2.80 ± 0.516</w:t>
            </w:r>
          </w:p>
        </w:tc>
        <w:tc>
          <w:tcPr>
            <w:tcW w:w="557" w:type="pct"/>
            <w:tcBorders>
              <w:top w:val="nil"/>
              <w:left w:val="nil"/>
              <w:bottom w:val="nil"/>
              <w:right w:val="nil"/>
            </w:tcBorders>
            <w:shd w:val="clear" w:color="auto" w:fill="auto"/>
            <w:noWrap/>
            <w:vAlign w:val="center"/>
            <w:hideMark/>
          </w:tcPr>
          <w:p w14:paraId="0A02D0B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2.85 ± 0.396</w:t>
            </w:r>
          </w:p>
        </w:tc>
        <w:tc>
          <w:tcPr>
            <w:tcW w:w="550" w:type="pct"/>
            <w:gridSpan w:val="2"/>
            <w:tcBorders>
              <w:top w:val="nil"/>
              <w:left w:val="nil"/>
              <w:bottom w:val="nil"/>
              <w:right w:val="nil"/>
            </w:tcBorders>
            <w:shd w:val="clear" w:color="auto" w:fill="auto"/>
            <w:noWrap/>
            <w:vAlign w:val="center"/>
            <w:hideMark/>
          </w:tcPr>
          <w:p w14:paraId="290CAD0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3.10 ± 0.419</w:t>
            </w:r>
          </w:p>
        </w:tc>
        <w:tc>
          <w:tcPr>
            <w:tcW w:w="557" w:type="pct"/>
            <w:tcBorders>
              <w:top w:val="nil"/>
              <w:left w:val="nil"/>
              <w:bottom w:val="nil"/>
              <w:right w:val="nil"/>
            </w:tcBorders>
            <w:shd w:val="clear" w:color="auto" w:fill="auto"/>
            <w:noWrap/>
            <w:vAlign w:val="center"/>
            <w:hideMark/>
          </w:tcPr>
          <w:p w14:paraId="6655DAA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2.57 ± 0.769</w:t>
            </w:r>
          </w:p>
        </w:tc>
        <w:tc>
          <w:tcPr>
            <w:tcW w:w="557" w:type="pct"/>
            <w:tcBorders>
              <w:top w:val="nil"/>
              <w:left w:val="nil"/>
              <w:bottom w:val="nil"/>
              <w:right w:val="nil"/>
            </w:tcBorders>
            <w:shd w:val="clear" w:color="auto" w:fill="auto"/>
            <w:noWrap/>
            <w:vAlign w:val="center"/>
            <w:hideMark/>
          </w:tcPr>
          <w:p w14:paraId="06B10F1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3.54 ± 0.840</w:t>
            </w:r>
          </w:p>
        </w:tc>
        <w:tc>
          <w:tcPr>
            <w:tcW w:w="558" w:type="pct"/>
            <w:tcBorders>
              <w:top w:val="nil"/>
              <w:left w:val="nil"/>
              <w:bottom w:val="nil"/>
              <w:right w:val="nil"/>
            </w:tcBorders>
            <w:shd w:val="clear" w:color="auto" w:fill="auto"/>
            <w:noWrap/>
            <w:vAlign w:val="center"/>
            <w:hideMark/>
          </w:tcPr>
          <w:p w14:paraId="519D56A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2.39 ± 0.509</w:t>
            </w:r>
          </w:p>
        </w:tc>
      </w:tr>
      <w:tr w:rsidR="00EF65F1" w14:paraId="1F5041EE" w14:textId="77777777">
        <w:trPr>
          <w:trHeight w:val="259"/>
        </w:trPr>
        <w:tc>
          <w:tcPr>
            <w:tcW w:w="459" w:type="pct"/>
            <w:tcBorders>
              <w:top w:val="nil"/>
              <w:left w:val="nil"/>
              <w:bottom w:val="nil"/>
              <w:right w:val="nil"/>
            </w:tcBorders>
            <w:shd w:val="clear" w:color="auto" w:fill="auto"/>
            <w:noWrap/>
            <w:vAlign w:val="bottom"/>
            <w:hideMark/>
          </w:tcPr>
          <w:p w14:paraId="553E8A29"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5B47315E"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553DC14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3.79 ± 1.376</w:t>
            </w:r>
          </w:p>
        </w:tc>
        <w:tc>
          <w:tcPr>
            <w:tcW w:w="557" w:type="pct"/>
            <w:tcBorders>
              <w:top w:val="nil"/>
              <w:left w:val="nil"/>
              <w:bottom w:val="nil"/>
              <w:right w:val="nil"/>
            </w:tcBorders>
            <w:shd w:val="clear" w:color="auto" w:fill="auto"/>
            <w:noWrap/>
            <w:vAlign w:val="center"/>
            <w:hideMark/>
          </w:tcPr>
          <w:p w14:paraId="3D2BE03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3.72 ± 0.753</w:t>
            </w:r>
          </w:p>
        </w:tc>
        <w:tc>
          <w:tcPr>
            <w:tcW w:w="557" w:type="pct"/>
            <w:tcBorders>
              <w:top w:val="nil"/>
              <w:left w:val="nil"/>
              <w:bottom w:val="nil"/>
              <w:right w:val="nil"/>
            </w:tcBorders>
            <w:shd w:val="clear" w:color="auto" w:fill="auto"/>
            <w:noWrap/>
            <w:vAlign w:val="center"/>
            <w:hideMark/>
          </w:tcPr>
          <w:p w14:paraId="57454C49"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 1.102</w:t>
            </w:r>
          </w:p>
        </w:tc>
        <w:tc>
          <w:tcPr>
            <w:tcW w:w="550" w:type="pct"/>
            <w:gridSpan w:val="2"/>
            <w:tcBorders>
              <w:top w:val="nil"/>
              <w:left w:val="nil"/>
              <w:bottom w:val="nil"/>
              <w:right w:val="nil"/>
            </w:tcBorders>
            <w:shd w:val="clear" w:color="auto" w:fill="auto"/>
            <w:noWrap/>
            <w:vAlign w:val="center"/>
            <w:hideMark/>
          </w:tcPr>
          <w:p w14:paraId="188C701A"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3.12 ± 1.357</w:t>
            </w:r>
          </w:p>
        </w:tc>
        <w:tc>
          <w:tcPr>
            <w:tcW w:w="557" w:type="pct"/>
            <w:tcBorders>
              <w:top w:val="nil"/>
              <w:left w:val="nil"/>
              <w:bottom w:val="nil"/>
              <w:right w:val="nil"/>
            </w:tcBorders>
            <w:shd w:val="clear" w:color="auto" w:fill="auto"/>
            <w:noWrap/>
            <w:vAlign w:val="center"/>
            <w:hideMark/>
          </w:tcPr>
          <w:p w14:paraId="5EB55848"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2.68 ± 0.673</w:t>
            </w:r>
          </w:p>
        </w:tc>
        <w:tc>
          <w:tcPr>
            <w:tcW w:w="557" w:type="pct"/>
            <w:tcBorders>
              <w:top w:val="nil"/>
              <w:left w:val="nil"/>
              <w:bottom w:val="nil"/>
              <w:right w:val="nil"/>
            </w:tcBorders>
            <w:shd w:val="clear" w:color="auto" w:fill="auto"/>
            <w:noWrap/>
            <w:vAlign w:val="center"/>
            <w:hideMark/>
          </w:tcPr>
          <w:p w14:paraId="6E089CE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2.43 ± 1.368</w:t>
            </w:r>
          </w:p>
        </w:tc>
        <w:tc>
          <w:tcPr>
            <w:tcW w:w="558" w:type="pct"/>
            <w:tcBorders>
              <w:top w:val="nil"/>
              <w:left w:val="nil"/>
              <w:bottom w:val="nil"/>
              <w:right w:val="nil"/>
            </w:tcBorders>
            <w:shd w:val="clear" w:color="auto" w:fill="auto"/>
            <w:noWrap/>
            <w:vAlign w:val="center"/>
            <w:hideMark/>
          </w:tcPr>
          <w:p w14:paraId="5B77D5C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2.68 ± 0.950</w:t>
            </w:r>
          </w:p>
        </w:tc>
      </w:tr>
      <w:tr w:rsidR="00EF65F1" w14:paraId="07200A25" w14:textId="77777777">
        <w:trPr>
          <w:trHeight w:val="259"/>
        </w:trPr>
        <w:tc>
          <w:tcPr>
            <w:tcW w:w="459" w:type="pct"/>
            <w:tcBorders>
              <w:top w:val="nil"/>
              <w:left w:val="nil"/>
              <w:bottom w:val="nil"/>
              <w:right w:val="nil"/>
            </w:tcBorders>
            <w:shd w:val="clear" w:color="auto" w:fill="auto"/>
            <w:noWrap/>
            <w:vAlign w:val="bottom"/>
            <w:hideMark/>
          </w:tcPr>
          <w:p w14:paraId="64FE01C1"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7F962F1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550" w:type="pct"/>
            <w:tcBorders>
              <w:top w:val="nil"/>
              <w:left w:val="nil"/>
              <w:bottom w:val="nil"/>
              <w:right w:val="nil"/>
            </w:tcBorders>
            <w:shd w:val="clear" w:color="auto" w:fill="auto"/>
            <w:noWrap/>
            <w:vAlign w:val="bottom"/>
            <w:hideMark/>
          </w:tcPr>
          <w:p w14:paraId="3F99675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0.35</w:t>
            </w:r>
          </w:p>
        </w:tc>
        <w:tc>
          <w:tcPr>
            <w:tcW w:w="557" w:type="pct"/>
            <w:tcBorders>
              <w:top w:val="nil"/>
              <w:left w:val="nil"/>
              <w:bottom w:val="nil"/>
              <w:right w:val="nil"/>
            </w:tcBorders>
            <w:shd w:val="clear" w:color="auto" w:fill="auto"/>
            <w:noWrap/>
            <w:vAlign w:val="bottom"/>
            <w:hideMark/>
          </w:tcPr>
          <w:p w14:paraId="7B1F24B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0.26</w:t>
            </w:r>
          </w:p>
        </w:tc>
        <w:tc>
          <w:tcPr>
            <w:tcW w:w="557" w:type="pct"/>
            <w:tcBorders>
              <w:top w:val="nil"/>
              <w:left w:val="nil"/>
              <w:bottom w:val="nil"/>
              <w:right w:val="nil"/>
            </w:tcBorders>
            <w:shd w:val="clear" w:color="auto" w:fill="auto"/>
            <w:noWrap/>
            <w:vAlign w:val="bottom"/>
            <w:hideMark/>
          </w:tcPr>
          <w:p w14:paraId="74D14B3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0.25</w:t>
            </w:r>
          </w:p>
        </w:tc>
        <w:tc>
          <w:tcPr>
            <w:tcW w:w="550" w:type="pct"/>
            <w:gridSpan w:val="2"/>
            <w:tcBorders>
              <w:top w:val="nil"/>
              <w:left w:val="nil"/>
              <w:bottom w:val="nil"/>
              <w:right w:val="nil"/>
            </w:tcBorders>
            <w:shd w:val="clear" w:color="auto" w:fill="auto"/>
            <w:noWrap/>
            <w:vAlign w:val="bottom"/>
            <w:hideMark/>
          </w:tcPr>
          <w:p w14:paraId="1C3F4DD5"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0.28</w:t>
            </w:r>
          </w:p>
        </w:tc>
        <w:tc>
          <w:tcPr>
            <w:tcW w:w="557" w:type="pct"/>
            <w:tcBorders>
              <w:top w:val="nil"/>
              <w:left w:val="nil"/>
              <w:bottom w:val="nil"/>
              <w:right w:val="nil"/>
            </w:tcBorders>
            <w:shd w:val="clear" w:color="auto" w:fill="auto"/>
            <w:noWrap/>
            <w:vAlign w:val="bottom"/>
            <w:hideMark/>
          </w:tcPr>
          <w:p w14:paraId="4399978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0.23</w:t>
            </w:r>
          </w:p>
        </w:tc>
        <w:tc>
          <w:tcPr>
            <w:tcW w:w="557" w:type="pct"/>
            <w:tcBorders>
              <w:top w:val="nil"/>
              <w:left w:val="nil"/>
              <w:bottom w:val="nil"/>
              <w:right w:val="nil"/>
            </w:tcBorders>
            <w:shd w:val="clear" w:color="auto" w:fill="auto"/>
            <w:noWrap/>
            <w:vAlign w:val="bottom"/>
            <w:hideMark/>
          </w:tcPr>
          <w:p w14:paraId="7657FEBF"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0.35</w:t>
            </w:r>
          </w:p>
        </w:tc>
        <w:tc>
          <w:tcPr>
            <w:tcW w:w="558" w:type="pct"/>
            <w:tcBorders>
              <w:top w:val="nil"/>
              <w:left w:val="nil"/>
              <w:bottom w:val="nil"/>
              <w:right w:val="nil"/>
            </w:tcBorders>
            <w:shd w:val="clear" w:color="auto" w:fill="auto"/>
            <w:noWrap/>
            <w:vAlign w:val="bottom"/>
            <w:hideMark/>
          </w:tcPr>
          <w:p w14:paraId="28D4CF4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0.24</w:t>
            </w:r>
          </w:p>
        </w:tc>
      </w:tr>
      <w:tr w:rsidR="00EF65F1" w14:paraId="788D0E72" w14:textId="77777777">
        <w:trPr>
          <w:trHeight w:val="259"/>
        </w:trPr>
        <w:tc>
          <w:tcPr>
            <w:tcW w:w="459" w:type="pct"/>
            <w:tcBorders>
              <w:top w:val="nil"/>
              <w:left w:val="nil"/>
              <w:bottom w:val="single" w:sz="4" w:space="0" w:color="auto"/>
              <w:right w:val="nil"/>
            </w:tcBorders>
            <w:shd w:val="clear" w:color="auto" w:fill="auto"/>
            <w:noWrap/>
            <w:vAlign w:val="bottom"/>
            <w:hideMark/>
          </w:tcPr>
          <w:p w14:paraId="7331E7E2"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5C99BD0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10F51C4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0.12</w:t>
            </w:r>
          </w:p>
        </w:tc>
        <w:tc>
          <w:tcPr>
            <w:tcW w:w="557" w:type="pct"/>
            <w:tcBorders>
              <w:top w:val="nil"/>
              <w:left w:val="nil"/>
              <w:bottom w:val="single" w:sz="4" w:space="0" w:color="auto"/>
              <w:right w:val="nil"/>
            </w:tcBorders>
            <w:shd w:val="clear" w:color="auto" w:fill="auto"/>
            <w:noWrap/>
            <w:vAlign w:val="bottom"/>
            <w:hideMark/>
          </w:tcPr>
          <w:p w14:paraId="264B3AEB"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0.13</w:t>
            </w:r>
          </w:p>
        </w:tc>
        <w:tc>
          <w:tcPr>
            <w:tcW w:w="557" w:type="pct"/>
            <w:tcBorders>
              <w:top w:val="nil"/>
              <w:left w:val="nil"/>
              <w:bottom w:val="single" w:sz="4" w:space="0" w:color="auto"/>
              <w:right w:val="nil"/>
            </w:tcBorders>
            <w:shd w:val="clear" w:color="auto" w:fill="auto"/>
            <w:noWrap/>
            <w:vAlign w:val="bottom"/>
            <w:hideMark/>
          </w:tcPr>
          <w:p w14:paraId="2F2022C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0.86</w:t>
            </w:r>
          </w:p>
        </w:tc>
        <w:tc>
          <w:tcPr>
            <w:tcW w:w="550" w:type="pct"/>
            <w:gridSpan w:val="2"/>
            <w:tcBorders>
              <w:top w:val="nil"/>
              <w:left w:val="nil"/>
              <w:bottom w:val="single" w:sz="4" w:space="0" w:color="auto"/>
              <w:right w:val="nil"/>
            </w:tcBorders>
            <w:shd w:val="clear" w:color="auto" w:fill="auto"/>
            <w:noWrap/>
            <w:vAlign w:val="bottom"/>
            <w:hideMark/>
          </w:tcPr>
          <w:p w14:paraId="7EE26110"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0.87</w:t>
            </w:r>
          </w:p>
        </w:tc>
        <w:tc>
          <w:tcPr>
            <w:tcW w:w="557" w:type="pct"/>
            <w:tcBorders>
              <w:top w:val="nil"/>
              <w:left w:val="nil"/>
              <w:bottom w:val="single" w:sz="4" w:space="0" w:color="auto"/>
              <w:right w:val="nil"/>
            </w:tcBorders>
            <w:shd w:val="clear" w:color="auto" w:fill="auto"/>
            <w:noWrap/>
            <w:vAlign w:val="bottom"/>
            <w:hideMark/>
          </w:tcPr>
          <w:p w14:paraId="4DB294E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0.44</w:t>
            </w:r>
          </w:p>
        </w:tc>
        <w:tc>
          <w:tcPr>
            <w:tcW w:w="557" w:type="pct"/>
            <w:tcBorders>
              <w:top w:val="nil"/>
              <w:left w:val="nil"/>
              <w:bottom w:val="single" w:sz="4" w:space="0" w:color="auto"/>
              <w:right w:val="nil"/>
            </w:tcBorders>
            <w:shd w:val="clear" w:color="auto" w:fill="auto"/>
            <w:noWrap/>
            <w:vAlign w:val="bottom"/>
            <w:hideMark/>
          </w:tcPr>
          <w:p w14:paraId="57083A83"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0.09</w:t>
            </w:r>
          </w:p>
        </w:tc>
        <w:tc>
          <w:tcPr>
            <w:tcW w:w="558" w:type="pct"/>
            <w:tcBorders>
              <w:top w:val="nil"/>
              <w:left w:val="nil"/>
              <w:bottom w:val="single" w:sz="4" w:space="0" w:color="auto"/>
              <w:right w:val="nil"/>
            </w:tcBorders>
            <w:shd w:val="clear" w:color="auto" w:fill="auto"/>
            <w:noWrap/>
            <w:vAlign w:val="bottom"/>
            <w:hideMark/>
          </w:tcPr>
          <w:p w14:paraId="71B99B70"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0.31</w:t>
            </w:r>
          </w:p>
        </w:tc>
      </w:tr>
      <w:tr w:rsidR="00EF65F1" w14:paraId="58826700" w14:textId="77777777">
        <w:trPr>
          <w:trHeight w:val="77"/>
        </w:trPr>
        <w:tc>
          <w:tcPr>
            <w:tcW w:w="459" w:type="pct"/>
            <w:tcBorders>
              <w:top w:val="nil"/>
              <w:left w:val="nil"/>
              <w:bottom w:val="nil"/>
              <w:right w:val="nil"/>
            </w:tcBorders>
            <w:shd w:val="clear" w:color="auto" w:fill="auto"/>
            <w:noWrap/>
            <w:vAlign w:val="center"/>
            <w:hideMark/>
          </w:tcPr>
          <w:p w14:paraId="567027D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48h</w:t>
            </w:r>
          </w:p>
        </w:tc>
        <w:tc>
          <w:tcPr>
            <w:tcW w:w="658" w:type="pct"/>
            <w:gridSpan w:val="3"/>
            <w:tcBorders>
              <w:top w:val="nil"/>
              <w:left w:val="nil"/>
              <w:bottom w:val="nil"/>
              <w:right w:val="nil"/>
            </w:tcBorders>
            <w:shd w:val="clear" w:color="auto" w:fill="auto"/>
            <w:vAlign w:val="center"/>
            <w:hideMark/>
          </w:tcPr>
          <w:p w14:paraId="27B6649D"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550" w:type="pct"/>
            <w:tcBorders>
              <w:top w:val="nil"/>
              <w:left w:val="nil"/>
              <w:bottom w:val="nil"/>
              <w:right w:val="nil"/>
            </w:tcBorders>
            <w:shd w:val="clear" w:color="auto" w:fill="auto"/>
            <w:noWrap/>
            <w:vAlign w:val="center"/>
            <w:hideMark/>
          </w:tcPr>
          <w:p w14:paraId="1B3EA34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c>
          <w:tcPr>
            <w:tcW w:w="557" w:type="pct"/>
            <w:tcBorders>
              <w:top w:val="nil"/>
              <w:left w:val="nil"/>
              <w:bottom w:val="nil"/>
              <w:right w:val="nil"/>
            </w:tcBorders>
            <w:shd w:val="clear" w:color="auto" w:fill="auto"/>
            <w:noWrap/>
            <w:vAlign w:val="center"/>
            <w:hideMark/>
          </w:tcPr>
          <w:p w14:paraId="4D0A457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c>
          <w:tcPr>
            <w:tcW w:w="557" w:type="pct"/>
            <w:tcBorders>
              <w:top w:val="nil"/>
              <w:left w:val="nil"/>
              <w:bottom w:val="nil"/>
              <w:right w:val="nil"/>
            </w:tcBorders>
            <w:shd w:val="clear" w:color="auto" w:fill="auto"/>
            <w:noWrap/>
            <w:vAlign w:val="center"/>
            <w:hideMark/>
          </w:tcPr>
          <w:p w14:paraId="1E16BC72"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w:t>
            </w:r>
            <w:r>
              <w:rPr>
                <w:rFonts w:ascii="Times New Roman" w:eastAsia="Times New Roman" w:hAnsi="Times New Roman" w:cs="Times New Roman"/>
                <w:sz w:val="22"/>
                <w:szCs w:val="22"/>
                <w:vertAlign w:val="superscript"/>
                <w:lang w:eastAsia="en-ZA"/>
              </w:rPr>
              <w:t>ab</w:t>
            </w:r>
            <w:r>
              <w:rPr>
                <w:rFonts w:ascii="Times New Roman" w:eastAsia="Times New Roman" w:hAnsi="Times New Roman" w:cs="Times New Roman"/>
                <w:sz w:val="22"/>
                <w:szCs w:val="22"/>
                <w:lang w:eastAsia="en-ZA"/>
              </w:rPr>
              <w:t xml:space="preserve"> ± 1.782</w:t>
            </w:r>
          </w:p>
        </w:tc>
        <w:tc>
          <w:tcPr>
            <w:tcW w:w="550" w:type="pct"/>
            <w:gridSpan w:val="2"/>
            <w:tcBorders>
              <w:top w:val="nil"/>
              <w:left w:val="nil"/>
              <w:bottom w:val="nil"/>
              <w:right w:val="nil"/>
            </w:tcBorders>
            <w:shd w:val="clear" w:color="auto" w:fill="auto"/>
            <w:noWrap/>
            <w:vAlign w:val="center"/>
            <w:hideMark/>
          </w:tcPr>
          <w:p w14:paraId="6948245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c>
          <w:tcPr>
            <w:tcW w:w="557" w:type="pct"/>
            <w:tcBorders>
              <w:top w:val="nil"/>
              <w:left w:val="nil"/>
              <w:bottom w:val="nil"/>
              <w:right w:val="nil"/>
            </w:tcBorders>
            <w:shd w:val="clear" w:color="auto" w:fill="auto"/>
            <w:noWrap/>
            <w:vAlign w:val="center"/>
            <w:hideMark/>
          </w:tcPr>
          <w:p w14:paraId="0FA665D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c>
          <w:tcPr>
            <w:tcW w:w="557" w:type="pct"/>
            <w:tcBorders>
              <w:top w:val="nil"/>
              <w:left w:val="nil"/>
              <w:bottom w:val="nil"/>
              <w:right w:val="nil"/>
            </w:tcBorders>
            <w:shd w:val="clear" w:color="auto" w:fill="auto"/>
            <w:noWrap/>
            <w:vAlign w:val="center"/>
            <w:hideMark/>
          </w:tcPr>
          <w:p w14:paraId="7D9E7D5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c>
          <w:tcPr>
            <w:tcW w:w="558" w:type="pct"/>
            <w:tcBorders>
              <w:top w:val="nil"/>
              <w:left w:val="nil"/>
              <w:bottom w:val="nil"/>
              <w:right w:val="nil"/>
            </w:tcBorders>
            <w:shd w:val="clear" w:color="auto" w:fill="auto"/>
            <w:noWrap/>
            <w:vAlign w:val="center"/>
            <w:hideMark/>
          </w:tcPr>
          <w:p w14:paraId="443C4DD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4.66 ± 1.782</w:t>
            </w:r>
          </w:p>
        </w:tc>
      </w:tr>
      <w:tr w:rsidR="00EF65F1" w14:paraId="0DDB7366" w14:textId="77777777">
        <w:trPr>
          <w:trHeight w:val="259"/>
        </w:trPr>
        <w:tc>
          <w:tcPr>
            <w:tcW w:w="459" w:type="pct"/>
            <w:tcBorders>
              <w:top w:val="nil"/>
              <w:left w:val="nil"/>
              <w:bottom w:val="nil"/>
              <w:right w:val="nil"/>
            </w:tcBorders>
            <w:shd w:val="clear" w:color="auto" w:fill="auto"/>
            <w:noWrap/>
            <w:vAlign w:val="bottom"/>
            <w:hideMark/>
          </w:tcPr>
          <w:p w14:paraId="1DB6528E"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7689C61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550" w:type="pct"/>
            <w:tcBorders>
              <w:top w:val="nil"/>
              <w:left w:val="nil"/>
              <w:bottom w:val="nil"/>
              <w:right w:val="nil"/>
            </w:tcBorders>
            <w:shd w:val="clear" w:color="auto" w:fill="auto"/>
            <w:noWrap/>
            <w:vAlign w:val="center"/>
            <w:hideMark/>
          </w:tcPr>
          <w:p w14:paraId="1E8206AD"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5.14 ± 1.921</w:t>
            </w:r>
          </w:p>
        </w:tc>
        <w:tc>
          <w:tcPr>
            <w:tcW w:w="557" w:type="pct"/>
            <w:tcBorders>
              <w:top w:val="nil"/>
              <w:left w:val="nil"/>
              <w:bottom w:val="nil"/>
              <w:right w:val="nil"/>
            </w:tcBorders>
            <w:shd w:val="clear" w:color="auto" w:fill="auto"/>
            <w:noWrap/>
            <w:vAlign w:val="center"/>
            <w:hideMark/>
          </w:tcPr>
          <w:p w14:paraId="7D46E0E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4.53 ± 0.839</w:t>
            </w:r>
          </w:p>
        </w:tc>
        <w:tc>
          <w:tcPr>
            <w:tcW w:w="557" w:type="pct"/>
            <w:tcBorders>
              <w:top w:val="nil"/>
              <w:left w:val="nil"/>
              <w:bottom w:val="nil"/>
              <w:right w:val="nil"/>
            </w:tcBorders>
            <w:shd w:val="clear" w:color="auto" w:fill="auto"/>
            <w:noWrap/>
            <w:vAlign w:val="center"/>
            <w:hideMark/>
          </w:tcPr>
          <w:p w14:paraId="232EF7C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5.12</w:t>
            </w:r>
            <w:r>
              <w:rPr>
                <w:rFonts w:ascii="Times New Roman" w:eastAsia="Times New Roman" w:hAnsi="Times New Roman" w:cs="Times New Roman"/>
                <w:sz w:val="22"/>
                <w:szCs w:val="22"/>
                <w:vertAlign w:val="superscript"/>
                <w:lang w:eastAsia="en-ZA"/>
              </w:rPr>
              <w:t>a</w:t>
            </w:r>
            <w:r>
              <w:rPr>
                <w:rFonts w:ascii="Times New Roman" w:eastAsia="Times New Roman" w:hAnsi="Times New Roman" w:cs="Times New Roman"/>
                <w:sz w:val="22"/>
                <w:szCs w:val="22"/>
                <w:lang w:eastAsia="en-ZA"/>
              </w:rPr>
              <w:t xml:space="preserve"> ±1.718</w:t>
            </w:r>
          </w:p>
        </w:tc>
        <w:tc>
          <w:tcPr>
            <w:tcW w:w="550" w:type="pct"/>
            <w:gridSpan w:val="2"/>
            <w:tcBorders>
              <w:top w:val="nil"/>
              <w:left w:val="nil"/>
              <w:bottom w:val="nil"/>
              <w:right w:val="nil"/>
            </w:tcBorders>
            <w:shd w:val="clear" w:color="auto" w:fill="auto"/>
            <w:noWrap/>
            <w:vAlign w:val="center"/>
            <w:hideMark/>
          </w:tcPr>
          <w:p w14:paraId="5BE3681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5.26 ± 1.431</w:t>
            </w:r>
          </w:p>
        </w:tc>
        <w:tc>
          <w:tcPr>
            <w:tcW w:w="557" w:type="pct"/>
            <w:tcBorders>
              <w:top w:val="nil"/>
              <w:left w:val="nil"/>
              <w:bottom w:val="nil"/>
              <w:right w:val="nil"/>
            </w:tcBorders>
            <w:shd w:val="clear" w:color="auto" w:fill="auto"/>
            <w:noWrap/>
            <w:vAlign w:val="center"/>
            <w:hideMark/>
          </w:tcPr>
          <w:p w14:paraId="3E1C8D4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4.64 ± 1.599</w:t>
            </w:r>
          </w:p>
        </w:tc>
        <w:tc>
          <w:tcPr>
            <w:tcW w:w="557" w:type="pct"/>
            <w:tcBorders>
              <w:top w:val="nil"/>
              <w:left w:val="nil"/>
              <w:bottom w:val="nil"/>
              <w:right w:val="nil"/>
            </w:tcBorders>
            <w:shd w:val="clear" w:color="auto" w:fill="auto"/>
            <w:noWrap/>
            <w:vAlign w:val="center"/>
            <w:hideMark/>
          </w:tcPr>
          <w:p w14:paraId="68639CC0"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4.82 ± 1.207</w:t>
            </w:r>
          </w:p>
        </w:tc>
        <w:tc>
          <w:tcPr>
            <w:tcW w:w="558" w:type="pct"/>
            <w:tcBorders>
              <w:top w:val="nil"/>
              <w:left w:val="nil"/>
              <w:bottom w:val="nil"/>
              <w:right w:val="nil"/>
            </w:tcBorders>
            <w:shd w:val="clear" w:color="auto" w:fill="auto"/>
            <w:noWrap/>
            <w:vAlign w:val="center"/>
            <w:hideMark/>
          </w:tcPr>
          <w:p w14:paraId="50815D0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4.42 ± 1.546</w:t>
            </w:r>
          </w:p>
        </w:tc>
      </w:tr>
      <w:tr w:rsidR="00EF65F1" w14:paraId="71F676D5" w14:textId="77777777">
        <w:trPr>
          <w:trHeight w:val="259"/>
        </w:trPr>
        <w:tc>
          <w:tcPr>
            <w:tcW w:w="459" w:type="pct"/>
            <w:tcBorders>
              <w:top w:val="nil"/>
              <w:left w:val="nil"/>
              <w:bottom w:val="nil"/>
              <w:right w:val="nil"/>
            </w:tcBorders>
            <w:shd w:val="clear" w:color="auto" w:fill="auto"/>
            <w:noWrap/>
            <w:vAlign w:val="bottom"/>
            <w:hideMark/>
          </w:tcPr>
          <w:p w14:paraId="36E6C1F5"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center"/>
            <w:hideMark/>
          </w:tcPr>
          <w:p w14:paraId="4DABACC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550" w:type="pct"/>
            <w:tcBorders>
              <w:top w:val="nil"/>
              <w:left w:val="nil"/>
              <w:bottom w:val="nil"/>
              <w:right w:val="nil"/>
            </w:tcBorders>
            <w:shd w:val="clear" w:color="auto" w:fill="auto"/>
            <w:noWrap/>
            <w:vAlign w:val="center"/>
            <w:hideMark/>
          </w:tcPr>
          <w:p w14:paraId="4E10CAF3"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 2.192</w:t>
            </w:r>
          </w:p>
        </w:tc>
        <w:tc>
          <w:tcPr>
            <w:tcW w:w="557" w:type="pct"/>
            <w:tcBorders>
              <w:top w:val="nil"/>
              <w:left w:val="nil"/>
              <w:bottom w:val="nil"/>
              <w:right w:val="nil"/>
            </w:tcBorders>
            <w:shd w:val="clear" w:color="auto" w:fill="auto"/>
            <w:noWrap/>
            <w:vAlign w:val="center"/>
            <w:hideMark/>
          </w:tcPr>
          <w:p w14:paraId="7546B8FF"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5.53 ± 1.273</w:t>
            </w:r>
          </w:p>
        </w:tc>
        <w:tc>
          <w:tcPr>
            <w:tcW w:w="557" w:type="pct"/>
            <w:tcBorders>
              <w:top w:val="nil"/>
              <w:left w:val="nil"/>
              <w:bottom w:val="nil"/>
              <w:right w:val="nil"/>
            </w:tcBorders>
            <w:shd w:val="clear" w:color="auto" w:fill="auto"/>
            <w:noWrap/>
            <w:vAlign w:val="center"/>
            <w:hideMark/>
          </w:tcPr>
          <w:p w14:paraId="3533FDFB"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4.37</w:t>
            </w:r>
            <w:r>
              <w:rPr>
                <w:rFonts w:ascii="Times New Roman" w:eastAsia="Times New Roman" w:hAnsi="Times New Roman" w:cs="Times New Roman"/>
                <w:sz w:val="22"/>
                <w:szCs w:val="22"/>
                <w:vertAlign w:val="superscript"/>
                <w:lang w:eastAsia="en-ZA"/>
              </w:rPr>
              <w:t>b</w:t>
            </w:r>
            <w:r>
              <w:rPr>
                <w:rFonts w:ascii="Times New Roman" w:eastAsia="Times New Roman" w:hAnsi="Times New Roman" w:cs="Times New Roman"/>
                <w:sz w:val="22"/>
                <w:szCs w:val="22"/>
                <w:lang w:eastAsia="en-ZA"/>
              </w:rPr>
              <w:t xml:space="preserve"> ±1.893</w:t>
            </w:r>
          </w:p>
        </w:tc>
        <w:tc>
          <w:tcPr>
            <w:tcW w:w="550" w:type="pct"/>
            <w:gridSpan w:val="2"/>
            <w:tcBorders>
              <w:top w:val="nil"/>
              <w:left w:val="nil"/>
              <w:bottom w:val="nil"/>
              <w:right w:val="nil"/>
            </w:tcBorders>
            <w:shd w:val="clear" w:color="auto" w:fill="auto"/>
            <w:noWrap/>
            <w:vAlign w:val="center"/>
            <w:hideMark/>
          </w:tcPr>
          <w:p w14:paraId="26A35D07"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4.52 ± 2.588</w:t>
            </w:r>
          </w:p>
        </w:tc>
        <w:tc>
          <w:tcPr>
            <w:tcW w:w="557" w:type="pct"/>
            <w:tcBorders>
              <w:top w:val="nil"/>
              <w:left w:val="nil"/>
              <w:bottom w:val="nil"/>
              <w:right w:val="nil"/>
            </w:tcBorders>
            <w:shd w:val="clear" w:color="auto" w:fill="auto"/>
            <w:noWrap/>
            <w:vAlign w:val="center"/>
            <w:hideMark/>
          </w:tcPr>
          <w:p w14:paraId="64349D06"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4.80 ± 1.807</w:t>
            </w:r>
          </w:p>
        </w:tc>
        <w:tc>
          <w:tcPr>
            <w:tcW w:w="557" w:type="pct"/>
            <w:tcBorders>
              <w:top w:val="nil"/>
              <w:left w:val="nil"/>
              <w:bottom w:val="nil"/>
              <w:right w:val="nil"/>
            </w:tcBorders>
            <w:shd w:val="clear" w:color="auto" w:fill="auto"/>
            <w:noWrap/>
            <w:vAlign w:val="center"/>
            <w:hideMark/>
          </w:tcPr>
          <w:p w14:paraId="5178D3F5"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4.15 ± 1.925</w:t>
            </w:r>
          </w:p>
        </w:tc>
        <w:tc>
          <w:tcPr>
            <w:tcW w:w="558" w:type="pct"/>
            <w:tcBorders>
              <w:top w:val="nil"/>
              <w:left w:val="nil"/>
              <w:bottom w:val="nil"/>
              <w:right w:val="nil"/>
            </w:tcBorders>
            <w:shd w:val="clear" w:color="auto" w:fill="auto"/>
            <w:noWrap/>
            <w:vAlign w:val="center"/>
            <w:hideMark/>
          </w:tcPr>
          <w:p w14:paraId="2368439C"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5.01 ± 1.906</w:t>
            </w:r>
          </w:p>
        </w:tc>
      </w:tr>
      <w:tr w:rsidR="00EF65F1" w14:paraId="624AA82D" w14:textId="77777777">
        <w:trPr>
          <w:trHeight w:val="259"/>
        </w:trPr>
        <w:tc>
          <w:tcPr>
            <w:tcW w:w="459" w:type="pct"/>
            <w:tcBorders>
              <w:top w:val="nil"/>
              <w:left w:val="nil"/>
              <w:bottom w:val="nil"/>
              <w:right w:val="nil"/>
            </w:tcBorders>
            <w:shd w:val="clear" w:color="auto" w:fill="auto"/>
            <w:noWrap/>
            <w:vAlign w:val="bottom"/>
            <w:hideMark/>
          </w:tcPr>
          <w:p w14:paraId="1739CE4E"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c>
          <w:tcPr>
            <w:tcW w:w="658" w:type="pct"/>
            <w:gridSpan w:val="3"/>
            <w:tcBorders>
              <w:top w:val="nil"/>
              <w:left w:val="nil"/>
              <w:bottom w:val="nil"/>
              <w:right w:val="nil"/>
            </w:tcBorders>
            <w:shd w:val="clear" w:color="auto" w:fill="auto"/>
            <w:noWrap/>
            <w:vAlign w:val="bottom"/>
            <w:hideMark/>
          </w:tcPr>
          <w:p w14:paraId="1FAC42C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550" w:type="pct"/>
            <w:tcBorders>
              <w:top w:val="nil"/>
              <w:left w:val="nil"/>
              <w:bottom w:val="nil"/>
              <w:right w:val="nil"/>
            </w:tcBorders>
            <w:shd w:val="clear" w:color="auto" w:fill="auto"/>
            <w:noWrap/>
            <w:vAlign w:val="bottom"/>
            <w:hideMark/>
          </w:tcPr>
          <w:p w14:paraId="2E8BA2B7"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0.60</w:t>
            </w:r>
          </w:p>
        </w:tc>
        <w:tc>
          <w:tcPr>
            <w:tcW w:w="557" w:type="pct"/>
            <w:tcBorders>
              <w:top w:val="nil"/>
              <w:left w:val="nil"/>
              <w:bottom w:val="nil"/>
              <w:right w:val="nil"/>
            </w:tcBorders>
            <w:shd w:val="clear" w:color="auto" w:fill="auto"/>
            <w:noWrap/>
            <w:vAlign w:val="bottom"/>
            <w:hideMark/>
          </w:tcPr>
          <w:p w14:paraId="3DEE241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0.42</w:t>
            </w:r>
          </w:p>
        </w:tc>
        <w:tc>
          <w:tcPr>
            <w:tcW w:w="557" w:type="pct"/>
            <w:tcBorders>
              <w:top w:val="nil"/>
              <w:left w:val="nil"/>
              <w:bottom w:val="nil"/>
              <w:right w:val="nil"/>
            </w:tcBorders>
            <w:shd w:val="clear" w:color="auto" w:fill="auto"/>
            <w:noWrap/>
            <w:vAlign w:val="bottom"/>
            <w:hideMark/>
          </w:tcPr>
          <w:p w14:paraId="73EA74F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0.53</w:t>
            </w:r>
          </w:p>
        </w:tc>
        <w:tc>
          <w:tcPr>
            <w:tcW w:w="550" w:type="pct"/>
            <w:gridSpan w:val="2"/>
            <w:tcBorders>
              <w:top w:val="nil"/>
              <w:left w:val="nil"/>
              <w:bottom w:val="nil"/>
              <w:right w:val="nil"/>
            </w:tcBorders>
            <w:shd w:val="clear" w:color="auto" w:fill="auto"/>
            <w:noWrap/>
            <w:vAlign w:val="bottom"/>
            <w:hideMark/>
          </w:tcPr>
          <w:p w14:paraId="049725CB"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0.59</w:t>
            </w:r>
          </w:p>
        </w:tc>
        <w:tc>
          <w:tcPr>
            <w:tcW w:w="557" w:type="pct"/>
            <w:tcBorders>
              <w:top w:val="nil"/>
              <w:left w:val="nil"/>
              <w:bottom w:val="nil"/>
              <w:right w:val="nil"/>
            </w:tcBorders>
            <w:shd w:val="clear" w:color="auto" w:fill="auto"/>
            <w:noWrap/>
            <w:vAlign w:val="bottom"/>
            <w:hideMark/>
          </w:tcPr>
          <w:p w14:paraId="3591976A"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0.50</w:t>
            </w:r>
          </w:p>
        </w:tc>
        <w:tc>
          <w:tcPr>
            <w:tcW w:w="557" w:type="pct"/>
            <w:tcBorders>
              <w:top w:val="nil"/>
              <w:left w:val="nil"/>
              <w:bottom w:val="nil"/>
              <w:right w:val="nil"/>
            </w:tcBorders>
            <w:shd w:val="clear" w:color="auto" w:fill="auto"/>
            <w:noWrap/>
            <w:vAlign w:val="bottom"/>
            <w:hideMark/>
          </w:tcPr>
          <w:p w14:paraId="2D6A9FF7"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0.49</w:t>
            </w:r>
          </w:p>
        </w:tc>
        <w:tc>
          <w:tcPr>
            <w:tcW w:w="558" w:type="pct"/>
            <w:tcBorders>
              <w:top w:val="nil"/>
              <w:left w:val="nil"/>
              <w:bottom w:val="nil"/>
              <w:right w:val="nil"/>
            </w:tcBorders>
            <w:shd w:val="clear" w:color="auto" w:fill="auto"/>
            <w:noWrap/>
            <w:vAlign w:val="bottom"/>
            <w:hideMark/>
          </w:tcPr>
          <w:p w14:paraId="6E879421"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0.51</w:t>
            </w:r>
          </w:p>
        </w:tc>
      </w:tr>
      <w:tr w:rsidR="00EF65F1" w14:paraId="4A42D6F2" w14:textId="77777777">
        <w:trPr>
          <w:trHeight w:val="259"/>
        </w:trPr>
        <w:tc>
          <w:tcPr>
            <w:tcW w:w="459" w:type="pct"/>
            <w:tcBorders>
              <w:top w:val="nil"/>
              <w:left w:val="nil"/>
              <w:bottom w:val="single" w:sz="4" w:space="0" w:color="auto"/>
              <w:right w:val="nil"/>
            </w:tcBorders>
            <w:shd w:val="clear" w:color="auto" w:fill="auto"/>
            <w:noWrap/>
            <w:vAlign w:val="bottom"/>
            <w:hideMark/>
          </w:tcPr>
          <w:p w14:paraId="6522BFA8"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 </w:t>
            </w:r>
          </w:p>
        </w:tc>
        <w:tc>
          <w:tcPr>
            <w:tcW w:w="658" w:type="pct"/>
            <w:gridSpan w:val="3"/>
            <w:tcBorders>
              <w:top w:val="nil"/>
              <w:left w:val="nil"/>
              <w:bottom w:val="single" w:sz="4" w:space="0" w:color="auto"/>
              <w:right w:val="nil"/>
            </w:tcBorders>
            <w:shd w:val="clear" w:color="auto" w:fill="auto"/>
            <w:noWrap/>
            <w:vAlign w:val="bottom"/>
            <w:hideMark/>
          </w:tcPr>
          <w:p w14:paraId="011F6CC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550" w:type="pct"/>
            <w:tcBorders>
              <w:top w:val="nil"/>
              <w:left w:val="nil"/>
              <w:bottom w:val="single" w:sz="4" w:space="0" w:color="auto"/>
              <w:right w:val="nil"/>
            </w:tcBorders>
            <w:shd w:val="clear" w:color="auto" w:fill="auto"/>
            <w:noWrap/>
            <w:vAlign w:val="bottom"/>
            <w:hideMark/>
          </w:tcPr>
          <w:p w14:paraId="2D9D7CA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0.16</w:t>
            </w:r>
          </w:p>
        </w:tc>
        <w:tc>
          <w:tcPr>
            <w:tcW w:w="557" w:type="pct"/>
            <w:tcBorders>
              <w:top w:val="nil"/>
              <w:left w:val="nil"/>
              <w:bottom w:val="single" w:sz="4" w:space="0" w:color="auto"/>
              <w:right w:val="nil"/>
            </w:tcBorders>
            <w:shd w:val="clear" w:color="auto" w:fill="auto"/>
            <w:noWrap/>
            <w:vAlign w:val="bottom"/>
            <w:hideMark/>
          </w:tcPr>
          <w:p w14:paraId="0DC371B4"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0.22</w:t>
            </w:r>
          </w:p>
        </w:tc>
        <w:tc>
          <w:tcPr>
            <w:tcW w:w="557" w:type="pct"/>
            <w:tcBorders>
              <w:top w:val="nil"/>
              <w:left w:val="nil"/>
              <w:bottom w:val="single" w:sz="4" w:space="0" w:color="auto"/>
              <w:right w:val="nil"/>
            </w:tcBorders>
            <w:shd w:val="clear" w:color="auto" w:fill="auto"/>
            <w:noWrap/>
            <w:vAlign w:val="bottom"/>
            <w:hideMark/>
          </w:tcPr>
          <w:p w14:paraId="1DEDC85E"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0.04</w:t>
            </w:r>
          </w:p>
        </w:tc>
        <w:tc>
          <w:tcPr>
            <w:tcW w:w="550" w:type="pct"/>
            <w:gridSpan w:val="2"/>
            <w:tcBorders>
              <w:top w:val="nil"/>
              <w:left w:val="nil"/>
              <w:bottom w:val="single" w:sz="4" w:space="0" w:color="auto"/>
              <w:right w:val="nil"/>
            </w:tcBorders>
            <w:shd w:val="clear" w:color="auto" w:fill="auto"/>
            <w:noWrap/>
            <w:vAlign w:val="bottom"/>
            <w:hideMark/>
          </w:tcPr>
          <w:p w14:paraId="462C824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0.42</w:t>
            </w:r>
          </w:p>
        </w:tc>
        <w:tc>
          <w:tcPr>
            <w:tcW w:w="557" w:type="pct"/>
            <w:tcBorders>
              <w:top w:val="nil"/>
              <w:left w:val="nil"/>
              <w:bottom w:val="single" w:sz="4" w:space="0" w:color="auto"/>
              <w:right w:val="nil"/>
            </w:tcBorders>
            <w:shd w:val="clear" w:color="auto" w:fill="auto"/>
            <w:noWrap/>
            <w:vAlign w:val="bottom"/>
            <w:hideMark/>
          </w:tcPr>
          <w:p w14:paraId="348F6C0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0.89</w:t>
            </w:r>
          </w:p>
        </w:tc>
        <w:tc>
          <w:tcPr>
            <w:tcW w:w="557" w:type="pct"/>
            <w:tcBorders>
              <w:top w:val="nil"/>
              <w:left w:val="nil"/>
              <w:bottom w:val="single" w:sz="4" w:space="0" w:color="auto"/>
              <w:right w:val="nil"/>
            </w:tcBorders>
            <w:shd w:val="clear" w:color="auto" w:fill="auto"/>
            <w:noWrap/>
            <w:vAlign w:val="bottom"/>
            <w:hideMark/>
          </w:tcPr>
          <w:p w14:paraId="7D2FEC35"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0.23</w:t>
            </w:r>
          </w:p>
        </w:tc>
        <w:tc>
          <w:tcPr>
            <w:tcW w:w="558" w:type="pct"/>
            <w:tcBorders>
              <w:top w:val="nil"/>
              <w:left w:val="nil"/>
              <w:bottom w:val="single" w:sz="4" w:space="0" w:color="auto"/>
              <w:right w:val="nil"/>
            </w:tcBorders>
            <w:shd w:val="clear" w:color="auto" w:fill="auto"/>
            <w:noWrap/>
            <w:vAlign w:val="bottom"/>
            <w:hideMark/>
          </w:tcPr>
          <w:p w14:paraId="328598C7"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0.23</w:t>
            </w:r>
          </w:p>
        </w:tc>
      </w:tr>
      <w:tr w:rsidR="00EF65F1" w14:paraId="67451C94" w14:textId="77777777">
        <w:trPr>
          <w:trHeight w:val="259"/>
        </w:trPr>
        <w:tc>
          <w:tcPr>
            <w:tcW w:w="2886" w:type="pct"/>
            <w:gridSpan w:val="8"/>
            <w:tcBorders>
              <w:top w:val="single" w:sz="4" w:space="0" w:color="auto"/>
              <w:left w:val="nil"/>
              <w:bottom w:val="nil"/>
              <w:right w:val="nil"/>
            </w:tcBorders>
            <w:shd w:val="clear" w:color="auto" w:fill="auto"/>
            <w:noWrap/>
            <w:vAlign w:val="bottom"/>
            <w:hideMark/>
          </w:tcPr>
          <w:p w14:paraId="013CD4CA" w14:textId="77777777" w:rsidR="00EF65F1" w:rsidRDefault="00484A18">
            <w:pPr>
              <w:spacing w:after="0" w:line="240" w:lineRule="auto"/>
              <w:contextualSpacing/>
              <w:jc w:val="both"/>
              <w:rPr>
                <w:rFonts w:ascii="Times New Roman" w:eastAsia="Times New Roman" w:hAnsi="Times New Roman" w:cs="Times New Roman"/>
                <w:szCs w:val="20"/>
                <w:lang w:eastAsia="en-ZA"/>
              </w:rPr>
            </w:pPr>
            <w:r>
              <w:rPr>
                <w:rFonts w:ascii="Times New Roman" w:eastAsia="Times New Roman" w:hAnsi="Times New Roman" w:cs="Times New Roman"/>
                <w:szCs w:val="20"/>
                <w:vertAlign w:val="superscript"/>
                <w:lang w:eastAsia="en-ZA"/>
              </w:rPr>
              <w:t xml:space="preserve">ab </w:t>
            </w:r>
            <w:r>
              <w:rPr>
                <w:rFonts w:ascii="Times New Roman" w:eastAsia="Times New Roman" w:hAnsi="Times New Roman" w:cs="Times New Roman"/>
                <w:szCs w:val="20"/>
                <w:lang w:eastAsia="en-ZA"/>
              </w:rPr>
              <w:t>Within a column: Means with different superscripts differ (P &lt; 0.05)</w:t>
            </w:r>
          </w:p>
        </w:tc>
        <w:tc>
          <w:tcPr>
            <w:tcW w:w="2114" w:type="pct"/>
            <w:gridSpan w:val="4"/>
            <w:tcBorders>
              <w:top w:val="nil"/>
              <w:left w:val="nil"/>
              <w:bottom w:val="nil"/>
              <w:right w:val="nil"/>
            </w:tcBorders>
            <w:shd w:val="clear" w:color="auto" w:fill="auto"/>
            <w:noWrap/>
            <w:vAlign w:val="bottom"/>
          </w:tcPr>
          <w:p w14:paraId="15BBF8D1" w14:textId="77777777" w:rsidR="00EF65F1" w:rsidRDefault="00EF65F1">
            <w:pPr>
              <w:spacing w:after="0" w:line="240" w:lineRule="auto"/>
              <w:contextualSpacing/>
              <w:jc w:val="both"/>
              <w:rPr>
                <w:rFonts w:ascii="Times New Roman" w:eastAsia="Times New Roman" w:hAnsi="Times New Roman" w:cs="Times New Roman"/>
                <w:szCs w:val="20"/>
                <w:lang w:eastAsia="en-ZA"/>
              </w:rPr>
            </w:pPr>
          </w:p>
        </w:tc>
      </w:tr>
    </w:tbl>
    <w:p w14:paraId="61663703" w14:textId="77777777" w:rsidR="00EF65F1" w:rsidRDefault="00EF65F1">
      <w:pPr>
        <w:spacing w:after="0" w:line="360" w:lineRule="auto"/>
        <w:ind w:firstLine="567"/>
        <w:contextualSpacing/>
        <w:jc w:val="both"/>
        <w:rPr>
          <w:rFonts w:ascii="Times New Roman" w:hAnsi="Times New Roman" w:cs="Times New Roman"/>
          <w:sz w:val="22"/>
          <w:szCs w:val="22"/>
        </w:rPr>
        <w:sectPr w:rsidR="00EF65F1">
          <w:pgSz w:w="16838" w:h="11906" w:orient="landscape" w:code="9"/>
          <w:pgMar w:top="720" w:right="720" w:bottom="720" w:left="720" w:header="454" w:footer="680" w:gutter="0"/>
          <w:cols w:space="708"/>
          <w:vAlign w:val="center"/>
          <w:docGrid w:linePitch="360"/>
        </w:sectPr>
      </w:pPr>
    </w:p>
    <w:p w14:paraId="29595D23" w14:textId="77777777" w:rsidR="00EF65F1" w:rsidRDefault="00484A18">
      <w:pPr>
        <w:pStyle w:val="Heading3"/>
        <w:ind w:left="284"/>
        <w:jc w:val="both"/>
        <w:rPr>
          <w:rFonts w:ascii="Times New Roman" w:hAnsi="Times New Roman" w:cs="Times New Roman"/>
          <w:color w:val="auto"/>
        </w:rPr>
      </w:pPr>
      <w:bookmarkStart w:id="190" w:name="_Toc530486709"/>
      <w:bookmarkStart w:id="191" w:name="_Toc2691162"/>
      <w:r>
        <w:rPr>
          <w:rFonts w:ascii="Times New Roman" w:hAnsi="Times New Roman" w:cs="Times New Roman"/>
          <w:color w:val="auto"/>
        </w:rPr>
        <w:lastRenderedPageBreak/>
        <w:t>Methane per unit of gas produced</w:t>
      </w:r>
      <w:bookmarkEnd w:id="190"/>
      <w:bookmarkEnd w:id="191"/>
    </w:p>
    <w:p w14:paraId="6456C288" w14:textId="77777777" w:rsidR="00EF65F1" w:rsidRDefault="00EF65F1">
      <w:pPr>
        <w:spacing w:after="0" w:line="360" w:lineRule="auto"/>
        <w:ind w:firstLine="567"/>
        <w:contextualSpacing/>
        <w:jc w:val="both"/>
        <w:rPr>
          <w:rFonts w:ascii="Times New Roman" w:hAnsi="Times New Roman" w:cs="Times New Roman"/>
          <w:sz w:val="22"/>
          <w:szCs w:val="22"/>
        </w:rPr>
      </w:pPr>
    </w:p>
    <w:p w14:paraId="6F71CBCC"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proportion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per unit of total gas production</w:t>
      </w:r>
      <w:r>
        <w:rPr>
          <w:rFonts w:ascii="Times New Roman" w:hAnsi="Times New Roman" w:cs="Times New Roman"/>
          <w:i/>
          <w:sz w:val="22"/>
          <w:szCs w:val="22"/>
        </w:rPr>
        <w:t xml:space="preserve"> </w:t>
      </w:r>
      <w:r>
        <w:rPr>
          <w:rFonts w:ascii="Times New Roman" w:hAnsi="Times New Roman" w:cs="Times New Roman"/>
          <w:sz w:val="22"/>
          <w:szCs w:val="22"/>
        </w:rPr>
        <w:t xml:space="preserve">(%) after 48 hours of </w:t>
      </w:r>
      <w:r>
        <w:rPr>
          <w:rFonts w:ascii="Times New Roman" w:hAnsi="Times New Roman" w:cs="Times New Roman"/>
          <w:i/>
          <w:sz w:val="22"/>
          <w:szCs w:val="22"/>
        </w:rPr>
        <w:t xml:space="preserve">in vitro </w:t>
      </w:r>
      <w:r>
        <w:rPr>
          <w:rFonts w:ascii="Times New Roman" w:hAnsi="Times New Roman" w:cs="Times New Roman"/>
          <w:sz w:val="22"/>
          <w:szCs w:val="22"/>
        </w:rPr>
        <w:t>incubation is presented in figure 3.3.  There were no significant differences (P &gt; 0.05) between the different plant extract treatments at a dose level of 300 or 600 mg/kg DM in terms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per unit of gas produced after 48 hours of </w:t>
      </w:r>
      <w:r>
        <w:rPr>
          <w:rFonts w:ascii="Times New Roman" w:hAnsi="Times New Roman" w:cs="Times New Roman"/>
          <w:i/>
          <w:sz w:val="22"/>
          <w:szCs w:val="22"/>
        </w:rPr>
        <w:t xml:space="preserve">in vitro </w:t>
      </w:r>
      <w:r>
        <w:rPr>
          <w:rFonts w:ascii="Times New Roman" w:hAnsi="Times New Roman" w:cs="Times New Roman"/>
          <w:sz w:val="22"/>
          <w:szCs w:val="22"/>
        </w:rPr>
        <w:t>incubation.  Therefore, it is unlikely that supplementation with plant extracts from the seven species tested in this study at a dose level of 300 or 600 mg/kg DM would be beneficial in terms of reducing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output by ruminants.</w:t>
      </w:r>
    </w:p>
    <w:p w14:paraId="7BA43CA1" w14:textId="77777777" w:rsidR="00EF65F1" w:rsidRDefault="00EF65F1">
      <w:pPr>
        <w:spacing w:after="0" w:line="360" w:lineRule="auto"/>
        <w:ind w:firstLine="567"/>
        <w:contextualSpacing/>
        <w:jc w:val="both"/>
        <w:rPr>
          <w:rFonts w:ascii="Times New Roman" w:hAnsi="Times New Roman" w:cs="Times New Roman"/>
          <w:sz w:val="22"/>
          <w:szCs w:val="22"/>
        </w:rPr>
      </w:pPr>
    </w:p>
    <w:p w14:paraId="66B6DF80" w14:textId="77777777" w:rsidR="00EF65F1" w:rsidRDefault="00484A18">
      <w:pPr>
        <w:spacing w:after="0" w:line="360" w:lineRule="auto"/>
        <w:contextualSpacing/>
        <w:jc w:val="center"/>
        <w:rPr>
          <w:rFonts w:ascii="Times New Roman" w:hAnsi="Times New Roman" w:cs="Times New Roman"/>
          <w:sz w:val="22"/>
          <w:szCs w:val="22"/>
        </w:rPr>
      </w:pPr>
      <w:bookmarkStart w:id="192" w:name="_Toc530486710"/>
      <w:r>
        <w:rPr>
          <w:rFonts w:ascii="Times New Roman" w:hAnsi="Times New Roman" w:cs="Times New Roman"/>
          <w:noProof/>
          <w:sz w:val="22"/>
          <w:szCs w:val="22"/>
          <w:lang w:eastAsia="en-ZA"/>
        </w:rPr>
        <w:drawing>
          <wp:inline distT="0" distB="0" distL="0" distR="0" wp14:anchorId="4B23019A" wp14:editId="19013BA7">
            <wp:extent cx="4572000" cy="2743200"/>
            <wp:effectExtent l="0" t="0" r="0" b="0"/>
            <wp:docPr id="14" name="Chart 14">
              <a:extLst xmlns:a="http://schemas.openxmlformats.org/drawingml/2006/main">
                <a:ext uri="{FF2B5EF4-FFF2-40B4-BE49-F238E27FC236}">
                  <a16:creationId xmlns:a16="http://schemas.microsoft.com/office/drawing/2014/main" id="{46D516A9-9ADB-4F40-A23A-138AAECD57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bookmarkEnd w:id="192"/>
    </w:p>
    <w:p w14:paraId="10A92AD0" w14:textId="77777777" w:rsidR="00EF65F1" w:rsidRDefault="00EF65F1">
      <w:pPr>
        <w:pStyle w:val="Caption"/>
        <w:spacing w:after="0" w:line="360" w:lineRule="auto"/>
        <w:contextualSpacing/>
        <w:jc w:val="both"/>
        <w:rPr>
          <w:rFonts w:ascii="Times New Roman" w:hAnsi="Times New Roman" w:cs="Times New Roman"/>
          <w:i w:val="0"/>
          <w:color w:val="auto"/>
          <w:sz w:val="24"/>
          <w:szCs w:val="24"/>
        </w:rPr>
      </w:pPr>
      <w:bookmarkStart w:id="193" w:name="_Toc530512587"/>
      <w:bookmarkStart w:id="194" w:name="_Toc2349047"/>
    </w:p>
    <w:p w14:paraId="44DC23F6" w14:textId="52A5BF7B" w:rsidR="00EF65F1" w:rsidRDefault="00484A18">
      <w:pPr>
        <w:pStyle w:val="Caption"/>
        <w:spacing w:after="0" w:line="360" w:lineRule="auto"/>
        <w:contextualSpacing/>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bookmarkEnd w:id="193"/>
      <w:r>
        <w:rPr>
          <w:rFonts w:ascii="Times New Roman" w:hAnsi="Times New Roman" w:cs="Times New Roman"/>
          <w:i w:val="0"/>
          <w:color w:val="auto"/>
          <w:sz w:val="24"/>
          <w:szCs w:val="24"/>
        </w:rPr>
        <w:t xml:space="preserve"> Proportion of CH</w:t>
      </w:r>
      <w:r>
        <w:rPr>
          <w:rFonts w:ascii="Times New Roman" w:hAnsi="Times New Roman" w:cs="Times New Roman"/>
          <w:i w:val="0"/>
          <w:color w:val="auto"/>
          <w:sz w:val="24"/>
          <w:szCs w:val="24"/>
          <w:vertAlign w:val="subscript"/>
        </w:rPr>
        <w:t>4</w:t>
      </w:r>
      <w:r>
        <w:rPr>
          <w:rFonts w:ascii="Times New Roman" w:hAnsi="Times New Roman" w:cs="Times New Roman"/>
          <w:i w:val="0"/>
          <w:color w:val="auto"/>
          <w:sz w:val="24"/>
          <w:szCs w:val="24"/>
        </w:rPr>
        <w:t xml:space="preserve"> per unit of total gas production (%) after 48 hours of </w:t>
      </w:r>
      <w:r>
        <w:rPr>
          <w:rFonts w:ascii="Times New Roman" w:hAnsi="Times New Roman" w:cs="Times New Roman"/>
          <w:color w:val="auto"/>
          <w:sz w:val="24"/>
          <w:szCs w:val="24"/>
        </w:rPr>
        <w:t>in vitro</w:t>
      </w:r>
      <w:r>
        <w:rPr>
          <w:rFonts w:ascii="Times New Roman" w:hAnsi="Times New Roman" w:cs="Times New Roman"/>
          <w:i w:val="0"/>
          <w:color w:val="auto"/>
          <w:sz w:val="24"/>
          <w:szCs w:val="24"/>
        </w:rPr>
        <w:t xml:space="preserve"> incubation</w:t>
      </w:r>
      <w:bookmarkEnd w:id="194"/>
    </w:p>
    <w:p w14:paraId="4C5C6943" w14:textId="77777777" w:rsidR="00EF65F1" w:rsidRDefault="00484A18">
      <w:pPr>
        <w:spacing w:after="0" w:line="240" w:lineRule="auto"/>
        <w:contextualSpacing/>
        <w:jc w:val="both"/>
        <w:rPr>
          <w:rFonts w:ascii="Times New Roman" w:hAnsi="Times New Roman" w:cs="Times New Roman"/>
          <w:szCs w:val="20"/>
        </w:rPr>
      </w:pPr>
      <w:r>
        <w:rPr>
          <w:rFonts w:ascii="Times New Roman" w:hAnsi="Times New Roman" w:cs="Times New Roman"/>
          <w:szCs w:val="20"/>
        </w:rPr>
        <w:t>EC-</w:t>
      </w:r>
      <w:r>
        <w:rPr>
          <w:rFonts w:ascii="Times New Roman" w:hAnsi="Times New Roman" w:cs="Times New Roman"/>
          <w:i/>
          <w:szCs w:val="20"/>
        </w:rPr>
        <w:t xml:space="preserve">Eragrostis curvula; </w:t>
      </w:r>
      <w:r>
        <w:rPr>
          <w:rFonts w:ascii="Times New Roman" w:hAnsi="Times New Roman" w:cs="Times New Roman"/>
          <w:szCs w:val="20"/>
        </w:rPr>
        <w:t xml:space="preserve">MON-Monensin; MO- </w:t>
      </w:r>
      <w:r>
        <w:rPr>
          <w:rFonts w:ascii="Times New Roman" w:hAnsi="Times New Roman" w:cs="Times New Roman"/>
          <w:i/>
          <w:szCs w:val="20"/>
        </w:rPr>
        <w:t>Moringa oleifera</w:t>
      </w:r>
      <w:r>
        <w:rPr>
          <w:rFonts w:ascii="Times New Roman" w:hAnsi="Times New Roman" w:cs="Times New Roman"/>
          <w:szCs w:val="20"/>
        </w:rPr>
        <w:t xml:space="preserve">; CE- </w:t>
      </w:r>
      <w:r>
        <w:rPr>
          <w:rFonts w:ascii="Times New Roman" w:hAnsi="Times New Roman" w:cs="Times New Roman"/>
          <w:i/>
          <w:szCs w:val="20"/>
        </w:rPr>
        <w:t>Combretum erythrophyllum</w:t>
      </w:r>
      <w:r>
        <w:rPr>
          <w:rFonts w:ascii="Times New Roman" w:hAnsi="Times New Roman" w:cs="Times New Roman"/>
          <w:szCs w:val="20"/>
        </w:rPr>
        <w:t xml:space="preserve">; DV- </w:t>
      </w:r>
      <w:r>
        <w:rPr>
          <w:rFonts w:ascii="Times New Roman" w:hAnsi="Times New Roman" w:cs="Times New Roman"/>
          <w:i/>
          <w:szCs w:val="20"/>
        </w:rPr>
        <w:t>Dodonaea viscosa</w:t>
      </w:r>
      <w:r>
        <w:rPr>
          <w:rFonts w:ascii="Times New Roman" w:hAnsi="Times New Roman" w:cs="Times New Roman"/>
          <w:szCs w:val="20"/>
        </w:rPr>
        <w:t xml:space="preserve">; HN- </w:t>
      </w:r>
      <w:r>
        <w:rPr>
          <w:rFonts w:ascii="Times New Roman" w:hAnsi="Times New Roman" w:cs="Times New Roman"/>
          <w:i/>
          <w:szCs w:val="20"/>
        </w:rPr>
        <w:t>Heteropyxis natalensis</w:t>
      </w:r>
      <w:r>
        <w:rPr>
          <w:rFonts w:ascii="Times New Roman" w:hAnsi="Times New Roman" w:cs="Times New Roman"/>
          <w:szCs w:val="20"/>
        </w:rPr>
        <w:t xml:space="preserve">; SB- </w:t>
      </w:r>
      <w:r>
        <w:rPr>
          <w:rFonts w:ascii="Times New Roman" w:hAnsi="Times New Roman" w:cs="Times New Roman"/>
          <w:i/>
          <w:szCs w:val="20"/>
        </w:rPr>
        <w:t>Sclerocarya birrea</w:t>
      </w:r>
      <w:r>
        <w:rPr>
          <w:rFonts w:ascii="Times New Roman" w:hAnsi="Times New Roman" w:cs="Times New Roman"/>
          <w:szCs w:val="20"/>
        </w:rPr>
        <w:t xml:space="preserve">; EL- </w:t>
      </w:r>
      <w:r>
        <w:rPr>
          <w:rFonts w:ascii="Times New Roman" w:hAnsi="Times New Roman" w:cs="Times New Roman"/>
          <w:i/>
          <w:szCs w:val="20"/>
        </w:rPr>
        <w:t>Erythrina lysistemon</w:t>
      </w:r>
      <w:r>
        <w:rPr>
          <w:rFonts w:ascii="Times New Roman" w:hAnsi="Times New Roman" w:cs="Times New Roman"/>
          <w:szCs w:val="20"/>
        </w:rPr>
        <w:t xml:space="preserve">; SC- </w:t>
      </w:r>
      <w:r>
        <w:rPr>
          <w:rFonts w:ascii="Times New Roman" w:hAnsi="Times New Roman" w:cs="Times New Roman"/>
          <w:i/>
          <w:szCs w:val="20"/>
        </w:rPr>
        <w:t>Searsia chirindensis</w:t>
      </w:r>
      <w:r>
        <w:rPr>
          <w:rFonts w:ascii="Times New Roman" w:hAnsi="Times New Roman" w:cs="Times New Roman"/>
          <w:szCs w:val="20"/>
        </w:rPr>
        <w:t xml:space="preserve">; HL- </w:t>
      </w:r>
      <w:r>
        <w:rPr>
          <w:rFonts w:ascii="Times New Roman" w:hAnsi="Times New Roman" w:cs="Times New Roman"/>
          <w:i/>
          <w:szCs w:val="20"/>
        </w:rPr>
        <w:t xml:space="preserve">Halleria lucida; </w:t>
      </w:r>
      <w:r>
        <w:rPr>
          <w:rFonts w:ascii="Times New Roman" w:hAnsi="Times New Roman" w:cs="Times New Roman"/>
          <w:szCs w:val="20"/>
        </w:rPr>
        <w:t>50:- 50 mg/kg DM, 300:- 300 mg/kg DM, 600:- 600 mg/kg DM</w:t>
      </w:r>
    </w:p>
    <w:p w14:paraId="103F0177" w14:textId="77777777" w:rsidR="00EF65F1" w:rsidRDefault="00EF65F1">
      <w:pPr>
        <w:spacing w:after="0" w:line="360" w:lineRule="auto"/>
        <w:contextualSpacing/>
        <w:jc w:val="both"/>
        <w:rPr>
          <w:rFonts w:ascii="Times New Roman" w:hAnsi="Times New Roman" w:cs="Times New Roman"/>
          <w:sz w:val="22"/>
          <w:szCs w:val="22"/>
        </w:rPr>
      </w:pPr>
    </w:p>
    <w:p w14:paraId="5C27E8B4" w14:textId="77777777" w:rsidR="00EF65F1" w:rsidRDefault="00484A18">
      <w:pPr>
        <w:pStyle w:val="Heading3"/>
        <w:jc w:val="both"/>
        <w:rPr>
          <w:rFonts w:ascii="Times New Roman" w:hAnsi="Times New Roman" w:cs="Times New Roman"/>
          <w:b/>
          <w:color w:val="auto"/>
        </w:rPr>
      </w:pPr>
      <w:bookmarkStart w:id="195" w:name="_Toc2691163"/>
      <w:r>
        <w:rPr>
          <w:rFonts w:ascii="Times New Roman" w:hAnsi="Times New Roman" w:cs="Times New Roman"/>
          <w:i/>
          <w:color w:val="auto"/>
        </w:rPr>
        <w:t xml:space="preserve">In vitro </w:t>
      </w:r>
      <w:r>
        <w:rPr>
          <w:rFonts w:ascii="Times New Roman" w:hAnsi="Times New Roman" w:cs="Times New Roman"/>
          <w:color w:val="auto"/>
        </w:rPr>
        <w:t>organic matter digestibility</w:t>
      </w:r>
      <w:bookmarkEnd w:id="195"/>
    </w:p>
    <w:p w14:paraId="02171D42" w14:textId="77777777" w:rsidR="00EF65F1" w:rsidRDefault="00EF65F1">
      <w:pPr>
        <w:spacing w:after="0" w:line="360" w:lineRule="auto"/>
        <w:ind w:firstLine="567"/>
        <w:contextualSpacing/>
        <w:jc w:val="both"/>
        <w:rPr>
          <w:rFonts w:ascii="Times New Roman" w:hAnsi="Times New Roman" w:cs="Times New Roman"/>
          <w:sz w:val="22"/>
          <w:szCs w:val="22"/>
        </w:rPr>
      </w:pPr>
    </w:p>
    <w:p w14:paraId="4BCA149D"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organic matter digestibility (IVOMD) values determined for </w:t>
      </w:r>
      <w:r>
        <w:rPr>
          <w:rFonts w:ascii="Times New Roman" w:hAnsi="Times New Roman" w:cs="Times New Roman"/>
          <w:i/>
          <w:sz w:val="22"/>
          <w:szCs w:val="22"/>
        </w:rPr>
        <w:t>E. curvula</w:t>
      </w:r>
      <w:r>
        <w:rPr>
          <w:rFonts w:ascii="Times New Roman" w:hAnsi="Times New Roman" w:cs="Times New Roman"/>
          <w:sz w:val="22"/>
          <w:szCs w:val="22"/>
        </w:rPr>
        <w:t xml:space="preserve"> hay treated with seven different plant extracts at two dose levels of 300 or 600 mg/kg DM are shown in table 3.7.  In terms of the IVOMD values, there were no differences (P &gt; 0.05) between the plant extract treatments used at either 300 or 600 mg/kg DM dose levels.  There were also no differences (P &gt; 0.05) between the effect of the dose levels 300 and 600 mg/kg DM for any of the plant extract treatments tested individually in terms of IVOMD, shown in table 3.8.</w:t>
      </w:r>
    </w:p>
    <w:p w14:paraId="2285A840" w14:textId="77777777" w:rsidR="00EF65F1" w:rsidRDefault="00EF65F1">
      <w:pPr>
        <w:spacing w:after="0" w:line="360" w:lineRule="auto"/>
        <w:ind w:firstLine="567"/>
        <w:contextualSpacing/>
        <w:jc w:val="both"/>
        <w:rPr>
          <w:rFonts w:ascii="Times New Roman" w:hAnsi="Times New Roman" w:cs="Times New Roman"/>
          <w:sz w:val="22"/>
          <w:szCs w:val="22"/>
        </w:rPr>
      </w:pPr>
    </w:p>
    <w:p w14:paraId="7C94683A" w14:textId="77777777" w:rsidR="00EF65F1" w:rsidRDefault="00EF65F1">
      <w:pPr>
        <w:spacing w:after="0" w:line="360" w:lineRule="auto"/>
        <w:ind w:firstLine="567"/>
        <w:contextualSpacing/>
        <w:jc w:val="both"/>
        <w:rPr>
          <w:rFonts w:ascii="Times New Roman" w:hAnsi="Times New Roman" w:cs="Times New Roman"/>
          <w:sz w:val="22"/>
          <w:szCs w:val="22"/>
        </w:rPr>
        <w:sectPr w:rsidR="00EF65F1">
          <w:pgSz w:w="11906" w:h="16838"/>
          <w:pgMar w:top="1440" w:right="1440" w:bottom="1440" w:left="1440" w:header="708" w:footer="708" w:gutter="0"/>
          <w:cols w:space="708"/>
          <w:docGrid w:linePitch="360"/>
        </w:sectPr>
      </w:pPr>
    </w:p>
    <w:p w14:paraId="646F7620" w14:textId="5F024303" w:rsidR="00EF65F1" w:rsidRDefault="00484A18">
      <w:pPr>
        <w:pStyle w:val="Caption"/>
        <w:keepNext/>
        <w:spacing w:after="160" w:line="360" w:lineRule="auto"/>
        <w:contextualSpacing/>
        <w:jc w:val="both"/>
        <w:rPr>
          <w:rFonts w:ascii="Times New Roman" w:hAnsi="Times New Roman" w:cs="Times New Roman"/>
          <w:i w:val="0"/>
          <w:color w:val="auto"/>
          <w:sz w:val="24"/>
          <w:szCs w:val="24"/>
        </w:rPr>
      </w:pPr>
      <w:bookmarkStart w:id="196" w:name="_Toc2349145"/>
      <w:r>
        <w:rPr>
          <w:rFonts w:ascii="Times New Roman" w:hAnsi="Times New Roman" w:cs="Times New Roman"/>
          <w:i w:val="0"/>
          <w:color w:val="auto"/>
          <w:sz w:val="24"/>
          <w:szCs w:val="24"/>
        </w:rPr>
        <w:lastRenderedPageBreak/>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7</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IVOMD (g/kg DM) values for seven plant extracts treated at 300 and 600 mg/kg DM dose level</w:t>
      </w:r>
      <w:bookmarkEnd w:id="196"/>
    </w:p>
    <w:tbl>
      <w:tblPr>
        <w:tblW w:w="2847" w:type="pct"/>
        <w:tblLook w:val="04A0" w:firstRow="1" w:lastRow="0" w:firstColumn="1" w:lastColumn="0" w:noHBand="0" w:noVBand="1"/>
      </w:tblPr>
      <w:tblGrid>
        <w:gridCol w:w="3969"/>
        <w:gridCol w:w="1982"/>
        <w:gridCol w:w="863"/>
        <w:gridCol w:w="1121"/>
        <w:gridCol w:w="13"/>
      </w:tblGrid>
      <w:tr w:rsidR="00EF65F1" w14:paraId="41CA758D" w14:textId="77777777" w:rsidTr="00157A50">
        <w:trPr>
          <w:trHeight w:val="255"/>
        </w:trPr>
        <w:tc>
          <w:tcPr>
            <w:tcW w:w="2497" w:type="pct"/>
            <w:tcBorders>
              <w:top w:val="single" w:sz="4" w:space="0" w:color="auto"/>
              <w:left w:val="nil"/>
              <w:bottom w:val="single" w:sz="4" w:space="0" w:color="auto"/>
              <w:right w:val="nil"/>
            </w:tcBorders>
            <w:shd w:val="clear" w:color="auto" w:fill="auto"/>
            <w:vAlign w:val="center"/>
            <w:hideMark/>
          </w:tcPr>
          <w:p w14:paraId="2313899C" w14:textId="77777777" w:rsidR="00EF65F1" w:rsidRDefault="00EF65F1">
            <w:pPr>
              <w:spacing w:after="0" w:line="240" w:lineRule="auto"/>
              <w:contextualSpacing/>
              <w:jc w:val="both"/>
              <w:rPr>
                <w:rFonts w:ascii="Times New Roman" w:eastAsia="Times New Roman" w:hAnsi="Times New Roman" w:cs="Times New Roman"/>
                <w:color w:val="000000"/>
                <w:sz w:val="22"/>
                <w:szCs w:val="22"/>
                <w:lang w:eastAsia="en-ZA"/>
              </w:rPr>
            </w:pPr>
          </w:p>
        </w:tc>
        <w:tc>
          <w:tcPr>
            <w:tcW w:w="1790" w:type="pct"/>
            <w:gridSpan w:val="2"/>
            <w:tcBorders>
              <w:top w:val="single" w:sz="4" w:space="0" w:color="auto"/>
              <w:left w:val="nil"/>
              <w:bottom w:val="single" w:sz="4" w:space="0" w:color="auto"/>
              <w:right w:val="nil"/>
            </w:tcBorders>
            <w:shd w:val="clear" w:color="auto" w:fill="auto"/>
            <w:vAlign w:val="center"/>
            <w:hideMark/>
          </w:tcPr>
          <w:p w14:paraId="3F92F34C" w14:textId="77777777" w:rsidR="00EF65F1" w:rsidRDefault="00484A18">
            <w:pPr>
              <w:spacing w:after="0" w:line="240" w:lineRule="auto"/>
              <w:ind w:firstLine="567"/>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Mean ± SE (g/kg DM)</w:t>
            </w:r>
          </w:p>
        </w:tc>
        <w:tc>
          <w:tcPr>
            <w:tcW w:w="713" w:type="pct"/>
            <w:gridSpan w:val="2"/>
            <w:tcBorders>
              <w:top w:val="single" w:sz="4" w:space="0" w:color="auto"/>
              <w:left w:val="nil"/>
              <w:bottom w:val="single" w:sz="4" w:space="0" w:color="auto"/>
              <w:right w:val="nil"/>
            </w:tcBorders>
          </w:tcPr>
          <w:p w14:paraId="038C8B59" w14:textId="77777777" w:rsidR="00EF65F1" w:rsidRDefault="00EF65F1">
            <w:pPr>
              <w:spacing w:after="0" w:line="240" w:lineRule="auto"/>
              <w:contextualSpacing/>
              <w:jc w:val="both"/>
              <w:rPr>
                <w:rFonts w:ascii="Times New Roman" w:eastAsia="Times New Roman" w:hAnsi="Times New Roman" w:cs="Times New Roman"/>
                <w:color w:val="000000"/>
                <w:sz w:val="22"/>
                <w:szCs w:val="22"/>
                <w:lang w:eastAsia="en-ZA"/>
              </w:rPr>
            </w:pPr>
          </w:p>
        </w:tc>
      </w:tr>
      <w:tr w:rsidR="00EF65F1" w14:paraId="15A112F1" w14:textId="77777777" w:rsidTr="00266643">
        <w:trPr>
          <w:gridAfter w:val="1"/>
          <w:wAfter w:w="8" w:type="pct"/>
          <w:trHeight w:val="270"/>
        </w:trPr>
        <w:tc>
          <w:tcPr>
            <w:tcW w:w="2497" w:type="pct"/>
            <w:tcBorders>
              <w:top w:val="nil"/>
              <w:left w:val="nil"/>
              <w:bottom w:val="single" w:sz="8" w:space="0" w:color="auto"/>
              <w:right w:val="nil"/>
            </w:tcBorders>
            <w:shd w:val="clear" w:color="auto" w:fill="auto"/>
            <w:vAlign w:val="center"/>
            <w:hideMark/>
          </w:tcPr>
          <w:p w14:paraId="0F0C801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Treatment</w:t>
            </w:r>
          </w:p>
        </w:tc>
        <w:tc>
          <w:tcPr>
            <w:tcW w:w="1247" w:type="pct"/>
            <w:tcBorders>
              <w:top w:val="nil"/>
              <w:left w:val="nil"/>
              <w:bottom w:val="single" w:sz="8" w:space="0" w:color="auto"/>
              <w:right w:val="nil"/>
            </w:tcBorders>
            <w:shd w:val="clear" w:color="auto" w:fill="auto"/>
            <w:vAlign w:val="center"/>
            <w:hideMark/>
          </w:tcPr>
          <w:p w14:paraId="6D9B7C8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300 mg/kg DM</w:t>
            </w:r>
          </w:p>
        </w:tc>
        <w:tc>
          <w:tcPr>
            <w:tcW w:w="1248" w:type="pct"/>
            <w:gridSpan w:val="2"/>
            <w:tcBorders>
              <w:top w:val="single" w:sz="4" w:space="0" w:color="auto"/>
              <w:left w:val="nil"/>
              <w:bottom w:val="single" w:sz="8" w:space="0" w:color="auto"/>
              <w:right w:val="nil"/>
            </w:tcBorders>
            <w:vAlign w:val="bottom"/>
          </w:tcPr>
          <w:p w14:paraId="01041B8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600 mg/kg DM</w:t>
            </w:r>
          </w:p>
        </w:tc>
      </w:tr>
      <w:tr w:rsidR="00EF65F1" w14:paraId="03688A17"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5F60558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Controls</w:t>
            </w:r>
          </w:p>
        </w:tc>
        <w:tc>
          <w:tcPr>
            <w:tcW w:w="1247" w:type="pct"/>
            <w:tcBorders>
              <w:top w:val="nil"/>
              <w:left w:val="nil"/>
              <w:bottom w:val="nil"/>
              <w:right w:val="nil"/>
            </w:tcBorders>
            <w:shd w:val="clear" w:color="auto" w:fill="auto"/>
            <w:noWrap/>
            <w:vAlign w:val="center"/>
            <w:hideMark/>
          </w:tcPr>
          <w:p w14:paraId="0DBF2229" w14:textId="77777777" w:rsidR="00EF65F1" w:rsidRDefault="00EF65F1">
            <w:pPr>
              <w:spacing w:after="0" w:line="240" w:lineRule="auto"/>
              <w:contextualSpacing/>
              <w:jc w:val="both"/>
              <w:rPr>
                <w:rFonts w:ascii="Times New Roman" w:eastAsia="Times New Roman" w:hAnsi="Times New Roman" w:cs="Times New Roman"/>
                <w:bCs/>
                <w:color w:val="000000"/>
                <w:sz w:val="22"/>
                <w:szCs w:val="22"/>
                <w:lang w:eastAsia="en-ZA"/>
              </w:rPr>
            </w:pPr>
          </w:p>
        </w:tc>
        <w:tc>
          <w:tcPr>
            <w:tcW w:w="1248" w:type="pct"/>
            <w:gridSpan w:val="2"/>
            <w:tcBorders>
              <w:top w:val="nil"/>
              <w:left w:val="nil"/>
              <w:bottom w:val="nil"/>
              <w:right w:val="nil"/>
            </w:tcBorders>
            <w:vAlign w:val="bottom"/>
          </w:tcPr>
          <w:p w14:paraId="788E3A89" w14:textId="77777777" w:rsidR="00EF65F1" w:rsidRDefault="00EF65F1">
            <w:pPr>
              <w:spacing w:after="0" w:line="240" w:lineRule="auto"/>
              <w:contextualSpacing/>
              <w:jc w:val="both"/>
              <w:rPr>
                <w:rFonts w:ascii="Times New Roman" w:eastAsia="Times New Roman" w:hAnsi="Times New Roman" w:cs="Times New Roman"/>
                <w:sz w:val="22"/>
                <w:szCs w:val="22"/>
                <w:lang w:eastAsia="en-ZA"/>
              </w:rPr>
            </w:pPr>
          </w:p>
        </w:tc>
      </w:tr>
      <w:tr w:rsidR="00EF65F1" w14:paraId="186727F6"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5C86529F"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Eragrostis curvula</w:t>
            </w:r>
          </w:p>
        </w:tc>
        <w:tc>
          <w:tcPr>
            <w:tcW w:w="1247" w:type="pct"/>
            <w:tcBorders>
              <w:top w:val="nil"/>
              <w:left w:val="nil"/>
              <w:bottom w:val="nil"/>
              <w:right w:val="nil"/>
            </w:tcBorders>
            <w:shd w:val="clear" w:color="auto" w:fill="auto"/>
            <w:noWrap/>
            <w:vAlign w:val="bottom"/>
            <w:hideMark/>
          </w:tcPr>
          <w:p w14:paraId="281C756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1248" w:type="pct"/>
            <w:gridSpan w:val="2"/>
            <w:tcBorders>
              <w:top w:val="nil"/>
              <w:left w:val="nil"/>
              <w:bottom w:val="nil"/>
              <w:right w:val="nil"/>
            </w:tcBorders>
            <w:vAlign w:val="bottom"/>
          </w:tcPr>
          <w:p w14:paraId="66D1C45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r>
      <w:tr w:rsidR="00EF65F1" w14:paraId="217011CF"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4874CBB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Monensin</w:t>
            </w:r>
          </w:p>
        </w:tc>
        <w:tc>
          <w:tcPr>
            <w:tcW w:w="1247" w:type="pct"/>
            <w:tcBorders>
              <w:top w:val="nil"/>
              <w:left w:val="nil"/>
              <w:bottom w:val="nil"/>
              <w:right w:val="nil"/>
            </w:tcBorders>
            <w:shd w:val="clear" w:color="auto" w:fill="auto"/>
            <w:noWrap/>
            <w:vAlign w:val="center"/>
            <w:hideMark/>
          </w:tcPr>
          <w:p w14:paraId="43B883B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490.2 ± 16.60</w:t>
            </w:r>
          </w:p>
        </w:tc>
        <w:tc>
          <w:tcPr>
            <w:tcW w:w="1248" w:type="pct"/>
            <w:gridSpan w:val="2"/>
            <w:tcBorders>
              <w:top w:val="nil"/>
              <w:left w:val="nil"/>
              <w:bottom w:val="nil"/>
              <w:right w:val="nil"/>
            </w:tcBorders>
            <w:vAlign w:val="center"/>
          </w:tcPr>
          <w:p w14:paraId="18A2324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490.2 ± 16.60</w:t>
            </w:r>
          </w:p>
        </w:tc>
      </w:tr>
      <w:tr w:rsidR="00EF65F1" w14:paraId="7E7671D2"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6367EC44"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Moringa oleifera</w:t>
            </w:r>
          </w:p>
        </w:tc>
        <w:tc>
          <w:tcPr>
            <w:tcW w:w="1247" w:type="pct"/>
            <w:tcBorders>
              <w:top w:val="nil"/>
              <w:left w:val="nil"/>
              <w:bottom w:val="nil"/>
              <w:right w:val="nil"/>
            </w:tcBorders>
            <w:shd w:val="clear" w:color="auto" w:fill="auto"/>
            <w:noWrap/>
            <w:vAlign w:val="bottom"/>
            <w:hideMark/>
          </w:tcPr>
          <w:p w14:paraId="24DFE424"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490.2 ± 9.50</w:t>
            </w:r>
          </w:p>
        </w:tc>
        <w:tc>
          <w:tcPr>
            <w:tcW w:w="1248" w:type="pct"/>
            <w:gridSpan w:val="2"/>
            <w:tcBorders>
              <w:top w:val="nil"/>
              <w:left w:val="nil"/>
              <w:bottom w:val="nil"/>
              <w:right w:val="nil"/>
            </w:tcBorders>
            <w:vAlign w:val="bottom"/>
          </w:tcPr>
          <w:p w14:paraId="3C40011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484.9 ± 24.14</w:t>
            </w:r>
          </w:p>
        </w:tc>
      </w:tr>
      <w:tr w:rsidR="00EF65F1" w14:paraId="588042B8"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20F97469"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Combretum erythrophyllum</w:t>
            </w:r>
          </w:p>
        </w:tc>
        <w:tc>
          <w:tcPr>
            <w:tcW w:w="1247" w:type="pct"/>
            <w:tcBorders>
              <w:top w:val="nil"/>
              <w:left w:val="nil"/>
              <w:bottom w:val="nil"/>
              <w:right w:val="nil"/>
            </w:tcBorders>
            <w:shd w:val="clear" w:color="auto" w:fill="auto"/>
            <w:noWrap/>
            <w:vAlign w:val="bottom"/>
            <w:hideMark/>
          </w:tcPr>
          <w:p w14:paraId="1CF3A20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519.1 ± 1.24</w:t>
            </w:r>
          </w:p>
        </w:tc>
        <w:tc>
          <w:tcPr>
            <w:tcW w:w="1248" w:type="pct"/>
            <w:gridSpan w:val="2"/>
            <w:tcBorders>
              <w:top w:val="nil"/>
              <w:left w:val="nil"/>
              <w:bottom w:val="nil"/>
              <w:right w:val="nil"/>
            </w:tcBorders>
            <w:vAlign w:val="center"/>
          </w:tcPr>
          <w:p w14:paraId="499AF39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521.4 ± 9.34</w:t>
            </w:r>
          </w:p>
        </w:tc>
      </w:tr>
      <w:tr w:rsidR="00EF65F1" w14:paraId="1CB8C06E"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4B8C7CA3"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Dodonaea viscosa</w:t>
            </w:r>
          </w:p>
        </w:tc>
        <w:tc>
          <w:tcPr>
            <w:tcW w:w="1247" w:type="pct"/>
            <w:tcBorders>
              <w:top w:val="nil"/>
              <w:left w:val="nil"/>
              <w:bottom w:val="nil"/>
              <w:right w:val="nil"/>
            </w:tcBorders>
            <w:shd w:val="clear" w:color="auto" w:fill="auto"/>
            <w:noWrap/>
            <w:vAlign w:val="bottom"/>
            <w:hideMark/>
          </w:tcPr>
          <w:p w14:paraId="6796535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502.6 ± 22.10</w:t>
            </w:r>
          </w:p>
        </w:tc>
        <w:tc>
          <w:tcPr>
            <w:tcW w:w="1248" w:type="pct"/>
            <w:gridSpan w:val="2"/>
            <w:tcBorders>
              <w:top w:val="nil"/>
              <w:left w:val="nil"/>
              <w:bottom w:val="nil"/>
              <w:right w:val="nil"/>
            </w:tcBorders>
            <w:vAlign w:val="center"/>
          </w:tcPr>
          <w:p w14:paraId="0D08913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493.0 ± 13.91</w:t>
            </w:r>
          </w:p>
        </w:tc>
      </w:tr>
      <w:tr w:rsidR="00EF65F1" w14:paraId="2798651B"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76BB0BAE"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Heteropyxis natalensis</w:t>
            </w:r>
          </w:p>
        </w:tc>
        <w:tc>
          <w:tcPr>
            <w:tcW w:w="1247" w:type="pct"/>
            <w:tcBorders>
              <w:top w:val="nil"/>
              <w:left w:val="nil"/>
              <w:bottom w:val="nil"/>
              <w:right w:val="nil"/>
            </w:tcBorders>
            <w:shd w:val="clear" w:color="auto" w:fill="auto"/>
            <w:noWrap/>
            <w:vAlign w:val="bottom"/>
            <w:hideMark/>
          </w:tcPr>
          <w:p w14:paraId="00BC1C9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504.0 ± 7.01</w:t>
            </w:r>
          </w:p>
        </w:tc>
        <w:tc>
          <w:tcPr>
            <w:tcW w:w="1248" w:type="pct"/>
            <w:gridSpan w:val="2"/>
            <w:tcBorders>
              <w:top w:val="nil"/>
              <w:left w:val="nil"/>
              <w:bottom w:val="nil"/>
              <w:right w:val="nil"/>
            </w:tcBorders>
            <w:vAlign w:val="center"/>
          </w:tcPr>
          <w:p w14:paraId="4BA22CA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502.1 ± 7.66</w:t>
            </w:r>
          </w:p>
        </w:tc>
      </w:tr>
      <w:tr w:rsidR="00EF65F1" w14:paraId="3A413B89"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1C6B789B"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Sclerocarya birrea</w:t>
            </w:r>
          </w:p>
        </w:tc>
        <w:tc>
          <w:tcPr>
            <w:tcW w:w="1247" w:type="pct"/>
            <w:tcBorders>
              <w:top w:val="nil"/>
              <w:left w:val="nil"/>
              <w:bottom w:val="nil"/>
              <w:right w:val="nil"/>
            </w:tcBorders>
            <w:shd w:val="clear" w:color="auto" w:fill="auto"/>
            <w:noWrap/>
            <w:vAlign w:val="bottom"/>
            <w:hideMark/>
          </w:tcPr>
          <w:p w14:paraId="61FE83D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480.8 ± 58.16</w:t>
            </w:r>
          </w:p>
        </w:tc>
        <w:tc>
          <w:tcPr>
            <w:tcW w:w="1248" w:type="pct"/>
            <w:gridSpan w:val="2"/>
            <w:tcBorders>
              <w:top w:val="nil"/>
              <w:left w:val="nil"/>
              <w:bottom w:val="nil"/>
              <w:right w:val="nil"/>
            </w:tcBorders>
            <w:vAlign w:val="bottom"/>
          </w:tcPr>
          <w:p w14:paraId="7C14850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464.8 ± 34.29</w:t>
            </w:r>
          </w:p>
        </w:tc>
      </w:tr>
      <w:tr w:rsidR="00EF65F1" w14:paraId="3B04F4CE"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7395BB53"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Erythrina lysistemon</w:t>
            </w:r>
          </w:p>
        </w:tc>
        <w:tc>
          <w:tcPr>
            <w:tcW w:w="1247" w:type="pct"/>
            <w:tcBorders>
              <w:top w:val="nil"/>
              <w:left w:val="nil"/>
              <w:bottom w:val="nil"/>
              <w:right w:val="nil"/>
            </w:tcBorders>
            <w:shd w:val="clear" w:color="auto" w:fill="auto"/>
            <w:noWrap/>
            <w:vAlign w:val="bottom"/>
            <w:hideMark/>
          </w:tcPr>
          <w:p w14:paraId="52406712"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476.5 ± 48.80</w:t>
            </w:r>
          </w:p>
        </w:tc>
        <w:tc>
          <w:tcPr>
            <w:tcW w:w="1248" w:type="pct"/>
            <w:gridSpan w:val="2"/>
            <w:tcBorders>
              <w:top w:val="nil"/>
              <w:left w:val="nil"/>
              <w:bottom w:val="nil"/>
              <w:right w:val="nil"/>
            </w:tcBorders>
            <w:vAlign w:val="center"/>
          </w:tcPr>
          <w:p w14:paraId="0BBF0A9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483.1 ± 46.16</w:t>
            </w:r>
          </w:p>
        </w:tc>
      </w:tr>
      <w:tr w:rsidR="00EF65F1" w14:paraId="26031DEE"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4830490B"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Searsia chirindensis</w:t>
            </w:r>
          </w:p>
        </w:tc>
        <w:tc>
          <w:tcPr>
            <w:tcW w:w="1247" w:type="pct"/>
            <w:tcBorders>
              <w:top w:val="nil"/>
              <w:left w:val="nil"/>
              <w:bottom w:val="nil"/>
              <w:right w:val="nil"/>
            </w:tcBorders>
            <w:shd w:val="clear" w:color="auto" w:fill="auto"/>
            <w:noWrap/>
            <w:vAlign w:val="center"/>
            <w:hideMark/>
          </w:tcPr>
          <w:p w14:paraId="7F6F0C6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513.0 ± 8.21</w:t>
            </w:r>
          </w:p>
        </w:tc>
        <w:tc>
          <w:tcPr>
            <w:tcW w:w="1248" w:type="pct"/>
            <w:gridSpan w:val="2"/>
            <w:tcBorders>
              <w:top w:val="nil"/>
              <w:left w:val="nil"/>
              <w:bottom w:val="nil"/>
              <w:right w:val="nil"/>
            </w:tcBorders>
            <w:vAlign w:val="center"/>
          </w:tcPr>
          <w:p w14:paraId="623BAA5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508.0 ± 18.09</w:t>
            </w:r>
          </w:p>
        </w:tc>
      </w:tr>
      <w:tr w:rsidR="00EF65F1" w14:paraId="7297081C"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60A00821" w14:textId="77777777" w:rsidR="00EF65F1" w:rsidRDefault="00484A18">
            <w:pPr>
              <w:spacing w:after="0" w:line="240" w:lineRule="auto"/>
              <w:contextualSpacing/>
              <w:jc w:val="both"/>
              <w:rPr>
                <w:rFonts w:ascii="Times New Roman" w:eastAsia="Times New Roman" w:hAnsi="Times New Roman" w:cs="Times New Roman"/>
                <w:i/>
                <w:iCs/>
                <w:color w:val="000000"/>
                <w:sz w:val="22"/>
                <w:szCs w:val="22"/>
                <w:lang w:eastAsia="en-ZA"/>
              </w:rPr>
            </w:pPr>
            <w:r>
              <w:rPr>
                <w:rFonts w:ascii="Times New Roman" w:eastAsia="Times New Roman" w:hAnsi="Times New Roman" w:cs="Times New Roman"/>
                <w:i/>
                <w:iCs/>
                <w:color w:val="000000"/>
                <w:sz w:val="22"/>
                <w:szCs w:val="22"/>
                <w:lang w:eastAsia="en-ZA"/>
              </w:rPr>
              <w:t>Halleria lucida</w:t>
            </w:r>
          </w:p>
        </w:tc>
        <w:tc>
          <w:tcPr>
            <w:tcW w:w="1247" w:type="pct"/>
            <w:tcBorders>
              <w:top w:val="nil"/>
              <w:left w:val="nil"/>
              <w:bottom w:val="nil"/>
              <w:right w:val="nil"/>
            </w:tcBorders>
            <w:shd w:val="clear" w:color="auto" w:fill="auto"/>
            <w:noWrap/>
            <w:vAlign w:val="bottom"/>
            <w:hideMark/>
          </w:tcPr>
          <w:p w14:paraId="7664BD9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502.3 ± 14.99</w:t>
            </w:r>
          </w:p>
        </w:tc>
        <w:tc>
          <w:tcPr>
            <w:tcW w:w="1248" w:type="pct"/>
            <w:gridSpan w:val="2"/>
            <w:tcBorders>
              <w:top w:val="nil"/>
              <w:left w:val="nil"/>
              <w:bottom w:val="nil"/>
              <w:right w:val="nil"/>
            </w:tcBorders>
            <w:vAlign w:val="bottom"/>
          </w:tcPr>
          <w:p w14:paraId="11C94CE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490.4 ± 24.32</w:t>
            </w:r>
          </w:p>
        </w:tc>
      </w:tr>
      <w:tr w:rsidR="00EF65F1" w14:paraId="47FF3FF6" w14:textId="77777777" w:rsidTr="00266643">
        <w:trPr>
          <w:gridAfter w:val="1"/>
          <w:wAfter w:w="8" w:type="pct"/>
          <w:trHeight w:val="255"/>
        </w:trPr>
        <w:tc>
          <w:tcPr>
            <w:tcW w:w="2497" w:type="pct"/>
            <w:tcBorders>
              <w:top w:val="nil"/>
              <w:left w:val="nil"/>
              <w:bottom w:val="nil"/>
              <w:right w:val="nil"/>
            </w:tcBorders>
            <w:shd w:val="clear" w:color="auto" w:fill="auto"/>
            <w:noWrap/>
            <w:vAlign w:val="center"/>
            <w:hideMark/>
          </w:tcPr>
          <w:p w14:paraId="271F191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vertAlign w:val="subscript"/>
                <w:lang w:eastAsia="en-ZA"/>
              </w:rPr>
            </w:pPr>
            <w:r>
              <w:rPr>
                <w:rFonts w:ascii="Times New Roman" w:eastAsia="Times New Roman" w:hAnsi="Times New Roman" w:cs="Times New Roman"/>
                <w:bCs/>
                <w:color w:val="000000"/>
                <w:sz w:val="22"/>
                <w:szCs w:val="22"/>
                <w:lang w:eastAsia="en-ZA"/>
              </w:rPr>
              <w:t>SEM</w:t>
            </w:r>
          </w:p>
        </w:tc>
        <w:tc>
          <w:tcPr>
            <w:tcW w:w="1247" w:type="pct"/>
            <w:tcBorders>
              <w:top w:val="nil"/>
              <w:left w:val="nil"/>
              <w:bottom w:val="nil"/>
              <w:right w:val="nil"/>
            </w:tcBorders>
            <w:shd w:val="clear" w:color="auto" w:fill="auto"/>
            <w:noWrap/>
            <w:vAlign w:val="center"/>
            <w:hideMark/>
          </w:tcPr>
          <w:p w14:paraId="6F12C8E5"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5.46</w:t>
            </w:r>
          </w:p>
        </w:tc>
        <w:tc>
          <w:tcPr>
            <w:tcW w:w="1248" w:type="pct"/>
            <w:gridSpan w:val="2"/>
            <w:tcBorders>
              <w:top w:val="nil"/>
              <w:left w:val="nil"/>
              <w:bottom w:val="nil"/>
              <w:right w:val="nil"/>
            </w:tcBorders>
            <w:vAlign w:val="bottom"/>
          </w:tcPr>
          <w:p w14:paraId="3EB1D9D9"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5.33</w:t>
            </w:r>
          </w:p>
        </w:tc>
      </w:tr>
      <w:tr w:rsidR="00EF65F1" w14:paraId="4001AAA3" w14:textId="77777777" w:rsidTr="00157A50">
        <w:trPr>
          <w:gridAfter w:val="1"/>
          <w:wAfter w:w="8" w:type="pct"/>
          <w:trHeight w:val="270"/>
        </w:trPr>
        <w:tc>
          <w:tcPr>
            <w:tcW w:w="2497" w:type="pct"/>
            <w:tcBorders>
              <w:top w:val="nil"/>
              <w:left w:val="nil"/>
              <w:bottom w:val="single" w:sz="8" w:space="0" w:color="auto"/>
              <w:right w:val="nil"/>
            </w:tcBorders>
            <w:shd w:val="clear" w:color="auto" w:fill="auto"/>
            <w:noWrap/>
            <w:vAlign w:val="center"/>
            <w:hideMark/>
          </w:tcPr>
          <w:p w14:paraId="264589F3"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vertAlign w:val="subscript"/>
                <w:lang w:eastAsia="en-ZA"/>
              </w:rPr>
            </w:pPr>
            <w:r>
              <w:rPr>
                <w:rFonts w:ascii="Times New Roman" w:eastAsia="Times New Roman" w:hAnsi="Times New Roman" w:cs="Times New Roman"/>
                <w:bCs/>
                <w:color w:val="000000"/>
                <w:sz w:val="22"/>
                <w:szCs w:val="22"/>
                <w:lang w:eastAsia="en-ZA"/>
              </w:rPr>
              <w:t>P-value</w:t>
            </w:r>
          </w:p>
        </w:tc>
        <w:tc>
          <w:tcPr>
            <w:tcW w:w="1247" w:type="pct"/>
            <w:tcBorders>
              <w:top w:val="nil"/>
              <w:left w:val="nil"/>
              <w:bottom w:val="single" w:sz="8" w:space="0" w:color="auto"/>
              <w:right w:val="nil"/>
            </w:tcBorders>
            <w:shd w:val="clear" w:color="auto" w:fill="auto"/>
            <w:noWrap/>
            <w:vAlign w:val="center"/>
            <w:hideMark/>
          </w:tcPr>
          <w:p w14:paraId="54C9F0FD"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0.83</w:t>
            </w:r>
          </w:p>
        </w:tc>
        <w:tc>
          <w:tcPr>
            <w:tcW w:w="1248" w:type="pct"/>
            <w:gridSpan w:val="2"/>
            <w:tcBorders>
              <w:top w:val="nil"/>
              <w:left w:val="nil"/>
              <w:bottom w:val="single" w:sz="8" w:space="0" w:color="auto"/>
              <w:right w:val="nil"/>
            </w:tcBorders>
            <w:vAlign w:val="bottom"/>
          </w:tcPr>
          <w:p w14:paraId="622EFF36"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0.65</w:t>
            </w:r>
          </w:p>
        </w:tc>
      </w:tr>
    </w:tbl>
    <w:p w14:paraId="1AFBF7E6" w14:textId="77777777" w:rsidR="00EF65F1" w:rsidRDefault="00484A18">
      <w:pPr>
        <w:spacing w:line="360" w:lineRule="auto"/>
        <w:contextualSpacing/>
        <w:jc w:val="both"/>
        <w:divId w:val="1406338344"/>
        <w:rPr>
          <w:rFonts w:ascii="Times New Roman" w:hAnsi="Times New Roman" w:cs="Times New Roman"/>
          <w:sz w:val="22"/>
          <w:szCs w:val="22"/>
        </w:rPr>
      </w:pPr>
      <w:r>
        <w:fldChar w:fldCharType="begin"/>
      </w:r>
      <w:r>
        <w:instrText xml:space="preserve"> LINK Excel.Sheet.12 "C:\\Users\\Jenna\\Documents\\Dissertation\\Results\\Steers Experiment 1\\IVOMD tables.xlsx" "CH4 300 vs 600 !R2C1:R9C8" \a \f 4 \h  \* MERGEFORMAT </w:instrText>
      </w:r>
      <w:r>
        <w:fldChar w:fldCharType="separate"/>
      </w:r>
    </w:p>
    <w:p w14:paraId="4F61ED5F" w14:textId="1EBEC725" w:rsidR="00EF65F1" w:rsidRDefault="00484A18">
      <w:pPr>
        <w:pStyle w:val="Caption"/>
        <w:keepNext/>
        <w:jc w:val="both"/>
        <w:divId w:val="1406338344"/>
        <w:rPr>
          <w:rFonts w:ascii="Times New Roman" w:hAnsi="Times New Roman" w:cs="Times New Roman"/>
          <w:i w:val="0"/>
          <w:color w:val="auto"/>
          <w:sz w:val="24"/>
          <w:szCs w:val="24"/>
        </w:rPr>
      </w:pPr>
      <w:bookmarkStart w:id="197" w:name="_Toc2349146"/>
      <w:r>
        <w:rPr>
          <w:rFonts w:ascii="Times New Roman" w:hAnsi="Times New Roman" w:cs="Times New Roman"/>
          <w:i w:val="0"/>
          <w:color w:val="auto"/>
          <w:sz w:val="24"/>
          <w:szCs w:val="24"/>
        </w:rPr>
        <w:t xml:space="preserve">Table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Table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8</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IVOMD (g/kg DM) values of individual plant extracts as affected by dose level</w:t>
      </w:r>
      <w:bookmarkEnd w:id="197"/>
    </w:p>
    <w:tbl>
      <w:tblPr>
        <w:tblW w:w="5086" w:type="pct"/>
        <w:tblLook w:val="04A0" w:firstRow="1" w:lastRow="0" w:firstColumn="1" w:lastColumn="0" w:noHBand="0" w:noVBand="1"/>
      </w:tblPr>
      <w:tblGrid>
        <w:gridCol w:w="1745"/>
        <w:gridCol w:w="241"/>
        <w:gridCol w:w="1744"/>
        <w:gridCol w:w="1746"/>
        <w:gridCol w:w="1502"/>
        <w:gridCol w:w="244"/>
        <w:gridCol w:w="1502"/>
        <w:gridCol w:w="244"/>
        <w:gridCol w:w="1502"/>
        <w:gridCol w:w="244"/>
        <w:gridCol w:w="1502"/>
        <w:gridCol w:w="244"/>
        <w:gridCol w:w="1502"/>
        <w:gridCol w:w="236"/>
      </w:tblGrid>
      <w:tr w:rsidR="00EF65F1" w14:paraId="1A9BADB4" w14:textId="77777777">
        <w:trPr>
          <w:gridAfter w:val="1"/>
          <w:divId w:val="1406338344"/>
          <w:wAfter w:w="85" w:type="pct"/>
          <w:trHeight w:val="270"/>
        </w:trPr>
        <w:tc>
          <w:tcPr>
            <w:tcW w:w="614" w:type="pct"/>
            <w:tcBorders>
              <w:top w:val="single" w:sz="4" w:space="0" w:color="auto"/>
              <w:left w:val="nil"/>
              <w:bottom w:val="single" w:sz="8" w:space="0" w:color="auto"/>
              <w:right w:val="nil"/>
            </w:tcBorders>
            <w:shd w:val="clear" w:color="auto" w:fill="auto"/>
            <w:noWrap/>
            <w:vAlign w:val="bottom"/>
            <w:hideMark/>
          </w:tcPr>
          <w:p w14:paraId="7ADC45E7" w14:textId="77777777" w:rsidR="00EF65F1" w:rsidRDefault="00484A18">
            <w:pPr>
              <w:spacing w:after="0" w:line="36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 </w:t>
            </w:r>
          </w:p>
        </w:tc>
        <w:tc>
          <w:tcPr>
            <w:tcW w:w="4301" w:type="pct"/>
            <w:gridSpan w:val="12"/>
            <w:tcBorders>
              <w:top w:val="single" w:sz="4" w:space="0" w:color="auto"/>
              <w:left w:val="nil"/>
              <w:bottom w:val="single" w:sz="8" w:space="0" w:color="auto"/>
              <w:right w:val="nil"/>
            </w:tcBorders>
            <w:shd w:val="clear" w:color="auto" w:fill="auto"/>
            <w:noWrap/>
            <w:vAlign w:val="bottom"/>
            <w:hideMark/>
          </w:tcPr>
          <w:p w14:paraId="6F729A70" w14:textId="77777777" w:rsidR="00EF65F1" w:rsidRDefault="00484A18">
            <w:pPr>
              <w:spacing w:after="0" w:line="360" w:lineRule="auto"/>
              <w:contextualSpacing/>
              <w:jc w:val="center"/>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Mean ± SE</w:t>
            </w:r>
          </w:p>
        </w:tc>
      </w:tr>
      <w:tr w:rsidR="00EF65F1" w14:paraId="0B2C4822" w14:textId="77777777">
        <w:trPr>
          <w:divId w:val="1406338344"/>
          <w:trHeight w:val="735"/>
        </w:trPr>
        <w:tc>
          <w:tcPr>
            <w:tcW w:w="699" w:type="pct"/>
            <w:gridSpan w:val="2"/>
            <w:tcBorders>
              <w:top w:val="nil"/>
              <w:left w:val="nil"/>
              <w:bottom w:val="single" w:sz="4" w:space="0" w:color="auto"/>
              <w:right w:val="nil"/>
            </w:tcBorders>
            <w:shd w:val="clear" w:color="auto" w:fill="auto"/>
            <w:noWrap/>
            <w:vAlign w:val="bottom"/>
            <w:hideMark/>
          </w:tcPr>
          <w:p w14:paraId="6163A556"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Treatment</w:t>
            </w:r>
          </w:p>
        </w:tc>
        <w:tc>
          <w:tcPr>
            <w:tcW w:w="614" w:type="pct"/>
            <w:tcBorders>
              <w:top w:val="nil"/>
              <w:left w:val="nil"/>
              <w:bottom w:val="single" w:sz="4" w:space="0" w:color="auto"/>
              <w:right w:val="nil"/>
            </w:tcBorders>
            <w:shd w:val="clear" w:color="auto" w:fill="auto"/>
            <w:vAlign w:val="center"/>
            <w:hideMark/>
          </w:tcPr>
          <w:p w14:paraId="46CAB101"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Combretum erythrophyllum</w:t>
            </w:r>
          </w:p>
        </w:tc>
        <w:tc>
          <w:tcPr>
            <w:tcW w:w="615" w:type="pct"/>
            <w:tcBorders>
              <w:top w:val="nil"/>
              <w:left w:val="nil"/>
              <w:bottom w:val="single" w:sz="4" w:space="0" w:color="auto"/>
              <w:right w:val="nil"/>
            </w:tcBorders>
            <w:shd w:val="clear" w:color="auto" w:fill="auto"/>
            <w:vAlign w:val="center"/>
            <w:hideMark/>
          </w:tcPr>
          <w:p w14:paraId="68F54841"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Dodonaea viscosa</w:t>
            </w:r>
          </w:p>
        </w:tc>
        <w:tc>
          <w:tcPr>
            <w:tcW w:w="615" w:type="pct"/>
            <w:gridSpan w:val="2"/>
            <w:tcBorders>
              <w:top w:val="nil"/>
              <w:left w:val="nil"/>
              <w:bottom w:val="single" w:sz="4" w:space="0" w:color="auto"/>
              <w:right w:val="nil"/>
            </w:tcBorders>
            <w:shd w:val="clear" w:color="auto" w:fill="auto"/>
            <w:vAlign w:val="center"/>
            <w:hideMark/>
          </w:tcPr>
          <w:p w14:paraId="24E1DE1A"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Heteropyxis natalensis</w:t>
            </w:r>
          </w:p>
        </w:tc>
        <w:tc>
          <w:tcPr>
            <w:tcW w:w="615" w:type="pct"/>
            <w:gridSpan w:val="2"/>
            <w:tcBorders>
              <w:top w:val="nil"/>
              <w:left w:val="nil"/>
              <w:bottom w:val="single" w:sz="4" w:space="0" w:color="auto"/>
              <w:right w:val="nil"/>
            </w:tcBorders>
            <w:shd w:val="clear" w:color="auto" w:fill="auto"/>
            <w:vAlign w:val="center"/>
            <w:hideMark/>
          </w:tcPr>
          <w:p w14:paraId="081241EC"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Sclerocarya birrea</w:t>
            </w:r>
          </w:p>
        </w:tc>
        <w:tc>
          <w:tcPr>
            <w:tcW w:w="615" w:type="pct"/>
            <w:gridSpan w:val="2"/>
            <w:tcBorders>
              <w:top w:val="nil"/>
              <w:left w:val="nil"/>
              <w:bottom w:val="single" w:sz="4" w:space="0" w:color="auto"/>
              <w:right w:val="nil"/>
            </w:tcBorders>
            <w:shd w:val="clear" w:color="auto" w:fill="auto"/>
            <w:vAlign w:val="center"/>
            <w:hideMark/>
          </w:tcPr>
          <w:p w14:paraId="3F77B03C"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Erythrina lysistemon</w:t>
            </w:r>
          </w:p>
        </w:tc>
        <w:tc>
          <w:tcPr>
            <w:tcW w:w="615" w:type="pct"/>
            <w:gridSpan w:val="2"/>
            <w:tcBorders>
              <w:top w:val="nil"/>
              <w:left w:val="nil"/>
              <w:bottom w:val="single" w:sz="4" w:space="0" w:color="auto"/>
              <w:right w:val="nil"/>
            </w:tcBorders>
            <w:shd w:val="clear" w:color="auto" w:fill="auto"/>
            <w:vAlign w:val="center"/>
            <w:hideMark/>
          </w:tcPr>
          <w:p w14:paraId="6DB0BBCB" w14:textId="77777777" w:rsidR="00EF65F1" w:rsidRPr="00266643" w:rsidRDefault="00484A18">
            <w:pPr>
              <w:spacing w:after="0" w:line="240" w:lineRule="auto"/>
              <w:contextualSpacing/>
              <w:jc w:val="both"/>
              <w:rPr>
                <w:rFonts w:ascii="Times New Roman" w:eastAsia="Times New Roman" w:hAnsi="Times New Roman" w:cs="Times New Roman"/>
                <w:i/>
                <w:iCs/>
                <w:sz w:val="22"/>
                <w:szCs w:val="22"/>
                <w:lang w:eastAsia="en-ZA"/>
              </w:rPr>
            </w:pPr>
            <w:r w:rsidRPr="00266643">
              <w:rPr>
                <w:rFonts w:ascii="Times New Roman" w:eastAsia="Times New Roman" w:hAnsi="Times New Roman" w:cs="Times New Roman"/>
                <w:i/>
                <w:iCs/>
                <w:sz w:val="22"/>
                <w:szCs w:val="22"/>
                <w:lang w:eastAsia="en-ZA"/>
              </w:rPr>
              <w:t>Searsia chirindensis</w:t>
            </w:r>
          </w:p>
        </w:tc>
        <w:tc>
          <w:tcPr>
            <w:tcW w:w="615" w:type="pct"/>
            <w:gridSpan w:val="2"/>
            <w:tcBorders>
              <w:top w:val="nil"/>
              <w:left w:val="nil"/>
              <w:bottom w:val="single" w:sz="4" w:space="0" w:color="auto"/>
              <w:right w:val="nil"/>
            </w:tcBorders>
            <w:shd w:val="clear" w:color="auto" w:fill="auto"/>
            <w:vAlign w:val="center"/>
            <w:hideMark/>
          </w:tcPr>
          <w:p w14:paraId="30215E52" w14:textId="77777777" w:rsidR="00EF65F1" w:rsidRPr="00266643" w:rsidRDefault="00484A18">
            <w:pPr>
              <w:spacing w:after="0" w:line="240" w:lineRule="auto"/>
              <w:contextualSpacing/>
              <w:jc w:val="both"/>
              <w:rPr>
                <w:rFonts w:ascii="Times New Roman" w:eastAsia="Times New Roman" w:hAnsi="Times New Roman" w:cs="Times New Roman"/>
                <w:i/>
                <w:iCs/>
                <w:sz w:val="22"/>
                <w:szCs w:val="22"/>
                <w:lang w:eastAsia="en-ZA"/>
              </w:rPr>
            </w:pPr>
            <w:r w:rsidRPr="00266643">
              <w:rPr>
                <w:rFonts w:ascii="Times New Roman" w:eastAsia="Times New Roman" w:hAnsi="Times New Roman" w:cs="Times New Roman"/>
                <w:i/>
                <w:iCs/>
                <w:sz w:val="22"/>
                <w:szCs w:val="22"/>
                <w:lang w:eastAsia="en-ZA"/>
              </w:rPr>
              <w:t>Halleria lucida</w:t>
            </w:r>
          </w:p>
        </w:tc>
      </w:tr>
      <w:tr w:rsidR="00EF65F1" w14:paraId="4B3B50AC" w14:textId="77777777">
        <w:trPr>
          <w:divId w:val="1406338344"/>
          <w:trHeight w:val="259"/>
        </w:trPr>
        <w:tc>
          <w:tcPr>
            <w:tcW w:w="699" w:type="pct"/>
            <w:gridSpan w:val="2"/>
            <w:tcBorders>
              <w:top w:val="nil"/>
              <w:left w:val="nil"/>
              <w:bottom w:val="nil"/>
              <w:right w:val="nil"/>
            </w:tcBorders>
            <w:shd w:val="clear" w:color="auto" w:fill="auto"/>
            <w:vAlign w:val="center"/>
            <w:hideMark/>
          </w:tcPr>
          <w:p w14:paraId="3CD7F9BF" w14:textId="77777777" w:rsidR="00EF65F1" w:rsidRDefault="00484A18">
            <w:pPr>
              <w:spacing w:after="0" w:line="240" w:lineRule="auto"/>
              <w:contextualSpacing/>
              <w:jc w:val="both"/>
              <w:rPr>
                <w:rFonts w:ascii="Times New Roman" w:eastAsia="Times New Roman" w:hAnsi="Times New Roman" w:cs="Times New Roman"/>
                <w:i/>
                <w:iCs/>
                <w:sz w:val="22"/>
                <w:szCs w:val="22"/>
                <w:lang w:eastAsia="en-ZA"/>
              </w:rPr>
            </w:pPr>
            <w:r>
              <w:rPr>
                <w:rFonts w:ascii="Times New Roman" w:eastAsia="Times New Roman" w:hAnsi="Times New Roman" w:cs="Times New Roman"/>
                <w:i/>
                <w:iCs/>
                <w:sz w:val="22"/>
                <w:szCs w:val="22"/>
                <w:lang w:eastAsia="en-ZA"/>
              </w:rPr>
              <w:t>Eragrostis curvula</w:t>
            </w:r>
          </w:p>
        </w:tc>
        <w:tc>
          <w:tcPr>
            <w:tcW w:w="614" w:type="pct"/>
            <w:tcBorders>
              <w:top w:val="nil"/>
              <w:left w:val="nil"/>
              <w:bottom w:val="nil"/>
              <w:right w:val="nil"/>
            </w:tcBorders>
            <w:shd w:val="clear" w:color="auto" w:fill="auto"/>
            <w:noWrap/>
            <w:vAlign w:val="bottom"/>
            <w:hideMark/>
          </w:tcPr>
          <w:p w14:paraId="4494F37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tcBorders>
              <w:top w:val="nil"/>
              <w:left w:val="nil"/>
              <w:bottom w:val="nil"/>
              <w:right w:val="nil"/>
            </w:tcBorders>
            <w:shd w:val="clear" w:color="auto" w:fill="auto"/>
            <w:noWrap/>
            <w:vAlign w:val="bottom"/>
            <w:hideMark/>
          </w:tcPr>
          <w:p w14:paraId="214D2FB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gridSpan w:val="2"/>
            <w:tcBorders>
              <w:top w:val="nil"/>
              <w:left w:val="nil"/>
              <w:bottom w:val="nil"/>
              <w:right w:val="nil"/>
            </w:tcBorders>
            <w:shd w:val="clear" w:color="auto" w:fill="auto"/>
            <w:noWrap/>
            <w:vAlign w:val="bottom"/>
            <w:hideMark/>
          </w:tcPr>
          <w:p w14:paraId="292B5EC3"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gridSpan w:val="2"/>
            <w:tcBorders>
              <w:top w:val="nil"/>
              <w:left w:val="nil"/>
              <w:bottom w:val="nil"/>
              <w:right w:val="nil"/>
            </w:tcBorders>
            <w:shd w:val="clear" w:color="auto" w:fill="auto"/>
            <w:noWrap/>
            <w:vAlign w:val="bottom"/>
            <w:hideMark/>
          </w:tcPr>
          <w:p w14:paraId="7FDF20E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gridSpan w:val="2"/>
            <w:tcBorders>
              <w:top w:val="nil"/>
              <w:left w:val="nil"/>
              <w:bottom w:val="nil"/>
              <w:right w:val="nil"/>
            </w:tcBorders>
            <w:shd w:val="clear" w:color="auto" w:fill="auto"/>
            <w:noWrap/>
            <w:vAlign w:val="bottom"/>
            <w:hideMark/>
          </w:tcPr>
          <w:p w14:paraId="2DFF05E1"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gridSpan w:val="2"/>
            <w:tcBorders>
              <w:top w:val="nil"/>
              <w:left w:val="nil"/>
              <w:bottom w:val="nil"/>
              <w:right w:val="nil"/>
            </w:tcBorders>
            <w:shd w:val="clear" w:color="auto" w:fill="auto"/>
            <w:noWrap/>
            <w:vAlign w:val="bottom"/>
            <w:hideMark/>
          </w:tcPr>
          <w:p w14:paraId="2B91643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c>
          <w:tcPr>
            <w:tcW w:w="615" w:type="pct"/>
            <w:gridSpan w:val="2"/>
            <w:tcBorders>
              <w:top w:val="nil"/>
              <w:left w:val="nil"/>
              <w:bottom w:val="nil"/>
              <w:right w:val="nil"/>
            </w:tcBorders>
            <w:shd w:val="clear" w:color="auto" w:fill="auto"/>
            <w:noWrap/>
            <w:vAlign w:val="bottom"/>
            <w:hideMark/>
          </w:tcPr>
          <w:p w14:paraId="03BED69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500.0 ± 33.25</w:t>
            </w:r>
          </w:p>
        </w:tc>
      </w:tr>
      <w:tr w:rsidR="00EF65F1" w14:paraId="7D984BCB" w14:textId="77777777">
        <w:trPr>
          <w:divId w:val="1406338344"/>
          <w:trHeight w:val="259"/>
        </w:trPr>
        <w:tc>
          <w:tcPr>
            <w:tcW w:w="699" w:type="pct"/>
            <w:gridSpan w:val="2"/>
            <w:tcBorders>
              <w:top w:val="nil"/>
              <w:left w:val="nil"/>
              <w:bottom w:val="nil"/>
              <w:right w:val="nil"/>
            </w:tcBorders>
            <w:shd w:val="clear" w:color="auto" w:fill="auto"/>
            <w:noWrap/>
            <w:vAlign w:val="center"/>
            <w:hideMark/>
          </w:tcPr>
          <w:p w14:paraId="3D92ACF4"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300 mg/kg</w:t>
            </w:r>
          </w:p>
        </w:tc>
        <w:tc>
          <w:tcPr>
            <w:tcW w:w="614" w:type="pct"/>
            <w:tcBorders>
              <w:top w:val="nil"/>
              <w:left w:val="nil"/>
              <w:bottom w:val="nil"/>
              <w:right w:val="nil"/>
            </w:tcBorders>
            <w:shd w:val="clear" w:color="auto" w:fill="auto"/>
            <w:noWrap/>
            <w:vAlign w:val="bottom"/>
            <w:hideMark/>
          </w:tcPr>
          <w:p w14:paraId="3F01D7A5"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519.1 ± 1.24</w:t>
            </w:r>
          </w:p>
        </w:tc>
        <w:tc>
          <w:tcPr>
            <w:tcW w:w="615" w:type="pct"/>
            <w:tcBorders>
              <w:top w:val="nil"/>
              <w:left w:val="nil"/>
              <w:bottom w:val="nil"/>
              <w:right w:val="nil"/>
            </w:tcBorders>
            <w:shd w:val="clear" w:color="auto" w:fill="auto"/>
            <w:noWrap/>
            <w:vAlign w:val="bottom"/>
            <w:hideMark/>
          </w:tcPr>
          <w:p w14:paraId="44BAA7F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502.6 ± 22.10</w:t>
            </w:r>
          </w:p>
        </w:tc>
        <w:tc>
          <w:tcPr>
            <w:tcW w:w="615" w:type="pct"/>
            <w:gridSpan w:val="2"/>
            <w:tcBorders>
              <w:top w:val="nil"/>
              <w:left w:val="nil"/>
              <w:bottom w:val="nil"/>
              <w:right w:val="nil"/>
            </w:tcBorders>
            <w:shd w:val="clear" w:color="auto" w:fill="auto"/>
            <w:noWrap/>
            <w:vAlign w:val="bottom"/>
            <w:hideMark/>
          </w:tcPr>
          <w:p w14:paraId="47CA6C19"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504.0 ± 7.01</w:t>
            </w:r>
          </w:p>
        </w:tc>
        <w:tc>
          <w:tcPr>
            <w:tcW w:w="615" w:type="pct"/>
            <w:gridSpan w:val="2"/>
            <w:tcBorders>
              <w:top w:val="nil"/>
              <w:left w:val="nil"/>
              <w:bottom w:val="nil"/>
              <w:right w:val="nil"/>
            </w:tcBorders>
            <w:shd w:val="clear" w:color="auto" w:fill="auto"/>
            <w:noWrap/>
            <w:vAlign w:val="bottom"/>
            <w:hideMark/>
          </w:tcPr>
          <w:p w14:paraId="3BA1CBD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480.8 ± 58.16</w:t>
            </w:r>
          </w:p>
        </w:tc>
        <w:tc>
          <w:tcPr>
            <w:tcW w:w="615" w:type="pct"/>
            <w:gridSpan w:val="2"/>
            <w:tcBorders>
              <w:top w:val="nil"/>
              <w:left w:val="nil"/>
              <w:bottom w:val="nil"/>
              <w:right w:val="nil"/>
            </w:tcBorders>
            <w:shd w:val="clear" w:color="auto" w:fill="auto"/>
            <w:noWrap/>
            <w:vAlign w:val="bottom"/>
            <w:hideMark/>
          </w:tcPr>
          <w:p w14:paraId="4916630E"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476.5 ± 48.80</w:t>
            </w:r>
          </w:p>
        </w:tc>
        <w:tc>
          <w:tcPr>
            <w:tcW w:w="615" w:type="pct"/>
            <w:gridSpan w:val="2"/>
            <w:tcBorders>
              <w:top w:val="nil"/>
              <w:left w:val="nil"/>
              <w:bottom w:val="nil"/>
              <w:right w:val="nil"/>
            </w:tcBorders>
            <w:shd w:val="clear" w:color="auto" w:fill="auto"/>
            <w:noWrap/>
            <w:vAlign w:val="bottom"/>
            <w:hideMark/>
          </w:tcPr>
          <w:p w14:paraId="7AE2E96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513 ± 8.21</w:t>
            </w:r>
          </w:p>
        </w:tc>
        <w:tc>
          <w:tcPr>
            <w:tcW w:w="615" w:type="pct"/>
            <w:gridSpan w:val="2"/>
            <w:tcBorders>
              <w:top w:val="nil"/>
              <w:left w:val="nil"/>
              <w:bottom w:val="nil"/>
              <w:right w:val="nil"/>
            </w:tcBorders>
            <w:shd w:val="clear" w:color="auto" w:fill="auto"/>
            <w:noWrap/>
            <w:vAlign w:val="bottom"/>
            <w:hideMark/>
          </w:tcPr>
          <w:p w14:paraId="6E20DBAC"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502.3 ± 14.99</w:t>
            </w:r>
          </w:p>
        </w:tc>
      </w:tr>
      <w:tr w:rsidR="00EF65F1" w14:paraId="0DD45565" w14:textId="77777777">
        <w:trPr>
          <w:divId w:val="1406338344"/>
          <w:trHeight w:val="259"/>
        </w:trPr>
        <w:tc>
          <w:tcPr>
            <w:tcW w:w="699" w:type="pct"/>
            <w:gridSpan w:val="2"/>
            <w:tcBorders>
              <w:top w:val="nil"/>
              <w:left w:val="nil"/>
              <w:bottom w:val="nil"/>
              <w:right w:val="nil"/>
            </w:tcBorders>
            <w:shd w:val="clear" w:color="auto" w:fill="auto"/>
            <w:noWrap/>
            <w:vAlign w:val="center"/>
            <w:hideMark/>
          </w:tcPr>
          <w:p w14:paraId="56A0A3C1" w14:textId="77777777" w:rsidR="00EF65F1" w:rsidRDefault="00484A18">
            <w:pPr>
              <w:spacing w:after="0" w:line="240" w:lineRule="auto"/>
              <w:contextualSpacing/>
              <w:jc w:val="both"/>
              <w:rPr>
                <w:rFonts w:ascii="Times New Roman" w:eastAsia="Times New Roman" w:hAnsi="Times New Roman" w:cs="Times New Roman"/>
                <w:sz w:val="22"/>
                <w:szCs w:val="22"/>
                <w:lang w:eastAsia="en-ZA"/>
              </w:rPr>
            </w:pPr>
            <w:r>
              <w:rPr>
                <w:rFonts w:ascii="Times New Roman" w:eastAsia="Times New Roman" w:hAnsi="Times New Roman" w:cs="Times New Roman"/>
                <w:sz w:val="22"/>
                <w:szCs w:val="22"/>
                <w:lang w:eastAsia="en-ZA"/>
              </w:rPr>
              <w:t>600 mg/kg</w:t>
            </w:r>
          </w:p>
        </w:tc>
        <w:tc>
          <w:tcPr>
            <w:tcW w:w="614" w:type="pct"/>
            <w:tcBorders>
              <w:top w:val="nil"/>
              <w:left w:val="nil"/>
              <w:bottom w:val="nil"/>
              <w:right w:val="nil"/>
            </w:tcBorders>
            <w:shd w:val="clear" w:color="auto" w:fill="auto"/>
            <w:noWrap/>
            <w:vAlign w:val="bottom"/>
            <w:hideMark/>
          </w:tcPr>
          <w:p w14:paraId="6BB70A70"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521.4 ± 9.34</w:t>
            </w:r>
          </w:p>
        </w:tc>
        <w:tc>
          <w:tcPr>
            <w:tcW w:w="615" w:type="pct"/>
            <w:tcBorders>
              <w:top w:val="nil"/>
              <w:left w:val="nil"/>
              <w:bottom w:val="nil"/>
              <w:right w:val="nil"/>
            </w:tcBorders>
            <w:shd w:val="clear" w:color="auto" w:fill="auto"/>
            <w:noWrap/>
            <w:vAlign w:val="bottom"/>
            <w:hideMark/>
          </w:tcPr>
          <w:p w14:paraId="68185708"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493.0 ± 13.91</w:t>
            </w:r>
          </w:p>
        </w:tc>
        <w:tc>
          <w:tcPr>
            <w:tcW w:w="615" w:type="pct"/>
            <w:gridSpan w:val="2"/>
            <w:tcBorders>
              <w:top w:val="nil"/>
              <w:left w:val="nil"/>
              <w:bottom w:val="nil"/>
              <w:right w:val="nil"/>
            </w:tcBorders>
            <w:shd w:val="clear" w:color="auto" w:fill="auto"/>
            <w:noWrap/>
            <w:vAlign w:val="bottom"/>
            <w:hideMark/>
          </w:tcPr>
          <w:p w14:paraId="08CFC0E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502.1 ± 7.66</w:t>
            </w:r>
          </w:p>
        </w:tc>
        <w:tc>
          <w:tcPr>
            <w:tcW w:w="615" w:type="pct"/>
            <w:gridSpan w:val="2"/>
            <w:tcBorders>
              <w:top w:val="nil"/>
              <w:left w:val="nil"/>
              <w:bottom w:val="nil"/>
              <w:right w:val="nil"/>
            </w:tcBorders>
            <w:shd w:val="clear" w:color="auto" w:fill="auto"/>
            <w:noWrap/>
            <w:vAlign w:val="bottom"/>
            <w:hideMark/>
          </w:tcPr>
          <w:p w14:paraId="2528F09B"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464.8 ± 34.29</w:t>
            </w:r>
          </w:p>
        </w:tc>
        <w:tc>
          <w:tcPr>
            <w:tcW w:w="615" w:type="pct"/>
            <w:gridSpan w:val="2"/>
            <w:tcBorders>
              <w:top w:val="nil"/>
              <w:left w:val="nil"/>
              <w:bottom w:val="nil"/>
              <w:right w:val="nil"/>
            </w:tcBorders>
            <w:shd w:val="clear" w:color="auto" w:fill="auto"/>
            <w:noWrap/>
            <w:vAlign w:val="bottom"/>
            <w:hideMark/>
          </w:tcPr>
          <w:p w14:paraId="2EA3401A"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483.1 ± 46.16</w:t>
            </w:r>
          </w:p>
        </w:tc>
        <w:tc>
          <w:tcPr>
            <w:tcW w:w="615" w:type="pct"/>
            <w:gridSpan w:val="2"/>
            <w:tcBorders>
              <w:top w:val="nil"/>
              <w:left w:val="nil"/>
              <w:bottom w:val="nil"/>
              <w:right w:val="nil"/>
            </w:tcBorders>
            <w:shd w:val="clear" w:color="auto" w:fill="auto"/>
            <w:noWrap/>
            <w:vAlign w:val="bottom"/>
            <w:hideMark/>
          </w:tcPr>
          <w:p w14:paraId="47DEFE76"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508.0 ± 18.09</w:t>
            </w:r>
          </w:p>
        </w:tc>
        <w:tc>
          <w:tcPr>
            <w:tcW w:w="615" w:type="pct"/>
            <w:gridSpan w:val="2"/>
            <w:tcBorders>
              <w:top w:val="nil"/>
              <w:left w:val="nil"/>
              <w:bottom w:val="nil"/>
              <w:right w:val="nil"/>
            </w:tcBorders>
            <w:shd w:val="clear" w:color="auto" w:fill="auto"/>
            <w:noWrap/>
            <w:vAlign w:val="bottom"/>
            <w:hideMark/>
          </w:tcPr>
          <w:p w14:paraId="50D4C69D" w14:textId="77777777" w:rsidR="00EF65F1" w:rsidRDefault="00484A18">
            <w:pPr>
              <w:spacing w:after="0" w:line="240" w:lineRule="auto"/>
              <w:contextualSpacing/>
              <w:jc w:val="both"/>
              <w:rPr>
                <w:rFonts w:ascii="Times New Roman" w:eastAsia="Times New Roman" w:hAnsi="Times New Roman" w:cs="Times New Roman"/>
                <w:color w:val="000000"/>
                <w:sz w:val="22"/>
                <w:szCs w:val="22"/>
                <w:lang w:eastAsia="en-ZA"/>
              </w:rPr>
            </w:pPr>
            <w:r>
              <w:rPr>
                <w:rFonts w:ascii="Times New Roman" w:eastAsia="Times New Roman" w:hAnsi="Times New Roman" w:cs="Times New Roman"/>
                <w:color w:val="000000"/>
                <w:sz w:val="22"/>
                <w:szCs w:val="22"/>
                <w:lang w:eastAsia="en-ZA"/>
              </w:rPr>
              <w:t>490.4 ± 24.32</w:t>
            </w:r>
          </w:p>
        </w:tc>
      </w:tr>
      <w:tr w:rsidR="00EF65F1" w14:paraId="18F0556A" w14:textId="77777777">
        <w:trPr>
          <w:divId w:val="1406338344"/>
          <w:trHeight w:val="80"/>
        </w:trPr>
        <w:tc>
          <w:tcPr>
            <w:tcW w:w="699" w:type="pct"/>
            <w:gridSpan w:val="2"/>
            <w:tcBorders>
              <w:top w:val="nil"/>
              <w:left w:val="nil"/>
              <w:bottom w:val="nil"/>
              <w:right w:val="nil"/>
            </w:tcBorders>
            <w:shd w:val="clear" w:color="auto" w:fill="auto"/>
            <w:noWrap/>
            <w:vAlign w:val="bottom"/>
            <w:hideMark/>
          </w:tcPr>
          <w:p w14:paraId="25DCCDCC"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SEM</w:t>
            </w:r>
          </w:p>
        </w:tc>
        <w:tc>
          <w:tcPr>
            <w:tcW w:w="614" w:type="pct"/>
            <w:tcBorders>
              <w:top w:val="nil"/>
              <w:left w:val="nil"/>
              <w:bottom w:val="nil"/>
              <w:right w:val="nil"/>
            </w:tcBorders>
            <w:shd w:val="clear" w:color="auto" w:fill="auto"/>
            <w:noWrap/>
            <w:vAlign w:val="bottom"/>
            <w:hideMark/>
          </w:tcPr>
          <w:p w14:paraId="22CFD73D"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7.110</w:t>
            </w:r>
          </w:p>
        </w:tc>
        <w:tc>
          <w:tcPr>
            <w:tcW w:w="615" w:type="pct"/>
            <w:tcBorders>
              <w:top w:val="nil"/>
              <w:left w:val="nil"/>
              <w:bottom w:val="nil"/>
              <w:right w:val="nil"/>
            </w:tcBorders>
            <w:shd w:val="clear" w:color="auto" w:fill="auto"/>
            <w:noWrap/>
            <w:vAlign w:val="bottom"/>
            <w:hideMark/>
          </w:tcPr>
          <w:p w14:paraId="1A81079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6.36</w:t>
            </w:r>
          </w:p>
        </w:tc>
        <w:tc>
          <w:tcPr>
            <w:tcW w:w="615" w:type="pct"/>
            <w:gridSpan w:val="2"/>
            <w:tcBorders>
              <w:top w:val="nil"/>
              <w:left w:val="nil"/>
              <w:bottom w:val="nil"/>
              <w:right w:val="nil"/>
            </w:tcBorders>
            <w:shd w:val="clear" w:color="auto" w:fill="auto"/>
            <w:noWrap/>
            <w:vAlign w:val="bottom"/>
            <w:hideMark/>
          </w:tcPr>
          <w:p w14:paraId="630E04AC"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5.53</w:t>
            </w:r>
          </w:p>
        </w:tc>
        <w:tc>
          <w:tcPr>
            <w:tcW w:w="615" w:type="pct"/>
            <w:gridSpan w:val="2"/>
            <w:tcBorders>
              <w:top w:val="nil"/>
              <w:left w:val="nil"/>
              <w:bottom w:val="nil"/>
              <w:right w:val="nil"/>
            </w:tcBorders>
            <w:shd w:val="clear" w:color="auto" w:fill="auto"/>
            <w:noWrap/>
            <w:vAlign w:val="bottom"/>
            <w:hideMark/>
          </w:tcPr>
          <w:p w14:paraId="2BD6373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11.41</w:t>
            </w:r>
          </w:p>
        </w:tc>
        <w:tc>
          <w:tcPr>
            <w:tcW w:w="615" w:type="pct"/>
            <w:gridSpan w:val="2"/>
            <w:tcBorders>
              <w:top w:val="nil"/>
              <w:left w:val="nil"/>
              <w:bottom w:val="nil"/>
              <w:right w:val="nil"/>
            </w:tcBorders>
            <w:shd w:val="clear" w:color="auto" w:fill="auto"/>
            <w:noWrap/>
            <w:vAlign w:val="bottom"/>
            <w:hideMark/>
          </w:tcPr>
          <w:p w14:paraId="5412098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10.78</w:t>
            </w:r>
          </w:p>
        </w:tc>
        <w:tc>
          <w:tcPr>
            <w:tcW w:w="615" w:type="pct"/>
            <w:gridSpan w:val="2"/>
            <w:tcBorders>
              <w:top w:val="nil"/>
              <w:left w:val="nil"/>
              <w:bottom w:val="nil"/>
              <w:right w:val="nil"/>
            </w:tcBorders>
            <w:shd w:val="clear" w:color="auto" w:fill="auto"/>
            <w:noWrap/>
            <w:vAlign w:val="bottom"/>
            <w:hideMark/>
          </w:tcPr>
          <w:p w14:paraId="53058A1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6.5</w:t>
            </w:r>
          </w:p>
        </w:tc>
        <w:tc>
          <w:tcPr>
            <w:tcW w:w="615" w:type="pct"/>
            <w:gridSpan w:val="2"/>
            <w:tcBorders>
              <w:top w:val="nil"/>
              <w:left w:val="nil"/>
              <w:bottom w:val="nil"/>
              <w:right w:val="nil"/>
            </w:tcBorders>
            <w:shd w:val="clear" w:color="auto" w:fill="auto"/>
            <w:noWrap/>
            <w:vAlign w:val="bottom"/>
            <w:hideMark/>
          </w:tcPr>
          <w:p w14:paraId="168F77B7"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6.6</w:t>
            </w:r>
          </w:p>
        </w:tc>
      </w:tr>
      <w:tr w:rsidR="00EF65F1" w14:paraId="613A1B1F" w14:textId="77777777">
        <w:trPr>
          <w:divId w:val="1406338344"/>
          <w:trHeight w:val="259"/>
        </w:trPr>
        <w:tc>
          <w:tcPr>
            <w:tcW w:w="699" w:type="pct"/>
            <w:gridSpan w:val="2"/>
            <w:tcBorders>
              <w:top w:val="nil"/>
              <w:left w:val="nil"/>
              <w:bottom w:val="single" w:sz="4" w:space="0" w:color="auto"/>
              <w:right w:val="nil"/>
            </w:tcBorders>
            <w:shd w:val="clear" w:color="auto" w:fill="auto"/>
            <w:noWrap/>
            <w:vAlign w:val="bottom"/>
            <w:hideMark/>
          </w:tcPr>
          <w:p w14:paraId="5709843F"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P-value</w:t>
            </w:r>
          </w:p>
        </w:tc>
        <w:tc>
          <w:tcPr>
            <w:tcW w:w="614" w:type="pct"/>
            <w:tcBorders>
              <w:top w:val="nil"/>
              <w:left w:val="nil"/>
              <w:bottom w:val="single" w:sz="4" w:space="0" w:color="auto"/>
              <w:right w:val="nil"/>
            </w:tcBorders>
            <w:shd w:val="clear" w:color="auto" w:fill="auto"/>
            <w:noWrap/>
            <w:vAlign w:val="bottom"/>
            <w:hideMark/>
          </w:tcPr>
          <w:p w14:paraId="23233C55" w14:textId="77777777" w:rsidR="00EF65F1" w:rsidRDefault="00484A18">
            <w:pPr>
              <w:spacing w:after="0" w:line="240" w:lineRule="auto"/>
              <w:contextualSpacing/>
              <w:jc w:val="both"/>
              <w:rPr>
                <w:rFonts w:ascii="Times New Roman" w:eastAsia="Times New Roman" w:hAnsi="Times New Roman" w:cs="Times New Roman"/>
                <w:bCs/>
                <w:sz w:val="22"/>
                <w:szCs w:val="22"/>
                <w:lang w:eastAsia="en-ZA"/>
              </w:rPr>
            </w:pPr>
            <w:r>
              <w:rPr>
                <w:rFonts w:ascii="Times New Roman" w:eastAsia="Times New Roman" w:hAnsi="Times New Roman" w:cs="Times New Roman"/>
                <w:bCs/>
                <w:sz w:val="22"/>
                <w:szCs w:val="22"/>
                <w:lang w:eastAsia="en-ZA"/>
              </w:rPr>
              <w:t>0.240</w:t>
            </w:r>
          </w:p>
        </w:tc>
        <w:tc>
          <w:tcPr>
            <w:tcW w:w="615" w:type="pct"/>
            <w:tcBorders>
              <w:top w:val="nil"/>
              <w:left w:val="nil"/>
              <w:bottom w:val="single" w:sz="4" w:space="0" w:color="auto"/>
              <w:right w:val="nil"/>
            </w:tcBorders>
            <w:shd w:val="clear" w:color="auto" w:fill="auto"/>
            <w:noWrap/>
            <w:vAlign w:val="bottom"/>
            <w:hideMark/>
          </w:tcPr>
          <w:p w14:paraId="19CE3B6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0.95</w:t>
            </w:r>
          </w:p>
        </w:tc>
        <w:tc>
          <w:tcPr>
            <w:tcW w:w="615" w:type="pct"/>
            <w:gridSpan w:val="2"/>
            <w:tcBorders>
              <w:top w:val="nil"/>
              <w:left w:val="nil"/>
              <w:bottom w:val="single" w:sz="4" w:space="0" w:color="auto"/>
              <w:right w:val="nil"/>
            </w:tcBorders>
            <w:shd w:val="clear" w:color="auto" w:fill="auto"/>
            <w:noWrap/>
            <w:vAlign w:val="bottom"/>
            <w:hideMark/>
          </w:tcPr>
          <w:p w14:paraId="17C8E26A"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0.85</w:t>
            </w:r>
          </w:p>
        </w:tc>
        <w:tc>
          <w:tcPr>
            <w:tcW w:w="615" w:type="pct"/>
            <w:gridSpan w:val="2"/>
            <w:tcBorders>
              <w:top w:val="nil"/>
              <w:left w:val="nil"/>
              <w:bottom w:val="single" w:sz="4" w:space="0" w:color="auto"/>
              <w:right w:val="nil"/>
            </w:tcBorders>
            <w:shd w:val="clear" w:color="auto" w:fill="auto"/>
            <w:noWrap/>
            <w:vAlign w:val="bottom"/>
            <w:hideMark/>
          </w:tcPr>
          <w:p w14:paraId="10A2BEBF"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0.37</w:t>
            </w:r>
          </w:p>
        </w:tc>
        <w:tc>
          <w:tcPr>
            <w:tcW w:w="615" w:type="pct"/>
            <w:gridSpan w:val="2"/>
            <w:tcBorders>
              <w:top w:val="nil"/>
              <w:left w:val="nil"/>
              <w:bottom w:val="single" w:sz="4" w:space="0" w:color="auto"/>
              <w:right w:val="nil"/>
            </w:tcBorders>
            <w:shd w:val="clear" w:color="auto" w:fill="auto"/>
            <w:noWrap/>
            <w:vAlign w:val="bottom"/>
            <w:hideMark/>
          </w:tcPr>
          <w:p w14:paraId="4E7C6EBE"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0.52</w:t>
            </w:r>
          </w:p>
        </w:tc>
        <w:tc>
          <w:tcPr>
            <w:tcW w:w="615" w:type="pct"/>
            <w:gridSpan w:val="2"/>
            <w:tcBorders>
              <w:top w:val="nil"/>
              <w:left w:val="nil"/>
              <w:bottom w:val="single" w:sz="4" w:space="0" w:color="auto"/>
              <w:right w:val="nil"/>
            </w:tcBorders>
            <w:shd w:val="clear" w:color="auto" w:fill="auto"/>
            <w:noWrap/>
            <w:vAlign w:val="bottom"/>
            <w:hideMark/>
          </w:tcPr>
          <w:p w14:paraId="16B14232"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0.79</w:t>
            </w:r>
          </w:p>
        </w:tc>
        <w:tc>
          <w:tcPr>
            <w:tcW w:w="615" w:type="pct"/>
            <w:gridSpan w:val="2"/>
            <w:tcBorders>
              <w:top w:val="nil"/>
              <w:left w:val="nil"/>
              <w:bottom w:val="single" w:sz="4" w:space="0" w:color="auto"/>
              <w:right w:val="nil"/>
            </w:tcBorders>
            <w:shd w:val="clear" w:color="auto" w:fill="auto"/>
            <w:noWrap/>
            <w:vAlign w:val="bottom"/>
            <w:hideMark/>
          </w:tcPr>
          <w:p w14:paraId="29454378" w14:textId="77777777" w:rsidR="00EF65F1" w:rsidRDefault="00484A18">
            <w:pPr>
              <w:spacing w:after="0" w:line="240" w:lineRule="auto"/>
              <w:contextualSpacing/>
              <w:jc w:val="both"/>
              <w:rPr>
                <w:rFonts w:ascii="Times New Roman" w:eastAsia="Times New Roman" w:hAnsi="Times New Roman" w:cs="Times New Roman"/>
                <w:bCs/>
                <w:color w:val="000000"/>
                <w:sz w:val="22"/>
                <w:szCs w:val="22"/>
                <w:lang w:eastAsia="en-ZA"/>
              </w:rPr>
            </w:pPr>
            <w:r>
              <w:rPr>
                <w:rFonts w:ascii="Times New Roman" w:eastAsia="Times New Roman" w:hAnsi="Times New Roman" w:cs="Times New Roman"/>
                <w:bCs/>
                <w:color w:val="000000"/>
                <w:sz w:val="22"/>
                <w:szCs w:val="22"/>
                <w:lang w:eastAsia="en-ZA"/>
              </w:rPr>
              <w:t>0.95</w:t>
            </w:r>
          </w:p>
        </w:tc>
      </w:tr>
      <w:tr w:rsidR="00EF65F1" w14:paraId="56D3954C" w14:textId="77777777">
        <w:trPr>
          <w:gridAfter w:val="1"/>
          <w:divId w:val="1406338344"/>
          <w:wAfter w:w="85" w:type="pct"/>
          <w:trHeight w:val="259"/>
        </w:trPr>
        <w:tc>
          <w:tcPr>
            <w:tcW w:w="2457" w:type="pct"/>
            <w:gridSpan w:val="5"/>
            <w:tcBorders>
              <w:top w:val="nil"/>
              <w:left w:val="nil"/>
              <w:bottom w:val="nil"/>
              <w:right w:val="nil"/>
            </w:tcBorders>
            <w:shd w:val="clear" w:color="auto" w:fill="auto"/>
            <w:noWrap/>
            <w:vAlign w:val="bottom"/>
            <w:hideMark/>
          </w:tcPr>
          <w:p w14:paraId="0D2F6DE0" w14:textId="77777777" w:rsidR="00EF65F1" w:rsidRDefault="00EF65F1">
            <w:pPr>
              <w:spacing w:after="0" w:line="360" w:lineRule="auto"/>
              <w:contextualSpacing/>
              <w:jc w:val="both"/>
              <w:rPr>
                <w:rFonts w:ascii="Times New Roman" w:eastAsia="Times New Roman" w:hAnsi="Times New Roman" w:cs="Times New Roman"/>
                <w:szCs w:val="20"/>
                <w:lang w:eastAsia="en-ZA"/>
              </w:rPr>
            </w:pPr>
          </w:p>
        </w:tc>
        <w:tc>
          <w:tcPr>
            <w:tcW w:w="615" w:type="pct"/>
            <w:gridSpan w:val="2"/>
            <w:tcBorders>
              <w:top w:val="nil"/>
              <w:left w:val="nil"/>
              <w:bottom w:val="nil"/>
              <w:right w:val="nil"/>
            </w:tcBorders>
            <w:shd w:val="clear" w:color="auto" w:fill="auto"/>
            <w:noWrap/>
            <w:vAlign w:val="bottom"/>
            <w:hideMark/>
          </w:tcPr>
          <w:p w14:paraId="6F96D648" w14:textId="77777777" w:rsidR="00EF65F1" w:rsidRDefault="00EF65F1">
            <w:pPr>
              <w:spacing w:after="0" w:line="360" w:lineRule="auto"/>
              <w:contextualSpacing/>
              <w:jc w:val="both"/>
              <w:rPr>
                <w:rFonts w:ascii="Times New Roman" w:eastAsia="Times New Roman" w:hAnsi="Times New Roman" w:cs="Times New Roman"/>
                <w:sz w:val="22"/>
                <w:szCs w:val="22"/>
                <w:lang w:eastAsia="en-ZA"/>
              </w:rPr>
            </w:pPr>
          </w:p>
        </w:tc>
        <w:tc>
          <w:tcPr>
            <w:tcW w:w="615" w:type="pct"/>
            <w:gridSpan w:val="2"/>
            <w:tcBorders>
              <w:top w:val="nil"/>
              <w:left w:val="nil"/>
              <w:bottom w:val="nil"/>
              <w:right w:val="nil"/>
            </w:tcBorders>
            <w:shd w:val="clear" w:color="auto" w:fill="auto"/>
            <w:noWrap/>
            <w:vAlign w:val="bottom"/>
            <w:hideMark/>
          </w:tcPr>
          <w:p w14:paraId="08A772EF" w14:textId="77777777" w:rsidR="00EF65F1" w:rsidRDefault="00EF65F1">
            <w:pPr>
              <w:spacing w:after="0" w:line="360" w:lineRule="auto"/>
              <w:contextualSpacing/>
              <w:jc w:val="both"/>
              <w:rPr>
                <w:rFonts w:ascii="Times New Roman" w:eastAsia="Times New Roman" w:hAnsi="Times New Roman" w:cs="Times New Roman"/>
                <w:sz w:val="22"/>
                <w:szCs w:val="22"/>
                <w:lang w:eastAsia="en-ZA"/>
              </w:rPr>
            </w:pPr>
          </w:p>
        </w:tc>
        <w:tc>
          <w:tcPr>
            <w:tcW w:w="615" w:type="pct"/>
            <w:gridSpan w:val="2"/>
            <w:tcBorders>
              <w:top w:val="nil"/>
              <w:left w:val="nil"/>
              <w:bottom w:val="nil"/>
              <w:right w:val="nil"/>
            </w:tcBorders>
            <w:shd w:val="clear" w:color="auto" w:fill="auto"/>
            <w:noWrap/>
            <w:vAlign w:val="bottom"/>
            <w:hideMark/>
          </w:tcPr>
          <w:p w14:paraId="1AF0E829" w14:textId="77777777" w:rsidR="00EF65F1" w:rsidRDefault="00EF65F1">
            <w:pPr>
              <w:spacing w:after="0" w:line="360" w:lineRule="auto"/>
              <w:contextualSpacing/>
              <w:jc w:val="both"/>
              <w:rPr>
                <w:rFonts w:ascii="Times New Roman" w:eastAsia="Times New Roman" w:hAnsi="Times New Roman" w:cs="Times New Roman"/>
                <w:sz w:val="22"/>
                <w:szCs w:val="22"/>
                <w:lang w:eastAsia="en-ZA"/>
              </w:rPr>
            </w:pPr>
          </w:p>
        </w:tc>
        <w:tc>
          <w:tcPr>
            <w:tcW w:w="615" w:type="pct"/>
            <w:gridSpan w:val="2"/>
            <w:tcBorders>
              <w:top w:val="nil"/>
              <w:left w:val="nil"/>
              <w:bottom w:val="nil"/>
              <w:right w:val="nil"/>
            </w:tcBorders>
            <w:shd w:val="clear" w:color="auto" w:fill="auto"/>
            <w:noWrap/>
            <w:vAlign w:val="bottom"/>
            <w:hideMark/>
          </w:tcPr>
          <w:p w14:paraId="27071C40" w14:textId="77777777" w:rsidR="00EF65F1" w:rsidRDefault="00EF65F1">
            <w:pPr>
              <w:spacing w:after="0" w:line="360" w:lineRule="auto"/>
              <w:contextualSpacing/>
              <w:jc w:val="both"/>
              <w:rPr>
                <w:rFonts w:ascii="Times New Roman" w:eastAsia="Times New Roman" w:hAnsi="Times New Roman" w:cs="Times New Roman"/>
                <w:sz w:val="22"/>
                <w:szCs w:val="22"/>
                <w:lang w:eastAsia="en-ZA"/>
              </w:rPr>
            </w:pPr>
          </w:p>
        </w:tc>
      </w:tr>
    </w:tbl>
    <w:p w14:paraId="0E135A7B" w14:textId="77777777" w:rsidR="00EF65F1" w:rsidRDefault="00484A18">
      <w:pPr>
        <w:spacing w:after="0" w:line="360" w:lineRule="auto"/>
        <w:contextualSpacing/>
        <w:jc w:val="both"/>
        <w:rPr>
          <w:rFonts w:ascii="Times New Roman" w:hAnsi="Times New Roman" w:cs="Times New Roman"/>
          <w:sz w:val="22"/>
          <w:szCs w:val="22"/>
        </w:rPr>
      </w:pPr>
      <w:r>
        <w:rPr>
          <w:rFonts w:ascii="Times New Roman" w:hAnsi="Times New Roman" w:cs="Times New Roman"/>
          <w:sz w:val="22"/>
          <w:szCs w:val="22"/>
        </w:rPr>
        <w:fldChar w:fldCharType="end"/>
      </w:r>
    </w:p>
    <w:p w14:paraId="1782DA4E" w14:textId="77777777" w:rsidR="00EF65F1" w:rsidRDefault="00EF65F1">
      <w:pPr>
        <w:spacing w:after="0" w:line="360" w:lineRule="auto"/>
        <w:ind w:firstLine="567"/>
        <w:contextualSpacing/>
        <w:jc w:val="both"/>
        <w:rPr>
          <w:rFonts w:ascii="Times New Roman" w:hAnsi="Times New Roman" w:cs="Times New Roman"/>
          <w:sz w:val="22"/>
          <w:szCs w:val="22"/>
        </w:rPr>
        <w:sectPr w:rsidR="00EF65F1">
          <w:pgSz w:w="16838" w:h="11906" w:orient="landscape"/>
          <w:pgMar w:top="1440" w:right="1440" w:bottom="1440" w:left="1440" w:header="709" w:footer="709" w:gutter="0"/>
          <w:cols w:space="708"/>
          <w:vAlign w:val="center"/>
          <w:docGrid w:linePitch="360"/>
        </w:sectPr>
      </w:pPr>
    </w:p>
    <w:p w14:paraId="11FDAFF7" w14:textId="77777777" w:rsidR="00EF65F1" w:rsidRDefault="00484A18">
      <w:pPr>
        <w:spacing w:line="360" w:lineRule="auto"/>
        <w:ind w:firstLine="567"/>
        <w:jc w:val="both"/>
        <w:rPr>
          <w:rFonts w:ascii="Times New Roman" w:hAnsi="Times New Roman" w:cs="Times New Roman"/>
          <w:sz w:val="22"/>
          <w:szCs w:val="22"/>
        </w:rPr>
      </w:pPr>
      <w:r>
        <w:rPr>
          <w:rFonts w:ascii="Times New Roman" w:hAnsi="Times New Roman" w:cs="Times New Roman"/>
          <w:sz w:val="22"/>
          <w:szCs w:val="22"/>
        </w:rPr>
        <w:lastRenderedPageBreak/>
        <w:t>The IVOMD value determined for the negative control (</w:t>
      </w:r>
      <w:r>
        <w:rPr>
          <w:rFonts w:ascii="Times New Roman" w:hAnsi="Times New Roman" w:cs="Times New Roman"/>
          <w:i/>
          <w:sz w:val="22"/>
          <w:szCs w:val="22"/>
        </w:rPr>
        <w:t>E. curvula</w:t>
      </w:r>
      <w:r>
        <w:rPr>
          <w:rFonts w:ascii="Times New Roman" w:hAnsi="Times New Roman" w:cs="Times New Roman"/>
          <w:sz w:val="22"/>
          <w:szCs w:val="22"/>
        </w:rPr>
        <w:t>) in this study (500.0 g/kg DM) was within range of the IVOMD value reported for this species (557.9 g/kg DM) by Gemeda and Hassen (2014).</w:t>
      </w:r>
    </w:p>
    <w:p w14:paraId="4C545119" w14:textId="77777777" w:rsidR="00EF65F1" w:rsidRDefault="00EF65F1">
      <w:pPr>
        <w:ind w:firstLine="567"/>
        <w:jc w:val="both"/>
      </w:pPr>
    </w:p>
    <w:p w14:paraId="59B81907" w14:textId="77777777" w:rsidR="00EF65F1" w:rsidRDefault="00484A18">
      <w:pPr>
        <w:pStyle w:val="Heading3"/>
        <w:spacing w:line="360" w:lineRule="auto"/>
        <w:ind w:left="284"/>
        <w:jc w:val="both"/>
        <w:rPr>
          <w:rFonts w:ascii="Times New Roman" w:hAnsi="Times New Roman" w:cs="Times New Roman"/>
        </w:rPr>
      </w:pPr>
      <w:bookmarkStart w:id="198" w:name="_Toc2691164"/>
      <w:r>
        <w:rPr>
          <w:rFonts w:ascii="Times New Roman" w:hAnsi="Times New Roman" w:cs="Times New Roman"/>
          <w:color w:val="auto"/>
        </w:rPr>
        <w:t>Relationship between CH</w:t>
      </w:r>
      <w:r>
        <w:rPr>
          <w:rFonts w:ascii="Times New Roman" w:hAnsi="Times New Roman" w:cs="Times New Roman"/>
          <w:color w:val="auto"/>
          <w:vertAlign w:val="subscript"/>
        </w:rPr>
        <w:t>4</w:t>
      </w:r>
      <w:r>
        <w:rPr>
          <w:rFonts w:ascii="Times New Roman" w:hAnsi="Times New Roman" w:cs="Times New Roman"/>
          <w:color w:val="auto"/>
        </w:rPr>
        <w:t xml:space="preserve"> vs. digestibility response</w:t>
      </w:r>
      <w:bookmarkEnd w:id="198"/>
    </w:p>
    <w:p w14:paraId="06A4FF6F" w14:textId="77777777" w:rsidR="00EF65F1" w:rsidRDefault="00EF65F1">
      <w:pPr>
        <w:spacing w:after="0" w:line="360" w:lineRule="auto"/>
        <w:ind w:firstLine="567"/>
        <w:contextualSpacing/>
        <w:jc w:val="both"/>
        <w:rPr>
          <w:rFonts w:ascii="Times New Roman" w:hAnsi="Times New Roman" w:cs="Times New Roman"/>
          <w:sz w:val="22"/>
          <w:szCs w:val="22"/>
        </w:rPr>
      </w:pPr>
    </w:p>
    <w:p w14:paraId="02E7E94B"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The relationship between the 48-hour CH</w:t>
      </w:r>
      <w:r>
        <w:rPr>
          <w:rFonts w:ascii="Times New Roman" w:hAnsi="Times New Roman" w:cs="Times New Roman"/>
          <w:sz w:val="22"/>
          <w:szCs w:val="22"/>
          <w:vertAlign w:val="subscript"/>
        </w:rPr>
        <w:t xml:space="preserve">4 </w:t>
      </w:r>
      <w:r>
        <w:rPr>
          <w:rFonts w:ascii="Times New Roman" w:hAnsi="Times New Roman" w:cs="Times New Roman"/>
          <w:sz w:val="22"/>
          <w:szCs w:val="22"/>
        </w:rPr>
        <w:t>values per plant extract treatment and their corresponding IVOMD values, at both 300 and 600 mg/kg DM is represented in figure 3.4.  No noticeable relationship between the 48-hour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the IVOMD values was noted for the different plant extract treatments.  Plant extracts from </w:t>
      </w:r>
      <w:r>
        <w:rPr>
          <w:rFonts w:ascii="Times New Roman" w:hAnsi="Times New Roman" w:cs="Times New Roman"/>
          <w:i/>
          <w:sz w:val="22"/>
          <w:szCs w:val="22"/>
        </w:rPr>
        <w:t>Combretum. erythrophyllum</w:t>
      </w:r>
      <w:r>
        <w:rPr>
          <w:rFonts w:ascii="Times New Roman" w:hAnsi="Times New Roman" w:cs="Times New Roman"/>
          <w:sz w:val="22"/>
          <w:szCs w:val="22"/>
        </w:rPr>
        <w:t xml:space="preserve"> at both 300 and 600 mg/kg DM increased (P &gt; 0.05) IVOMD values, however, a corresponding increase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for this species was noted.  This increase in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could possibly limit the potential energy benefits associated with improved digestibility, thus further evaluation of this relationship should be performed through additional studies to determine the potential of </w:t>
      </w:r>
      <w:r>
        <w:rPr>
          <w:rFonts w:ascii="Times New Roman" w:hAnsi="Times New Roman" w:cs="Times New Roman"/>
          <w:i/>
          <w:sz w:val="22"/>
          <w:szCs w:val="22"/>
        </w:rPr>
        <w:t xml:space="preserve">C. erythrophyllum </w:t>
      </w:r>
      <w:r>
        <w:rPr>
          <w:rFonts w:ascii="Times New Roman" w:hAnsi="Times New Roman" w:cs="Times New Roman"/>
          <w:sz w:val="22"/>
          <w:szCs w:val="22"/>
        </w:rPr>
        <w:t>plant extracts to increase IVOMD values of poor-quality roughages.</w:t>
      </w:r>
    </w:p>
    <w:p w14:paraId="15ED9CEB" w14:textId="77777777" w:rsidR="00EF65F1" w:rsidRDefault="00EF65F1">
      <w:pPr>
        <w:spacing w:after="0" w:line="360" w:lineRule="auto"/>
        <w:contextualSpacing/>
        <w:jc w:val="both"/>
        <w:rPr>
          <w:rFonts w:ascii="Times New Roman" w:hAnsi="Times New Roman" w:cs="Times New Roman"/>
          <w:sz w:val="22"/>
          <w:szCs w:val="22"/>
        </w:rPr>
      </w:pPr>
    </w:p>
    <w:p w14:paraId="57A99F77" w14:textId="77777777" w:rsidR="00EF65F1" w:rsidRDefault="00484A18">
      <w:pPr>
        <w:keepNext/>
        <w:spacing w:after="0" w:line="360" w:lineRule="auto"/>
        <w:contextualSpacing/>
        <w:jc w:val="both"/>
        <w:rPr>
          <w:rFonts w:ascii="Times New Roman" w:hAnsi="Times New Roman" w:cs="Times New Roman"/>
          <w:sz w:val="22"/>
          <w:szCs w:val="22"/>
        </w:rPr>
      </w:pPr>
      <w:r>
        <w:rPr>
          <w:rFonts w:ascii="Times New Roman" w:hAnsi="Times New Roman" w:cs="Times New Roman"/>
          <w:noProof/>
          <w:sz w:val="22"/>
          <w:szCs w:val="22"/>
          <w:lang w:eastAsia="en-ZA"/>
        </w:rPr>
        <w:drawing>
          <wp:inline distT="0" distB="0" distL="0" distR="0" wp14:anchorId="5F5A2CD0" wp14:editId="21761BC7">
            <wp:extent cx="6166692" cy="2933700"/>
            <wp:effectExtent l="0" t="0" r="5715" b="0"/>
            <wp:docPr id="13" name="Chart 13">
              <a:extLst xmlns:a="http://schemas.openxmlformats.org/drawingml/2006/main">
                <a:ext uri="{FF2B5EF4-FFF2-40B4-BE49-F238E27FC236}">
                  <a16:creationId xmlns:a16="http://schemas.microsoft.com/office/drawing/2014/main" id="{42851760-CD05-40E5-B62F-7761B32D7C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1577CA3" w14:textId="77777777" w:rsidR="00EF65F1" w:rsidRDefault="00EF65F1">
      <w:pPr>
        <w:pStyle w:val="Caption"/>
        <w:spacing w:after="0" w:line="360" w:lineRule="auto"/>
        <w:contextualSpacing/>
        <w:jc w:val="both"/>
        <w:rPr>
          <w:rFonts w:ascii="Times New Roman" w:hAnsi="Times New Roman" w:cs="Times New Roman"/>
          <w:i w:val="0"/>
          <w:color w:val="auto"/>
          <w:sz w:val="24"/>
          <w:szCs w:val="24"/>
        </w:rPr>
      </w:pPr>
      <w:bookmarkStart w:id="199" w:name="_Toc530512588"/>
      <w:bookmarkStart w:id="200" w:name="_Toc2349048"/>
    </w:p>
    <w:p w14:paraId="34553BFA" w14:textId="06A30E87" w:rsidR="00EF65F1" w:rsidRDefault="00484A18">
      <w:pPr>
        <w:pStyle w:val="Caption"/>
        <w:spacing w:after="0" w:line="360" w:lineRule="auto"/>
        <w:contextualSpacing/>
        <w:jc w:val="both"/>
        <w:rPr>
          <w:rFonts w:ascii="Times New Roman" w:hAnsi="Times New Roman" w:cs="Times New Roman"/>
          <w:i w:val="0"/>
          <w:color w:val="auto"/>
          <w:sz w:val="24"/>
          <w:szCs w:val="24"/>
        </w:rPr>
      </w:pPr>
      <w:r>
        <w:rPr>
          <w:rFonts w:ascii="Times New Roman" w:hAnsi="Times New Roman" w:cs="Times New Roman"/>
          <w:i w:val="0"/>
          <w:color w:val="auto"/>
          <w:sz w:val="24"/>
          <w:szCs w:val="24"/>
        </w:rPr>
        <w:t xml:space="preserve">Figure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STYLEREF 1 \s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3</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 \* ARABIC \s 1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4</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Relationship between CH4 vs. IVOMD for </w:t>
      </w:r>
      <w:r>
        <w:rPr>
          <w:rFonts w:ascii="Times New Roman" w:hAnsi="Times New Roman" w:cs="Times New Roman"/>
          <w:color w:val="auto"/>
          <w:sz w:val="24"/>
          <w:szCs w:val="24"/>
        </w:rPr>
        <w:t xml:space="preserve">Eragrostis curvula </w:t>
      </w:r>
      <w:r>
        <w:rPr>
          <w:rFonts w:ascii="Times New Roman" w:hAnsi="Times New Roman" w:cs="Times New Roman"/>
          <w:i w:val="0"/>
          <w:color w:val="auto"/>
          <w:sz w:val="24"/>
          <w:szCs w:val="24"/>
        </w:rPr>
        <w:t>hay treated with seven plant extracts at 300 and 600 mg/kg DM dose level</w:t>
      </w:r>
      <w:bookmarkEnd w:id="199"/>
      <w:bookmarkEnd w:id="200"/>
    </w:p>
    <w:p w14:paraId="44EAB997" w14:textId="77777777" w:rsidR="00EF65F1" w:rsidRDefault="00484A18">
      <w:pPr>
        <w:spacing w:after="0" w:line="240" w:lineRule="auto"/>
        <w:contextualSpacing/>
        <w:jc w:val="both"/>
        <w:rPr>
          <w:rFonts w:ascii="Times New Roman" w:hAnsi="Times New Roman" w:cs="Times New Roman"/>
          <w:szCs w:val="20"/>
        </w:rPr>
      </w:pPr>
      <w:r>
        <w:rPr>
          <w:rFonts w:ascii="Times New Roman" w:hAnsi="Times New Roman" w:cs="Times New Roman"/>
          <w:szCs w:val="20"/>
        </w:rPr>
        <w:t>EC-</w:t>
      </w:r>
      <w:r>
        <w:rPr>
          <w:rFonts w:ascii="Times New Roman" w:hAnsi="Times New Roman" w:cs="Times New Roman"/>
          <w:i/>
          <w:szCs w:val="20"/>
        </w:rPr>
        <w:t xml:space="preserve">Eragrostis curvula; </w:t>
      </w:r>
      <w:r>
        <w:rPr>
          <w:rFonts w:ascii="Times New Roman" w:hAnsi="Times New Roman" w:cs="Times New Roman"/>
          <w:szCs w:val="20"/>
        </w:rPr>
        <w:t xml:space="preserve">MON-Monensin; MO- </w:t>
      </w:r>
      <w:r>
        <w:rPr>
          <w:rFonts w:ascii="Times New Roman" w:hAnsi="Times New Roman" w:cs="Times New Roman"/>
          <w:i/>
          <w:szCs w:val="20"/>
        </w:rPr>
        <w:t>Moringa oleifera</w:t>
      </w:r>
      <w:r>
        <w:rPr>
          <w:rFonts w:ascii="Times New Roman" w:hAnsi="Times New Roman" w:cs="Times New Roman"/>
          <w:szCs w:val="20"/>
        </w:rPr>
        <w:t xml:space="preserve">; CE- </w:t>
      </w:r>
      <w:r>
        <w:rPr>
          <w:rFonts w:ascii="Times New Roman" w:hAnsi="Times New Roman" w:cs="Times New Roman"/>
          <w:i/>
          <w:szCs w:val="20"/>
        </w:rPr>
        <w:t>Combretum erythrophyllum</w:t>
      </w:r>
      <w:r>
        <w:rPr>
          <w:rFonts w:ascii="Times New Roman" w:hAnsi="Times New Roman" w:cs="Times New Roman"/>
          <w:szCs w:val="20"/>
        </w:rPr>
        <w:t xml:space="preserve">; DV- </w:t>
      </w:r>
      <w:r>
        <w:rPr>
          <w:rFonts w:ascii="Times New Roman" w:hAnsi="Times New Roman" w:cs="Times New Roman"/>
          <w:i/>
          <w:szCs w:val="20"/>
        </w:rPr>
        <w:t>Dodonaea viscosa</w:t>
      </w:r>
      <w:r>
        <w:rPr>
          <w:rFonts w:ascii="Times New Roman" w:hAnsi="Times New Roman" w:cs="Times New Roman"/>
          <w:szCs w:val="20"/>
        </w:rPr>
        <w:t xml:space="preserve">; HN- </w:t>
      </w:r>
      <w:r>
        <w:rPr>
          <w:rFonts w:ascii="Times New Roman" w:hAnsi="Times New Roman" w:cs="Times New Roman"/>
          <w:i/>
          <w:szCs w:val="20"/>
        </w:rPr>
        <w:t>Heteropyxis natalensis</w:t>
      </w:r>
      <w:r>
        <w:rPr>
          <w:rFonts w:ascii="Times New Roman" w:hAnsi="Times New Roman" w:cs="Times New Roman"/>
          <w:szCs w:val="20"/>
        </w:rPr>
        <w:t xml:space="preserve">; SB- </w:t>
      </w:r>
      <w:r>
        <w:rPr>
          <w:rFonts w:ascii="Times New Roman" w:hAnsi="Times New Roman" w:cs="Times New Roman"/>
          <w:i/>
          <w:szCs w:val="20"/>
        </w:rPr>
        <w:t>Sclerocarya birrea</w:t>
      </w:r>
      <w:r>
        <w:rPr>
          <w:rFonts w:ascii="Times New Roman" w:hAnsi="Times New Roman" w:cs="Times New Roman"/>
          <w:szCs w:val="20"/>
        </w:rPr>
        <w:t xml:space="preserve">; EL- </w:t>
      </w:r>
      <w:r>
        <w:rPr>
          <w:rFonts w:ascii="Times New Roman" w:hAnsi="Times New Roman" w:cs="Times New Roman"/>
          <w:i/>
          <w:szCs w:val="20"/>
        </w:rPr>
        <w:t>Erythrina lysistemon</w:t>
      </w:r>
      <w:r>
        <w:rPr>
          <w:rFonts w:ascii="Times New Roman" w:hAnsi="Times New Roman" w:cs="Times New Roman"/>
          <w:szCs w:val="20"/>
        </w:rPr>
        <w:t xml:space="preserve">; SC- </w:t>
      </w:r>
      <w:r>
        <w:rPr>
          <w:rFonts w:ascii="Times New Roman" w:hAnsi="Times New Roman" w:cs="Times New Roman"/>
          <w:i/>
          <w:szCs w:val="20"/>
        </w:rPr>
        <w:t>Searsia chirindensis</w:t>
      </w:r>
      <w:r>
        <w:rPr>
          <w:rFonts w:ascii="Times New Roman" w:hAnsi="Times New Roman" w:cs="Times New Roman"/>
          <w:szCs w:val="20"/>
        </w:rPr>
        <w:t xml:space="preserve">; HL- </w:t>
      </w:r>
      <w:r>
        <w:rPr>
          <w:rFonts w:ascii="Times New Roman" w:hAnsi="Times New Roman" w:cs="Times New Roman"/>
          <w:i/>
          <w:szCs w:val="20"/>
        </w:rPr>
        <w:t xml:space="preserve">Halleria lucida; </w:t>
      </w:r>
      <w:r>
        <w:rPr>
          <w:rFonts w:ascii="Times New Roman" w:hAnsi="Times New Roman" w:cs="Times New Roman"/>
          <w:szCs w:val="20"/>
        </w:rPr>
        <w:t>300:- 300 mg/kg DM, 600:- 600 mg/kg DM</w:t>
      </w:r>
    </w:p>
    <w:p w14:paraId="7BDEB28A" w14:textId="77777777" w:rsidR="00EF65F1" w:rsidRDefault="00EF65F1">
      <w:pPr>
        <w:spacing w:after="0" w:line="360" w:lineRule="auto"/>
        <w:contextualSpacing/>
        <w:jc w:val="both"/>
        <w:rPr>
          <w:rFonts w:ascii="Times New Roman" w:hAnsi="Times New Roman" w:cs="Times New Roman"/>
          <w:sz w:val="22"/>
          <w:szCs w:val="22"/>
        </w:rPr>
      </w:pPr>
    </w:p>
    <w:p w14:paraId="29744C6C" w14:textId="77777777" w:rsidR="00EF65F1" w:rsidRDefault="00EF65F1">
      <w:pPr>
        <w:spacing w:after="0" w:line="360" w:lineRule="auto"/>
        <w:contextualSpacing/>
        <w:jc w:val="both"/>
        <w:rPr>
          <w:rFonts w:ascii="Times New Roman" w:hAnsi="Times New Roman" w:cs="Times New Roman"/>
          <w:sz w:val="22"/>
          <w:szCs w:val="22"/>
        </w:rPr>
      </w:pPr>
    </w:p>
    <w:p w14:paraId="6DA4A179" w14:textId="77777777" w:rsidR="00EF65F1" w:rsidRDefault="00EF65F1">
      <w:pPr>
        <w:spacing w:after="0" w:line="360" w:lineRule="auto"/>
        <w:contextualSpacing/>
        <w:jc w:val="both"/>
        <w:rPr>
          <w:rFonts w:ascii="Times New Roman" w:hAnsi="Times New Roman" w:cs="Times New Roman"/>
          <w:sz w:val="22"/>
          <w:szCs w:val="22"/>
        </w:rPr>
      </w:pPr>
    </w:p>
    <w:p w14:paraId="5FD3A1C8" w14:textId="77777777" w:rsidR="00EF65F1" w:rsidRDefault="00484A18">
      <w:pPr>
        <w:pStyle w:val="Heading2"/>
        <w:spacing w:before="0" w:line="360" w:lineRule="auto"/>
        <w:contextualSpacing/>
        <w:jc w:val="both"/>
        <w:rPr>
          <w:rFonts w:ascii="Times New Roman" w:hAnsi="Times New Roman" w:cs="Times New Roman"/>
          <w:b/>
          <w:color w:val="auto"/>
          <w:sz w:val="24"/>
          <w:szCs w:val="24"/>
        </w:rPr>
      </w:pPr>
      <w:bookmarkStart w:id="201" w:name="_Toc2691165"/>
      <w:r>
        <w:rPr>
          <w:rFonts w:ascii="Times New Roman" w:hAnsi="Times New Roman" w:cs="Times New Roman"/>
          <w:b/>
          <w:color w:val="auto"/>
          <w:sz w:val="24"/>
          <w:szCs w:val="24"/>
        </w:rPr>
        <w:t>Conclusion</w:t>
      </w:r>
      <w:bookmarkEnd w:id="201"/>
    </w:p>
    <w:p w14:paraId="54F25530" w14:textId="77777777" w:rsidR="00EF65F1" w:rsidRDefault="00EF65F1">
      <w:pPr>
        <w:spacing w:after="0" w:line="360" w:lineRule="auto"/>
        <w:ind w:firstLine="567"/>
        <w:contextualSpacing/>
        <w:jc w:val="both"/>
        <w:rPr>
          <w:rFonts w:ascii="Times New Roman" w:hAnsi="Times New Roman" w:cs="Times New Roman"/>
          <w:sz w:val="22"/>
          <w:szCs w:val="22"/>
        </w:rPr>
      </w:pPr>
    </w:p>
    <w:p w14:paraId="6FBB02FA"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When compared to the negative control none of the plant extracts tested in this study at a dose level of 300 or 600 mg/kg DM significantly reduced the volume of gas produced after 48 hours of incubation.  Similarly, the addition of these plant extracts did not significantly alter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and IVOMD values when compared to the negative control.  This suggests that these plant extracts are unlikely to be harmful to the rumen microbes even when used at 300 and 600 mg/kg DM dose levels.  However, some variability among the plant extract treatments were noted in terms of the volume of gas produced when the plant extracts were used at a 300 or 600 mg/kg DM dose level.</w:t>
      </w:r>
    </w:p>
    <w:p w14:paraId="746E2A47" w14:textId="77777777" w:rsidR="00EF65F1" w:rsidRDefault="00EF65F1">
      <w:pPr>
        <w:spacing w:after="0" w:line="360" w:lineRule="auto"/>
        <w:ind w:firstLine="567"/>
        <w:contextualSpacing/>
        <w:jc w:val="both"/>
        <w:rPr>
          <w:rFonts w:ascii="Times New Roman" w:hAnsi="Times New Roman" w:cs="Times New Roman"/>
          <w:sz w:val="22"/>
          <w:szCs w:val="22"/>
        </w:rPr>
      </w:pPr>
    </w:p>
    <w:p w14:paraId="4158D091" w14:textId="77777777" w:rsidR="00EF65F1" w:rsidRDefault="00484A18">
      <w:pPr>
        <w:spacing w:after="0" w:line="360" w:lineRule="auto"/>
        <w:ind w:firstLine="567"/>
        <w:contextualSpacing/>
        <w:jc w:val="both"/>
        <w:rPr>
          <w:rFonts w:ascii="Times New Roman" w:hAnsi="Times New Roman" w:cs="Times New Roman"/>
          <w:sz w:val="22"/>
          <w:szCs w:val="22"/>
        </w:rPr>
      </w:pPr>
      <w:r>
        <w:rPr>
          <w:rFonts w:ascii="Times New Roman" w:hAnsi="Times New Roman" w:cs="Times New Roman"/>
          <w:sz w:val="22"/>
          <w:szCs w:val="22"/>
        </w:rPr>
        <w:t xml:space="preserve">Generally, rumen fermentation characteristics were not improved when plant extracts from </w:t>
      </w:r>
      <w:r>
        <w:rPr>
          <w:rFonts w:ascii="Times New Roman" w:hAnsi="Times New Roman" w:cs="Times New Roman"/>
          <w:i/>
          <w:sz w:val="22"/>
          <w:szCs w:val="22"/>
        </w:rPr>
        <w:t xml:space="preserve">C. erythrophyllum, D. viscosa, H. natalensis, S. birrea, E. lysistemon </w:t>
      </w:r>
      <w:r>
        <w:rPr>
          <w:rFonts w:ascii="Times New Roman" w:hAnsi="Times New Roman" w:cs="Times New Roman"/>
          <w:sz w:val="22"/>
          <w:szCs w:val="22"/>
        </w:rPr>
        <w:t xml:space="preserve">and </w:t>
      </w:r>
      <w:r>
        <w:rPr>
          <w:rFonts w:ascii="Times New Roman" w:hAnsi="Times New Roman" w:cs="Times New Roman"/>
          <w:i/>
          <w:sz w:val="22"/>
          <w:szCs w:val="22"/>
        </w:rPr>
        <w:t xml:space="preserve">H. lucida </w:t>
      </w:r>
      <w:r>
        <w:rPr>
          <w:rFonts w:ascii="Times New Roman" w:hAnsi="Times New Roman" w:cs="Times New Roman"/>
          <w:sz w:val="22"/>
          <w:szCs w:val="22"/>
        </w:rPr>
        <w:t xml:space="preserve">are used at a dose level of 300 or 600 mg/kg DM.  In contrast, the addition of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at a 300 and 600 mg/kg DM dose level showed potential to improve the rate of gas production of poor-quality feeds in the ruminant, with a dose level of 300 mg/kg DM seemingly preferable.  Therefore, further testing of plant extracts from the species </w:t>
      </w:r>
      <w:r>
        <w:rPr>
          <w:rFonts w:ascii="Times New Roman" w:hAnsi="Times New Roman" w:cs="Times New Roman"/>
          <w:i/>
          <w:sz w:val="22"/>
          <w:szCs w:val="22"/>
        </w:rPr>
        <w:t>S. chirindensis</w:t>
      </w:r>
      <w:r>
        <w:rPr>
          <w:rFonts w:ascii="Times New Roman" w:hAnsi="Times New Roman" w:cs="Times New Roman"/>
          <w:sz w:val="22"/>
          <w:szCs w:val="22"/>
        </w:rPr>
        <w:t xml:space="preserve"> is recommended in the range of 300 mg/kg DM to fully confirm their optimal dose level and/or potential as feed additives in ruminants. </w:t>
      </w:r>
    </w:p>
    <w:p w14:paraId="07461E60" w14:textId="77777777" w:rsidR="00EF65F1" w:rsidRDefault="00484A18">
      <w:pPr>
        <w:spacing w:line="360" w:lineRule="auto"/>
        <w:ind w:firstLine="567"/>
        <w:contextualSpacing/>
        <w:jc w:val="both"/>
        <w:rPr>
          <w:szCs w:val="20"/>
        </w:rPr>
        <w:sectPr w:rsidR="00EF65F1">
          <w:pgSz w:w="11906" w:h="16838"/>
          <w:pgMar w:top="1440" w:right="1440" w:bottom="1440" w:left="1440" w:header="709" w:footer="709" w:gutter="0"/>
          <w:cols w:space="708"/>
          <w:docGrid w:linePitch="360"/>
        </w:sectPr>
      </w:pPr>
      <w:r>
        <w:rPr>
          <w:szCs w:val="20"/>
        </w:rPr>
        <w:t xml:space="preserve">  </w:t>
      </w:r>
    </w:p>
    <w:p w14:paraId="2807F83B" w14:textId="77777777" w:rsidR="00EF65F1" w:rsidRDefault="00484A18">
      <w:pPr>
        <w:pStyle w:val="Heading1"/>
        <w:spacing w:line="360" w:lineRule="auto"/>
        <w:ind w:left="142"/>
        <w:jc w:val="center"/>
        <w:rPr>
          <w:rFonts w:ascii="Times New Roman" w:hAnsi="Times New Roman" w:cs="Times New Roman"/>
          <w:b/>
          <w:color w:val="auto"/>
          <w:sz w:val="28"/>
          <w:szCs w:val="28"/>
        </w:rPr>
      </w:pPr>
      <w:bookmarkStart w:id="202" w:name="_Toc2691166"/>
      <w:r>
        <w:rPr>
          <w:rFonts w:ascii="Times New Roman" w:hAnsi="Times New Roman" w:cs="Times New Roman"/>
          <w:b/>
          <w:color w:val="auto"/>
          <w:sz w:val="28"/>
          <w:szCs w:val="28"/>
        </w:rPr>
        <w:lastRenderedPageBreak/>
        <w:t>General conclusion and recommendations</w:t>
      </w:r>
      <w:bookmarkEnd w:id="202"/>
    </w:p>
    <w:p w14:paraId="54CAC17B" w14:textId="77777777" w:rsidR="00EF65F1" w:rsidRDefault="00EF65F1">
      <w:pPr>
        <w:ind w:firstLine="567"/>
        <w:jc w:val="both"/>
        <w:rPr>
          <w:rFonts w:ascii="Times New Roman" w:hAnsi="Times New Roman" w:cs="Times New Roman"/>
          <w:sz w:val="22"/>
          <w:szCs w:val="22"/>
        </w:rPr>
      </w:pPr>
    </w:p>
    <w:p w14:paraId="016D618E" w14:textId="77777777" w:rsidR="00EF65F1" w:rsidRDefault="00484A18">
      <w:pPr>
        <w:spacing w:line="360" w:lineRule="auto"/>
        <w:ind w:firstLine="567"/>
        <w:jc w:val="both"/>
        <w:rPr>
          <w:rFonts w:ascii="Times New Roman" w:hAnsi="Times New Roman" w:cs="Times New Roman"/>
          <w:sz w:val="22"/>
          <w:szCs w:val="22"/>
        </w:rPr>
      </w:pPr>
      <w:r>
        <w:rPr>
          <w:rFonts w:ascii="Times New Roman" w:hAnsi="Times New Roman" w:cs="Times New Roman"/>
          <w:sz w:val="22"/>
          <w:szCs w:val="22"/>
        </w:rPr>
        <w:t>The intent of this study was to evaluate seven plant extracts for their potential to improve ruminal fermentation and/ or decrease the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of poor-quality, roughage-based diets in ruminants.  Therefore, the main criteria for evaluating plant extracts was:</w:t>
      </w:r>
    </w:p>
    <w:p w14:paraId="5C443E34" w14:textId="77777777" w:rsidR="00EF65F1" w:rsidRDefault="00484A18">
      <w:pPr>
        <w:pStyle w:val="ListParagraph"/>
        <w:numPr>
          <w:ilvl w:val="0"/>
          <w:numId w:val="12"/>
        </w:numPr>
        <w:spacing w:line="360" w:lineRule="auto"/>
        <w:jc w:val="both"/>
        <w:rPr>
          <w:rFonts w:ascii="Times New Roman" w:hAnsi="Times New Roman" w:cs="Times New Roman"/>
          <w:sz w:val="22"/>
          <w:szCs w:val="22"/>
        </w:rPr>
      </w:pPr>
      <w:r>
        <w:rPr>
          <w:rFonts w:ascii="Times New Roman" w:hAnsi="Times New Roman" w:cs="Times New Roman"/>
          <w:sz w:val="22"/>
          <w:szCs w:val="22"/>
        </w:rPr>
        <w:t>Potential to increase or no change in total gas production</w:t>
      </w:r>
    </w:p>
    <w:p w14:paraId="411344E2" w14:textId="77777777" w:rsidR="00EF65F1" w:rsidRDefault="00484A18">
      <w:pPr>
        <w:pStyle w:val="ListParagraph"/>
        <w:numPr>
          <w:ilvl w:val="0"/>
          <w:numId w:val="12"/>
        </w:numPr>
        <w:spacing w:line="360" w:lineRule="auto"/>
        <w:jc w:val="both"/>
        <w:rPr>
          <w:rFonts w:ascii="Times New Roman" w:hAnsi="Times New Roman" w:cs="Times New Roman"/>
          <w:sz w:val="22"/>
          <w:szCs w:val="22"/>
        </w:rPr>
      </w:pPr>
      <w:r>
        <w:rPr>
          <w:rFonts w:ascii="Times New Roman" w:hAnsi="Times New Roman" w:cs="Times New Roman"/>
          <w:sz w:val="22"/>
          <w:szCs w:val="22"/>
        </w:rPr>
        <w:t>Changing the rate of gas production</w:t>
      </w:r>
    </w:p>
    <w:p w14:paraId="1B4657F0" w14:textId="77777777" w:rsidR="00EF65F1" w:rsidRDefault="00484A18">
      <w:pPr>
        <w:pStyle w:val="ListParagraph"/>
        <w:numPr>
          <w:ilvl w:val="0"/>
          <w:numId w:val="12"/>
        </w:numPr>
        <w:spacing w:line="360" w:lineRule="auto"/>
        <w:jc w:val="both"/>
        <w:rPr>
          <w:rFonts w:ascii="Times New Roman" w:hAnsi="Times New Roman" w:cs="Times New Roman"/>
          <w:sz w:val="22"/>
          <w:szCs w:val="22"/>
        </w:rPr>
      </w:pPr>
      <w:r>
        <w:rPr>
          <w:rFonts w:ascii="Times New Roman" w:hAnsi="Times New Roman" w:cs="Times New Roman"/>
          <w:sz w:val="22"/>
          <w:szCs w:val="22"/>
        </w:rPr>
        <w:t>Decreasing the net CH</w:t>
      </w:r>
      <w:r>
        <w:rPr>
          <w:rFonts w:ascii="Times New Roman" w:hAnsi="Times New Roman" w:cs="Times New Roman"/>
          <w:sz w:val="22"/>
          <w:szCs w:val="22"/>
          <w:vertAlign w:val="subscript"/>
        </w:rPr>
        <w:t>4</w:t>
      </w:r>
      <w:r>
        <w:rPr>
          <w:rFonts w:ascii="Times New Roman" w:hAnsi="Times New Roman" w:cs="Times New Roman"/>
          <w:sz w:val="22"/>
          <w:szCs w:val="22"/>
        </w:rPr>
        <w:t xml:space="preserve"> production or decreasing the ratio of CH</w:t>
      </w:r>
      <w:r>
        <w:rPr>
          <w:rFonts w:ascii="Times New Roman" w:hAnsi="Times New Roman" w:cs="Times New Roman"/>
          <w:sz w:val="22"/>
          <w:szCs w:val="22"/>
          <w:vertAlign w:val="subscript"/>
        </w:rPr>
        <w:t>4</w:t>
      </w:r>
      <w:r>
        <w:rPr>
          <w:rFonts w:ascii="Times New Roman" w:hAnsi="Times New Roman" w:cs="Times New Roman"/>
          <w:sz w:val="22"/>
          <w:szCs w:val="22"/>
        </w:rPr>
        <w:t>: TGP</w:t>
      </w:r>
    </w:p>
    <w:p w14:paraId="74A850C0" w14:textId="77777777" w:rsidR="00EF65F1" w:rsidRDefault="00484A18">
      <w:pPr>
        <w:pStyle w:val="ListParagraph"/>
        <w:numPr>
          <w:ilvl w:val="0"/>
          <w:numId w:val="12"/>
        </w:numPr>
        <w:spacing w:line="360" w:lineRule="auto"/>
        <w:jc w:val="both"/>
        <w:rPr>
          <w:rFonts w:ascii="Times New Roman" w:hAnsi="Times New Roman" w:cs="Times New Roman"/>
          <w:sz w:val="22"/>
          <w:szCs w:val="22"/>
        </w:rPr>
      </w:pPr>
      <w:r>
        <w:rPr>
          <w:rFonts w:ascii="Times New Roman" w:hAnsi="Times New Roman" w:cs="Times New Roman"/>
          <w:sz w:val="22"/>
          <w:szCs w:val="22"/>
        </w:rPr>
        <w:t>Ability to increase, or no change, in digestibility.</w:t>
      </w:r>
    </w:p>
    <w:p w14:paraId="782EC949" w14:textId="77777777" w:rsidR="00EF65F1" w:rsidRDefault="00EF65F1">
      <w:pPr>
        <w:pStyle w:val="ListParagraph"/>
        <w:spacing w:line="360" w:lineRule="auto"/>
        <w:ind w:left="1287"/>
        <w:jc w:val="both"/>
        <w:rPr>
          <w:rFonts w:ascii="Times New Roman" w:hAnsi="Times New Roman" w:cs="Times New Roman"/>
          <w:sz w:val="22"/>
          <w:szCs w:val="22"/>
        </w:rPr>
      </w:pPr>
    </w:p>
    <w:p w14:paraId="35ECF952" w14:textId="77777777" w:rsidR="00EF65F1" w:rsidRDefault="00484A18">
      <w:pPr>
        <w:spacing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All plant extracts tested in these two studies did not significantly decrease (P &gt; 0.05) the total volume of gas produced after 48 hours of </w:t>
      </w:r>
      <w:r>
        <w:rPr>
          <w:rFonts w:ascii="Times New Roman" w:hAnsi="Times New Roman" w:cs="Times New Roman"/>
          <w:i/>
          <w:sz w:val="22"/>
          <w:szCs w:val="22"/>
        </w:rPr>
        <w:t xml:space="preserve">in vitro </w:t>
      </w:r>
      <w:r>
        <w:rPr>
          <w:rFonts w:ascii="Times New Roman" w:hAnsi="Times New Roman" w:cs="Times New Roman"/>
          <w:sz w:val="22"/>
          <w:szCs w:val="22"/>
        </w:rPr>
        <w:t xml:space="preserve">incubation or decrease the digestibility values when compared to the negative control.  This suggests that plant extracts tested in these studies were not harmful to ruminal microbes at a 50, 300 or 600 mg/kg DM dose level.  Therefore, plant extracts are likely to be safe for ruminant consumption, however, a full toxicity analysis of the plant extracts in ruminants should be performed using </w:t>
      </w:r>
      <w:r>
        <w:rPr>
          <w:rFonts w:ascii="Times New Roman" w:hAnsi="Times New Roman" w:cs="Times New Roman"/>
          <w:i/>
          <w:sz w:val="22"/>
          <w:szCs w:val="22"/>
        </w:rPr>
        <w:t xml:space="preserve">in vivo </w:t>
      </w:r>
      <w:r>
        <w:rPr>
          <w:rFonts w:ascii="Times New Roman" w:hAnsi="Times New Roman" w:cs="Times New Roman"/>
          <w:sz w:val="22"/>
          <w:szCs w:val="22"/>
        </w:rPr>
        <w:t xml:space="preserve">studies before supplementation to the animal (Mendel </w:t>
      </w:r>
      <w:r>
        <w:rPr>
          <w:rFonts w:ascii="Times New Roman" w:hAnsi="Times New Roman" w:cs="Times New Roman"/>
          <w:i/>
          <w:sz w:val="22"/>
          <w:szCs w:val="22"/>
        </w:rPr>
        <w:t>et al.</w:t>
      </w:r>
      <w:r>
        <w:rPr>
          <w:rFonts w:ascii="Times New Roman" w:hAnsi="Times New Roman" w:cs="Times New Roman"/>
          <w:sz w:val="22"/>
          <w:szCs w:val="22"/>
        </w:rPr>
        <w:t xml:space="preserve">, 2017), as dose level may influence potential toxicity (Rochfort </w:t>
      </w:r>
      <w:r>
        <w:rPr>
          <w:rFonts w:ascii="Times New Roman" w:hAnsi="Times New Roman" w:cs="Times New Roman"/>
          <w:i/>
          <w:sz w:val="22"/>
          <w:szCs w:val="22"/>
        </w:rPr>
        <w:t>et al.</w:t>
      </w:r>
      <w:r>
        <w:rPr>
          <w:rFonts w:ascii="Times New Roman" w:hAnsi="Times New Roman" w:cs="Times New Roman"/>
          <w:sz w:val="22"/>
          <w:szCs w:val="22"/>
        </w:rPr>
        <w:t>, 2008).</w:t>
      </w:r>
    </w:p>
    <w:p w14:paraId="5F2585BF" w14:textId="77777777" w:rsidR="00EF65F1" w:rsidRDefault="00EF65F1">
      <w:pPr>
        <w:spacing w:line="360" w:lineRule="auto"/>
        <w:ind w:firstLine="567"/>
        <w:jc w:val="both"/>
        <w:rPr>
          <w:rFonts w:ascii="Times New Roman" w:hAnsi="Times New Roman" w:cs="Times New Roman"/>
          <w:sz w:val="22"/>
          <w:szCs w:val="22"/>
        </w:rPr>
      </w:pPr>
    </w:p>
    <w:p w14:paraId="3D88CAC0"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To date no known studies have been conducted to evaluate the effects of plants extracts from </w:t>
      </w:r>
      <w:r>
        <w:rPr>
          <w:rFonts w:ascii="Times New Roman" w:hAnsi="Times New Roman" w:cs="Times New Roman"/>
          <w:i/>
          <w:sz w:val="22"/>
          <w:szCs w:val="22"/>
        </w:rPr>
        <w:t xml:space="preserve">Combretum erythrophyllum, Dodonaea viscosa, Heteropyxis natalensis, Sclerocarya birrea, Erythrina lysistemon, Searsia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Halleria lucida </w:t>
      </w:r>
      <w:r>
        <w:rPr>
          <w:rFonts w:ascii="Times New Roman" w:hAnsi="Times New Roman" w:cs="Times New Roman"/>
          <w:sz w:val="22"/>
          <w:szCs w:val="22"/>
        </w:rPr>
        <w:t>on rumen fermentation parameters, therefore no direct comparisons on ruminal effect can be made except comparing against the negative and positive controls.</w:t>
      </w:r>
    </w:p>
    <w:p w14:paraId="43D703D6" w14:textId="77777777" w:rsidR="00EF65F1" w:rsidRDefault="00EF65F1">
      <w:pPr>
        <w:spacing w:line="360" w:lineRule="auto"/>
        <w:ind w:firstLine="567"/>
        <w:jc w:val="both"/>
        <w:rPr>
          <w:rFonts w:ascii="Times New Roman" w:hAnsi="Times New Roman" w:cs="Times New Roman"/>
          <w:sz w:val="22"/>
          <w:szCs w:val="22"/>
        </w:rPr>
      </w:pPr>
    </w:p>
    <w:p w14:paraId="2ABB0BA6" w14:textId="77777777" w:rsidR="00EF65F1" w:rsidRDefault="00484A18">
      <w:pPr>
        <w:spacing w:line="360" w:lineRule="auto"/>
        <w:ind w:firstLine="567"/>
        <w:jc w:val="both"/>
        <w:rPr>
          <w:rFonts w:ascii="Times New Roman" w:hAnsi="Times New Roman" w:cs="Times New Roman"/>
          <w:i/>
          <w:sz w:val="22"/>
          <w:szCs w:val="22"/>
        </w:rPr>
      </w:pPr>
      <w:r>
        <w:rPr>
          <w:rFonts w:ascii="Times New Roman" w:hAnsi="Times New Roman" w:cs="Times New Roman"/>
          <w:sz w:val="22"/>
          <w:szCs w:val="22"/>
        </w:rPr>
        <w:t xml:space="preserve">The dose level of plant extract supplementation was found to be a significant factor in terms of the plant extract’s effects on rumen parameters in this study.  This is consistent with findings from Cattani </w:t>
      </w:r>
      <w:r>
        <w:rPr>
          <w:rFonts w:ascii="Times New Roman" w:hAnsi="Times New Roman" w:cs="Times New Roman"/>
          <w:i/>
          <w:sz w:val="22"/>
          <w:szCs w:val="22"/>
        </w:rPr>
        <w:t>et al</w:t>
      </w:r>
      <w:r>
        <w:rPr>
          <w:rFonts w:ascii="Times New Roman" w:hAnsi="Times New Roman" w:cs="Times New Roman"/>
          <w:sz w:val="22"/>
          <w:szCs w:val="22"/>
        </w:rPr>
        <w:t xml:space="preserve"> (2016) who reported that type and magnitude of effect of extracts on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rumen fermentation has been shown to be strongly correlated to the dose tested.  This dose-dependent nature of plant extracts effect on rumen fermentation is important to establish as it will influence the delivery method to the animal (Rochfort </w:t>
      </w:r>
      <w:r>
        <w:rPr>
          <w:rFonts w:ascii="Times New Roman" w:hAnsi="Times New Roman" w:cs="Times New Roman"/>
          <w:i/>
          <w:sz w:val="22"/>
          <w:szCs w:val="22"/>
        </w:rPr>
        <w:t>et al.</w:t>
      </w:r>
      <w:r>
        <w:rPr>
          <w:rFonts w:ascii="Times New Roman" w:hAnsi="Times New Roman" w:cs="Times New Roman"/>
          <w:sz w:val="22"/>
          <w:szCs w:val="22"/>
        </w:rPr>
        <w:t xml:space="preserve">, 2008).  Generally, the previously recommended dose level of plant extract supplementation of 50 mg/kg DM for other species (Akanmu &amp; Hassen, 2018) was found to have a significant influence on the rate of gas produced, while the higher dose levels of 300 and 600 mg/kg DM did not induce these changes to the same extent.  However, when plant extracts from the species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were dosed at a 300 mg/kg DM level they increased the rate of gas production </w:t>
      </w:r>
      <w:r>
        <w:rPr>
          <w:rFonts w:ascii="Times New Roman" w:hAnsi="Times New Roman" w:cs="Times New Roman"/>
          <w:sz w:val="22"/>
          <w:szCs w:val="22"/>
        </w:rPr>
        <w:lastRenderedPageBreak/>
        <w:t xml:space="preserve">at earlier incubation periods as opposed to the 50 and 600 mg/kg DM dose level.  This observation indicates that the plant species may be a factor to consider when determining the optimum dose level to apply. </w:t>
      </w:r>
      <w:r>
        <w:rPr>
          <w:rFonts w:ascii="Times New Roman" w:hAnsi="Times New Roman" w:cs="Times New Roman"/>
          <w:i/>
          <w:sz w:val="22"/>
          <w:szCs w:val="22"/>
        </w:rPr>
        <w:t xml:space="preserve"> </w:t>
      </w:r>
      <w:r>
        <w:rPr>
          <w:rFonts w:ascii="Times New Roman" w:hAnsi="Times New Roman" w:cs="Times New Roman"/>
          <w:sz w:val="22"/>
          <w:szCs w:val="22"/>
        </w:rPr>
        <w:t xml:space="preserve">Further testing is recommended to determine the optimum dose level for each plant extract evaluated in this study.  Generally, the recommended dose level in the range of 50 mg/kg DM seems preferable in terms of the plant extract’s ability to mitigate rumen fermentation parameters in a desirable manner.  Therefore, a further </w:t>
      </w:r>
      <w:r>
        <w:rPr>
          <w:rFonts w:ascii="Times New Roman" w:hAnsi="Times New Roman" w:cs="Times New Roman"/>
          <w:i/>
          <w:sz w:val="22"/>
          <w:szCs w:val="22"/>
        </w:rPr>
        <w:t xml:space="preserve">in vitro </w:t>
      </w:r>
      <w:r>
        <w:rPr>
          <w:rFonts w:ascii="Times New Roman" w:hAnsi="Times New Roman" w:cs="Times New Roman"/>
          <w:sz w:val="22"/>
          <w:szCs w:val="22"/>
        </w:rPr>
        <w:t xml:space="preserve">dose level study in the range of 50 mg/kg DM up to 300 mg/kg DM is recommended for plant extracts from: </w:t>
      </w:r>
      <w:r>
        <w:rPr>
          <w:rFonts w:ascii="Times New Roman" w:hAnsi="Times New Roman" w:cs="Times New Roman"/>
          <w:i/>
          <w:sz w:val="22"/>
          <w:szCs w:val="22"/>
        </w:rPr>
        <w:t xml:space="preserve">H. lucida, S. chirindensis </w:t>
      </w:r>
      <w:r>
        <w:rPr>
          <w:rFonts w:ascii="Times New Roman" w:hAnsi="Times New Roman" w:cs="Times New Roman"/>
          <w:sz w:val="22"/>
          <w:szCs w:val="22"/>
        </w:rPr>
        <w:t xml:space="preserve">and </w:t>
      </w:r>
      <w:r>
        <w:rPr>
          <w:rFonts w:ascii="Times New Roman" w:hAnsi="Times New Roman" w:cs="Times New Roman"/>
          <w:i/>
          <w:sz w:val="22"/>
          <w:szCs w:val="22"/>
        </w:rPr>
        <w:t xml:space="preserve">C. erythrophyllum </w:t>
      </w:r>
    </w:p>
    <w:p w14:paraId="64BAB027" w14:textId="77777777" w:rsidR="00EF65F1" w:rsidRDefault="00EF65F1">
      <w:pPr>
        <w:spacing w:line="360" w:lineRule="auto"/>
        <w:ind w:firstLine="567"/>
        <w:jc w:val="both"/>
        <w:rPr>
          <w:rFonts w:ascii="Times New Roman" w:hAnsi="Times New Roman" w:cs="Times New Roman"/>
          <w:sz w:val="22"/>
          <w:szCs w:val="22"/>
        </w:rPr>
      </w:pPr>
    </w:p>
    <w:p w14:paraId="6904A1A1"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In conclusion, results from this study indicate that extracts from the plant species </w:t>
      </w:r>
      <w:r>
        <w:rPr>
          <w:rFonts w:ascii="Times New Roman" w:hAnsi="Times New Roman" w:cs="Times New Roman"/>
          <w:i/>
          <w:sz w:val="22"/>
          <w:szCs w:val="22"/>
        </w:rPr>
        <w:t>Combretum erythrophyllum</w:t>
      </w:r>
      <w:r>
        <w:rPr>
          <w:rFonts w:ascii="Times New Roman" w:hAnsi="Times New Roman" w:cs="Times New Roman"/>
          <w:sz w:val="22"/>
          <w:szCs w:val="22"/>
        </w:rPr>
        <w:t xml:space="preserve"> and </w:t>
      </w:r>
      <w:r>
        <w:rPr>
          <w:rFonts w:ascii="Times New Roman" w:hAnsi="Times New Roman" w:cs="Times New Roman"/>
          <w:i/>
          <w:sz w:val="22"/>
          <w:szCs w:val="22"/>
        </w:rPr>
        <w:t xml:space="preserve">Halleria lucida </w:t>
      </w:r>
      <w:r>
        <w:rPr>
          <w:rFonts w:ascii="Times New Roman" w:hAnsi="Times New Roman" w:cs="Times New Roman"/>
          <w:sz w:val="22"/>
          <w:szCs w:val="22"/>
        </w:rPr>
        <w:t xml:space="preserve">had a significant effect on rumen fermentation characteristics at a dose level of ±50 mg/kg DM and plant extracts from </w:t>
      </w:r>
      <w:r>
        <w:rPr>
          <w:rFonts w:ascii="Times New Roman" w:hAnsi="Times New Roman" w:cs="Times New Roman"/>
          <w:i/>
          <w:sz w:val="22"/>
          <w:szCs w:val="22"/>
        </w:rPr>
        <w:t xml:space="preserve">Searsia chirindensis </w:t>
      </w:r>
      <w:r>
        <w:rPr>
          <w:rFonts w:ascii="Times New Roman" w:hAnsi="Times New Roman" w:cs="Times New Roman"/>
          <w:sz w:val="22"/>
          <w:szCs w:val="22"/>
        </w:rPr>
        <w:t xml:space="preserve">at a dose level of ±300 mg/kg DM.  However, further research is recommended to evaluate the optimal dose level of these extracts using </w:t>
      </w:r>
      <w:r>
        <w:rPr>
          <w:rFonts w:ascii="Times New Roman" w:hAnsi="Times New Roman" w:cs="Times New Roman"/>
          <w:i/>
          <w:sz w:val="22"/>
          <w:szCs w:val="22"/>
        </w:rPr>
        <w:t xml:space="preserve">in vitro </w:t>
      </w:r>
      <w:r>
        <w:rPr>
          <w:rFonts w:ascii="Times New Roman" w:hAnsi="Times New Roman" w:cs="Times New Roman"/>
          <w:sz w:val="22"/>
          <w:szCs w:val="22"/>
        </w:rPr>
        <w:t xml:space="preserve">ruminal fermentation as well as </w:t>
      </w:r>
      <w:r>
        <w:rPr>
          <w:rFonts w:ascii="Times New Roman" w:hAnsi="Times New Roman" w:cs="Times New Roman"/>
          <w:i/>
          <w:sz w:val="22"/>
          <w:szCs w:val="22"/>
        </w:rPr>
        <w:t xml:space="preserve">in vivo </w:t>
      </w:r>
      <w:r>
        <w:rPr>
          <w:rFonts w:ascii="Times New Roman" w:hAnsi="Times New Roman" w:cs="Times New Roman"/>
          <w:sz w:val="22"/>
          <w:szCs w:val="22"/>
        </w:rPr>
        <w:t>animal evaluation studies.</w:t>
      </w:r>
    </w:p>
    <w:p w14:paraId="71B9990B" w14:textId="77777777" w:rsidR="00EF65F1" w:rsidRDefault="00EF65F1">
      <w:pPr>
        <w:jc w:val="both"/>
      </w:pPr>
    </w:p>
    <w:p w14:paraId="783128FD" w14:textId="77777777" w:rsidR="00EF65F1" w:rsidRDefault="00EF65F1">
      <w:pPr>
        <w:jc w:val="both"/>
      </w:pPr>
    </w:p>
    <w:p w14:paraId="10FE64A1" w14:textId="77777777" w:rsidR="00EF65F1" w:rsidRDefault="00EF65F1">
      <w:pPr>
        <w:jc w:val="both"/>
        <w:sectPr w:rsidR="00EF65F1">
          <w:pgSz w:w="11906" w:h="16838"/>
          <w:pgMar w:top="1440" w:right="1440" w:bottom="1440" w:left="1440" w:header="709" w:footer="709" w:gutter="0"/>
          <w:cols w:space="708"/>
          <w:docGrid w:linePitch="360"/>
        </w:sectPr>
      </w:pPr>
    </w:p>
    <w:p w14:paraId="0A672B90" w14:textId="77777777" w:rsidR="00EF65F1" w:rsidRDefault="00484A18">
      <w:pPr>
        <w:pStyle w:val="Heading1"/>
        <w:spacing w:before="0" w:line="360" w:lineRule="auto"/>
        <w:ind w:left="142" w:firstLine="567"/>
        <w:jc w:val="center"/>
        <w:rPr>
          <w:rFonts w:ascii="Times New Roman" w:hAnsi="Times New Roman" w:cs="Times New Roman"/>
          <w:b/>
          <w:color w:val="auto"/>
          <w:sz w:val="28"/>
          <w:szCs w:val="28"/>
        </w:rPr>
      </w:pPr>
      <w:bookmarkStart w:id="203" w:name="_Toc2691167"/>
      <w:r>
        <w:rPr>
          <w:rFonts w:ascii="Times New Roman" w:hAnsi="Times New Roman" w:cs="Times New Roman"/>
          <w:b/>
          <w:color w:val="auto"/>
          <w:sz w:val="28"/>
          <w:szCs w:val="28"/>
        </w:rPr>
        <w:lastRenderedPageBreak/>
        <w:t>Critical evaluation</w:t>
      </w:r>
      <w:bookmarkEnd w:id="203"/>
    </w:p>
    <w:p w14:paraId="32FEFA32" w14:textId="77777777" w:rsidR="00EF65F1" w:rsidRDefault="00EF65F1">
      <w:pPr>
        <w:spacing w:after="0" w:line="360" w:lineRule="auto"/>
        <w:ind w:firstLine="567"/>
        <w:jc w:val="both"/>
        <w:rPr>
          <w:rFonts w:ascii="Times New Roman" w:hAnsi="Times New Roman" w:cs="Times New Roman"/>
          <w:sz w:val="22"/>
          <w:szCs w:val="22"/>
        </w:rPr>
      </w:pPr>
    </w:p>
    <w:p w14:paraId="7AD1238E" w14:textId="77777777" w:rsidR="00EF65F1" w:rsidRDefault="00484A18">
      <w:pPr>
        <w:spacing w:after="0" w:line="360" w:lineRule="auto"/>
        <w:jc w:val="both"/>
        <w:rPr>
          <w:rFonts w:ascii="Times New Roman" w:hAnsi="Times New Roman" w:cs="Times New Roman"/>
          <w:b/>
          <w:sz w:val="24"/>
          <w:szCs w:val="24"/>
        </w:rPr>
      </w:pPr>
      <w:r>
        <w:rPr>
          <w:rFonts w:ascii="Times New Roman" w:hAnsi="Times New Roman" w:cs="Times New Roman"/>
          <w:b/>
          <w:i/>
          <w:sz w:val="24"/>
          <w:szCs w:val="24"/>
        </w:rPr>
        <w:t xml:space="preserve">In vitro </w:t>
      </w:r>
      <w:r>
        <w:rPr>
          <w:rFonts w:ascii="Times New Roman" w:hAnsi="Times New Roman" w:cs="Times New Roman"/>
          <w:b/>
          <w:sz w:val="24"/>
          <w:szCs w:val="24"/>
        </w:rPr>
        <w:t>methodology</w:t>
      </w:r>
    </w:p>
    <w:p w14:paraId="444E0528" w14:textId="77777777" w:rsidR="00EF65F1" w:rsidRDefault="00EF65F1">
      <w:pPr>
        <w:spacing w:after="0" w:line="360" w:lineRule="auto"/>
        <w:ind w:firstLine="567"/>
        <w:jc w:val="both"/>
        <w:rPr>
          <w:rFonts w:ascii="Times New Roman" w:hAnsi="Times New Roman" w:cs="Times New Roman"/>
          <w:b/>
          <w:sz w:val="22"/>
          <w:szCs w:val="22"/>
        </w:rPr>
      </w:pPr>
    </w:p>
    <w:p w14:paraId="0028B211"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A preliminary study using cannulated sheep was conducted in order to optimise the </w:t>
      </w:r>
      <w:r>
        <w:rPr>
          <w:rFonts w:ascii="Times New Roman" w:hAnsi="Times New Roman" w:cs="Times New Roman"/>
          <w:i/>
          <w:sz w:val="22"/>
          <w:szCs w:val="22"/>
        </w:rPr>
        <w:t xml:space="preserve">in vitro </w:t>
      </w:r>
      <w:r>
        <w:rPr>
          <w:rFonts w:ascii="Times New Roman" w:hAnsi="Times New Roman" w:cs="Times New Roman"/>
          <w:sz w:val="22"/>
          <w:szCs w:val="22"/>
        </w:rPr>
        <w:t xml:space="preserve">procedure.  High variation between replicates and low gas volumes were recorded and was likely attributed to poor quality rumen fluid.  This was deduced by analysis of the blank bottles incubated, whereby blank bottles produced substantial quantities of gas from 0 to 4 hours of incubation, likely due to undigested feed particles.  A reduced microbial load in the rumen fluid collected may have been responsible for the undigested feed residues and the low volume of gas production during the incubation period.  When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tests were performed with rumen fluid from steers these problems did not occur, indicating that the quality of rumen fluid is an important component in the production of gas </w:t>
      </w:r>
      <w:r>
        <w:rPr>
          <w:rFonts w:ascii="Times New Roman" w:hAnsi="Times New Roman" w:cs="Times New Roman"/>
          <w:i/>
          <w:sz w:val="22"/>
          <w:szCs w:val="22"/>
        </w:rPr>
        <w:t>in vitro</w:t>
      </w:r>
      <w:r>
        <w:rPr>
          <w:rFonts w:ascii="Times New Roman" w:hAnsi="Times New Roman" w:cs="Times New Roman"/>
          <w:sz w:val="22"/>
          <w:szCs w:val="22"/>
        </w:rPr>
        <w:t xml:space="preserve">. </w:t>
      </w:r>
    </w:p>
    <w:p w14:paraId="3443E42F" w14:textId="77777777" w:rsidR="00EF65F1" w:rsidRDefault="00EF65F1">
      <w:pPr>
        <w:spacing w:after="0" w:line="360" w:lineRule="auto"/>
        <w:jc w:val="both"/>
        <w:rPr>
          <w:rFonts w:ascii="Times New Roman" w:hAnsi="Times New Roman" w:cs="Times New Roman"/>
          <w:sz w:val="22"/>
          <w:szCs w:val="22"/>
        </w:rPr>
      </w:pPr>
    </w:p>
    <w:p w14:paraId="2B95A6C9"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Higher variation within treatments for gas and CH</w:t>
      </w:r>
      <w:r>
        <w:rPr>
          <w:rFonts w:ascii="Times New Roman" w:hAnsi="Times New Roman" w:cs="Times New Roman"/>
          <w:sz w:val="22"/>
          <w:szCs w:val="22"/>
          <w:vertAlign w:val="subscript"/>
        </w:rPr>
        <w:t>4</w:t>
      </w:r>
      <w:r>
        <w:rPr>
          <w:rFonts w:ascii="Times New Roman" w:hAnsi="Times New Roman" w:cs="Times New Roman"/>
          <w:sz w:val="22"/>
          <w:szCs w:val="22"/>
        </w:rPr>
        <w:t xml:space="preserve"> measurements occurred at two-hour readings.  This may be associated with the time to incubate all bottles whereby some substrate is degraded to different extents prior to the first venting thereby altering the first pressure reading.  This variation can be reduced by modifications to the incubation procedure, such as dosing pumps which would speed up the incubation of bottles with rumen fluid and/or increasing the time before the first pressure reading to reduce experimental error.</w:t>
      </w:r>
    </w:p>
    <w:p w14:paraId="272C285D" w14:textId="77777777" w:rsidR="00EF65F1" w:rsidRDefault="00EF65F1">
      <w:pPr>
        <w:spacing w:after="0" w:line="360" w:lineRule="auto"/>
        <w:ind w:firstLine="567"/>
        <w:jc w:val="both"/>
        <w:rPr>
          <w:rFonts w:ascii="Times New Roman" w:hAnsi="Times New Roman" w:cs="Times New Roman"/>
          <w:sz w:val="22"/>
          <w:szCs w:val="22"/>
        </w:rPr>
      </w:pPr>
    </w:p>
    <w:p w14:paraId="64154C3A"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In the second study, compared to the negative control, significant differences (P &lt; 0.05) were observed for plant extracts from </w:t>
      </w:r>
      <w:r>
        <w:rPr>
          <w:rFonts w:ascii="Times New Roman" w:hAnsi="Times New Roman" w:cs="Times New Roman"/>
          <w:i/>
          <w:sz w:val="22"/>
          <w:szCs w:val="22"/>
        </w:rPr>
        <w:t xml:space="preserve">S. chirindensis </w:t>
      </w:r>
      <w:r>
        <w:rPr>
          <w:rFonts w:ascii="Times New Roman" w:hAnsi="Times New Roman" w:cs="Times New Roman"/>
          <w:sz w:val="22"/>
          <w:szCs w:val="22"/>
        </w:rPr>
        <w:t xml:space="preserve">in terms of gas production when extracts were analysed independently from the other plant extract treatments, however, these differences (P &lt; 0.05) were not observed when the plant extract treatments were tested among each other.  This could be a result of higher variation associated between the increased number of treatments.  </w:t>
      </w:r>
    </w:p>
    <w:p w14:paraId="201A421C" w14:textId="77777777" w:rsidR="00EF65F1" w:rsidRDefault="00EF65F1">
      <w:pPr>
        <w:spacing w:after="0" w:line="360" w:lineRule="auto"/>
        <w:ind w:firstLine="567"/>
        <w:jc w:val="both"/>
        <w:rPr>
          <w:rFonts w:ascii="Times New Roman" w:hAnsi="Times New Roman" w:cs="Times New Roman"/>
          <w:sz w:val="22"/>
          <w:szCs w:val="22"/>
        </w:rPr>
      </w:pPr>
    </w:p>
    <w:p w14:paraId="2A66FB5F" w14:textId="77777777" w:rsidR="00EF65F1" w:rsidRDefault="00484A1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Plant extracts</w:t>
      </w:r>
    </w:p>
    <w:p w14:paraId="4BC64520" w14:textId="77777777" w:rsidR="00EF65F1" w:rsidRDefault="00EF65F1">
      <w:pPr>
        <w:spacing w:after="0" w:line="360" w:lineRule="auto"/>
        <w:ind w:firstLine="567"/>
        <w:jc w:val="both"/>
        <w:rPr>
          <w:rFonts w:ascii="Times New Roman" w:hAnsi="Times New Roman" w:cs="Times New Roman"/>
          <w:b/>
          <w:sz w:val="22"/>
          <w:szCs w:val="22"/>
        </w:rPr>
      </w:pPr>
    </w:p>
    <w:p w14:paraId="1056BFC2"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Seasonal and locality influences of plant composition were not accounted for in this study.  Concentration and composition of secondary compounds may be influenced by these factors.  Common secondary compounds should be present in all plants of the same type, so broad effects analysed in this study shouldn’t be greatly be impacted by these factors.  However, extracts should be analysed for secondary compounds to determine concentration and type of secondary compounds present in order to determine which compounds were likely to be responsible for the mitigating effect on rumen fermentation.</w:t>
      </w:r>
    </w:p>
    <w:p w14:paraId="6B0734DD" w14:textId="77777777" w:rsidR="00EF65F1" w:rsidRDefault="00EF65F1">
      <w:pPr>
        <w:spacing w:after="0" w:line="360" w:lineRule="auto"/>
        <w:ind w:firstLine="567"/>
        <w:jc w:val="both"/>
        <w:rPr>
          <w:rFonts w:ascii="Times New Roman" w:hAnsi="Times New Roman" w:cs="Times New Roman"/>
          <w:b/>
          <w:sz w:val="24"/>
          <w:szCs w:val="24"/>
        </w:rPr>
      </w:pPr>
    </w:p>
    <w:p w14:paraId="0E83F5C1" w14:textId="77777777" w:rsidR="00EF65F1" w:rsidRDefault="00484A1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Future Research </w:t>
      </w:r>
    </w:p>
    <w:p w14:paraId="77779D24" w14:textId="77777777" w:rsidR="00EF65F1" w:rsidRDefault="00EF65F1">
      <w:pPr>
        <w:spacing w:after="0" w:line="360" w:lineRule="auto"/>
        <w:ind w:firstLine="567"/>
        <w:jc w:val="both"/>
        <w:rPr>
          <w:rFonts w:ascii="Times New Roman" w:hAnsi="Times New Roman" w:cs="Times New Roman"/>
          <w:b/>
          <w:sz w:val="22"/>
          <w:szCs w:val="22"/>
        </w:rPr>
      </w:pPr>
    </w:p>
    <w:p w14:paraId="42D4587A" w14:textId="77777777" w:rsidR="00EF65F1" w:rsidRDefault="00484A18">
      <w:pPr>
        <w:spacing w:after="0" w:line="360" w:lineRule="auto"/>
        <w:ind w:firstLine="567"/>
        <w:jc w:val="both"/>
        <w:rPr>
          <w:rFonts w:ascii="Times New Roman" w:hAnsi="Times New Roman" w:cs="Times New Roman"/>
          <w:sz w:val="22"/>
          <w:szCs w:val="22"/>
        </w:rPr>
      </w:pPr>
      <w:r>
        <w:rPr>
          <w:rFonts w:ascii="Times New Roman" w:hAnsi="Times New Roman" w:cs="Times New Roman"/>
          <w:sz w:val="22"/>
          <w:szCs w:val="22"/>
        </w:rPr>
        <w:t xml:space="preserve">Plant extracts from this study that have shown potential to mitigate rumen fermentation should undergo further </w:t>
      </w:r>
      <w:r>
        <w:rPr>
          <w:rFonts w:ascii="Times New Roman" w:hAnsi="Times New Roman" w:cs="Times New Roman"/>
          <w:i/>
          <w:sz w:val="22"/>
          <w:szCs w:val="22"/>
        </w:rPr>
        <w:t xml:space="preserve">in vitro </w:t>
      </w:r>
      <w:r>
        <w:rPr>
          <w:rFonts w:ascii="Times New Roman" w:hAnsi="Times New Roman" w:cs="Times New Roman"/>
          <w:sz w:val="22"/>
          <w:szCs w:val="22"/>
        </w:rPr>
        <w:t xml:space="preserve">analysis to determine the optimum dose level for mitigation of rumen fermentation and an analysis of the VFA profile of the gas should be performed.  Following this an </w:t>
      </w:r>
      <w:r>
        <w:rPr>
          <w:rFonts w:ascii="Times New Roman" w:hAnsi="Times New Roman" w:cs="Times New Roman"/>
          <w:i/>
          <w:sz w:val="22"/>
          <w:szCs w:val="22"/>
        </w:rPr>
        <w:t xml:space="preserve">in vivo </w:t>
      </w:r>
      <w:r>
        <w:rPr>
          <w:rFonts w:ascii="Times New Roman" w:hAnsi="Times New Roman" w:cs="Times New Roman"/>
          <w:sz w:val="22"/>
          <w:szCs w:val="22"/>
        </w:rPr>
        <w:t>study should be performed in order to determine whether these beneficial effects on rumen fermentation occurs when fed directly to the animal.</w:t>
      </w:r>
    </w:p>
    <w:p w14:paraId="67531776" w14:textId="77777777" w:rsidR="00EF65F1" w:rsidRDefault="00EF65F1">
      <w:pPr>
        <w:pStyle w:val="Heading1"/>
        <w:numPr>
          <w:ilvl w:val="0"/>
          <w:numId w:val="0"/>
        </w:numPr>
        <w:spacing w:line="360" w:lineRule="auto"/>
        <w:ind w:firstLine="567"/>
        <w:jc w:val="center"/>
        <w:rPr>
          <w:rFonts w:ascii="Arial" w:hAnsi="Arial" w:cs="Arial"/>
          <w:color w:val="auto"/>
          <w:sz w:val="24"/>
          <w:szCs w:val="24"/>
        </w:rPr>
        <w:sectPr w:rsidR="00EF65F1">
          <w:pgSz w:w="11906" w:h="16838"/>
          <w:pgMar w:top="1440" w:right="1440" w:bottom="1440" w:left="1440" w:header="709" w:footer="709" w:gutter="0"/>
          <w:cols w:space="708"/>
          <w:docGrid w:linePitch="360"/>
        </w:sectPr>
      </w:pPr>
    </w:p>
    <w:p w14:paraId="79B7ED38" w14:textId="77777777" w:rsidR="00EF65F1" w:rsidRDefault="00484A18">
      <w:pPr>
        <w:pStyle w:val="Heading1"/>
        <w:numPr>
          <w:ilvl w:val="0"/>
          <w:numId w:val="0"/>
        </w:numPr>
        <w:spacing w:line="360" w:lineRule="auto"/>
        <w:ind w:hanging="567"/>
        <w:jc w:val="center"/>
        <w:rPr>
          <w:rFonts w:ascii="Times New Roman" w:hAnsi="Times New Roman" w:cs="Times New Roman"/>
          <w:b/>
          <w:color w:val="auto"/>
          <w:sz w:val="28"/>
          <w:szCs w:val="28"/>
        </w:rPr>
      </w:pPr>
      <w:bookmarkStart w:id="204" w:name="_Toc2691168"/>
      <w:r>
        <w:rPr>
          <w:rFonts w:ascii="Times New Roman" w:hAnsi="Times New Roman" w:cs="Times New Roman"/>
          <w:b/>
          <w:color w:val="auto"/>
          <w:sz w:val="28"/>
          <w:szCs w:val="28"/>
        </w:rPr>
        <w:lastRenderedPageBreak/>
        <w:t>References</w:t>
      </w:r>
      <w:bookmarkEnd w:id="204"/>
    </w:p>
    <w:p w14:paraId="20147801" w14:textId="77777777" w:rsidR="00EF65F1" w:rsidRDefault="00EF65F1">
      <w:pPr>
        <w:ind w:hanging="567"/>
        <w:rPr>
          <w:rFonts w:ascii="Times New Roman" w:hAnsi="Times New Roman" w:cs="Times New Roman"/>
          <w:sz w:val="22"/>
          <w:szCs w:val="22"/>
        </w:rPr>
      </w:pPr>
    </w:p>
    <w:p w14:paraId="4C4C7F2D" w14:textId="77777777" w:rsidR="00EF65F1" w:rsidRDefault="00484A18">
      <w:pPr>
        <w:spacing w:after="0" w:line="240" w:lineRule="auto"/>
        <w:ind w:left="567" w:hanging="567"/>
        <w:rPr>
          <w:rFonts w:ascii="Times New Roman" w:hAnsi="Times New Roman" w:cs="Times New Roman"/>
          <w:sz w:val="22"/>
          <w:szCs w:val="22"/>
        </w:rPr>
      </w:pPr>
      <w:bookmarkStart w:id="205" w:name="_Hlk2677453"/>
      <w:r>
        <w:rPr>
          <w:rFonts w:ascii="Times New Roman" w:hAnsi="Times New Roman" w:cs="Times New Roman"/>
          <w:sz w:val="22"/>
          <w:szCs w:val="22"/>
        </w:rPr>
        <w:t>Adedapo, A.A., Jimoh, F.O., Koduru, S., Masika, P.J. &amp; Afolayan, A.J., 2008. Evaluation of the medicinal potentials of the methanol extracts of the leaves and stems of Halleria lucida. Bioresource technol. 99, 4158-4163</w:t>
      </w:r>
    </w:p>
    <w:p w14:paraId="2DB7BFC2" w14:textId="77777777" w:rsidR="00EF65F1" w:rsidRDefault="00EF65F1">
      <w:pPr>
        <w:spacing w:after="0" w:line="240" w:lineRule="auto"/>
        <w:ind w:left="567" w:hanging="567"/>
        <w:rPr>
          <w:rFonts w:ascii="Times New Roman" w:hAnsi="Times New Roman" w:cs="Times New Roman"/>
          <w:sz w:val="22"/>
          <w:szCs w:val="22"/>
        </w:rPr>
      </w:pPr>
    </w:p>
    <w:p w14:paraId="7D444A3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Adejoro, F.A. &amp; Hassen, A., 2018. </w:t>
      </w:r>
      <w:r>
        <w:rPr>
          <w:rFonts w:ascii="Times New Roman" w:hAnsi="Times New Roman" w:cs="Times New Roman"/>
          <w:i/>
          <w:sz w:val="22"/>
          <w:szCs w:val="22"/>
        </w:rPr>
        <w:t xml:space="preserve">In vitro </w:t>
      </w:r>
      <w:r>
        <w:rPr>
          <w:rFonts w:ascii="Times New Roman" w:hAnsi="Times New Roman" w:cs="Times New Roman"/>
          <w:sz w:val="22"/>
          <w:szCs w:val="22"/>
        </w:rPr>
        <w:t>methane production of eragrostis hay treated with graded levels of urea or nitrate. J. Anim. Plant. Sci. 28(3), 679-685</w:t>
      </w:r>
    </w:p>
    <w:p w14:paraId="3FE030E4" w14:textId="77777777" w:rsidR="00EF65F1" w:rsidRDefault="00EF65F1">
      <w:pPr>
        <w:spacing w:after="0" w:line="240" w:lineRule="auto"/>
        <w:ind w:left="567" w:hanging="567"/>
        <w:rPr>
          <w:rFonts w:ascii="Times New Roman" w:hAnsi="Times New Roman" w:cs="Times New Roman"/>
          <w:sz w:val="22"/>
          <w:szCs w:val="22"/>
        </w:rPr>
      </w:pPr>
    </w:p>
    <w:p w14:paraId="16C0800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Akanmu, A.M. &amp; Hassen, A., 2018. The use of certain medicinal plant extracts reduced </w:t>
      </w:r>
      <w:r>
        <w:rPr>
          <w:rFonts w:ascii="Times New Roman" w:hAnsi="Times New Roman" w:cs="Times New Roman"/>
          <w:i/>
          <w:sz w:val="22"/>
          <w:szCs w:val="22"/>
        </w:rPr>
        <w:t>in vitro</w:t>
      </w:r>
      <w:r>
        <w:rPr>
          <w:rFonts w:ascii="Times New Roman" w:hAnsi="Times New Roman" w:cs="Times New Roman"/>
          <w:sz w:val="22"/>
          <w:szCs w:val="22"/>
        </w:rPr>
        <w:t xml:space="preserve"> methane gas production while improving </w:t>
      </w:r>
      <w:r>
        <w:rPr>
          <w:rFonts w:ascii="Times New Roman" w:hAnsi="Times New Roman" w:cs="Times New Roman"/>
          <w:i/>
          <w:sz w:val="22"/>
          <w:szCs w:val="22"/>
        </w:rPr>
        <w:t>in vitro</w:t>
      </w:r>
      <w:r>
        <w:rPr>
          <w:rFonts w:ascii="Times New Roman" w:hAnsi="Times New Roman" w:cs="Times New Roman"/>
          <w:sz w:val="22"/>
          <w:szCs w:val="22"/>
        </w:rPr>
        <w:t xml:space="preserve"> organic matter digestibility. Anim. Prod. Sci. 57</w:t>
      </w:r>
    </w:p>
    <w:p w14:paraId="71FD8222" w14:textId="77777777" w:rsidR="00EF65F1" w:rsidRDefault="00EF65F1">
      <w:pPr>
        <w:spacing w:after="0" w:line="240" w:lineRule="auto"/>
        <w:ind w:left="567" w:hanging="567"/>
        <w:rPr>
          <w:rFonts w:ascii="Times New Roman" w:hAnsi="Times New Roman" w:cs="Times New Roman"/>
          <w:sz w:val="22"/>
          <w:szCs w:val="22"/>
        </w:rPr>
      </w:pPr>
    </w:p>
    <w:p w14:paraId="2576458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Alexander, G., Singh, B., Sahoo, A. &amp; Bhat. T.K., 2008. </w:t>
      </w:r>
      <w:r>
        <w:rPr>
          <w:rFonts w:ascii="Times New Roman" w:hAnsi="Times New Roman" w:cs="Times New Roman"/>
          <w:i/>
          <w:sz w:val="22"/>
          <w:szCs w:val="22"/>
        </w:rPr>
        <w:t xml:space="preserve">In vitro </w:t>
      </w:r>
      <w:r>
        <w:rPr>
          <w:rFonts w:ascii="Times New Roman" w:hAnsi="Times New Roman" w:cs="Times New Roman"/>
          <w:sz w:val="22"/>
          <w:szCs w:val="22"/>
        </w:rPr>
        <w:t>screening of plant extracts to enhance the efficiency of utilisation of energy and nitrogen in ruminant diets. Anim. Feed. Sci. Tech. 145, 229-244</w:t>
      </w:r>
    </w:p>
    <w:p w14:paraId="4555B9D6" w14:textId="77777777" w:rsidR="00EF65F1" w:rsidRDefault="00EF65F1">
      <w:pPr>
        <w:spacing w:after="0" w:line="240" w:lineRule="auto"/>
        <w:ind w:left="567" w:hanging="567"/>
        <w:rPr>
          <w:rFonts w:ascii="Times New Roman" w:hAnsi="Times New Roman" w:cs="Times New Roman"/>
          <w:sz w:val="22"/>
          <w:szCs w:val="22"/>
        </w:rPr>
      </w:pPr>
    </w:p>
    <w:p w14:paraId="04C71B44"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ANKOM, 2014. Pressure to gas production conversion. Service procedure 005. Ankom Technology, Macedon, New York, USA</w:t>
      </w:r>
    </w:p>
    <w:p w14:paraId="656DAEFB" w14:textId="77777777" w:rsidR="00EF65F1" w:rsidRDefault="00EF65F1">
      <w:pPr>
        <w:spacing w:after="0" w:line="240" w:lineRule="auto"/>
        <w:ind w:left="567" w:hanging="567"/>
        <w:rPr>
          <w:rFonts w:ascii="Times New Roman" w:hAnsi="Times New Roman" w:cs="Times New Roman"/>
          <w:sz w:val="22"/>
          <w:szCs w:val="22"/>
        </w:rPr>
      </w:pPr>
    </w:p>
    <w:p w14:paraId="3BDEC4A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ANKOM, 2017a. Acid detergent fiber in feeds- Filter bag technique (for A200 and A200I). Method 5. ANKOM Technology, Macedon, New York, USA.</w:t>
      </w:r>
    </w:p>
    <w:p w14:paraId="6C2A081D" w14:textId="77777777" w:rsidR="00EF65F1" w:rsidRDefault="00EF65F1">
      <w:pPr>
        <w:spacing w:after="0" w:line="240" w:lineRule="auto"/>
        <w:ind w:left="567" w:hanging="567"/>
        <w:rPr>
          <w:rFonts w:ascii="Times New Roman" w:hAnsi="Times New Roman" w:cs="Times New Roman"/>
          <w:sz w:val="22"/>
          <w:szCs w:val="22"/>
        </w:rPr>
      </w:pPr>
    </w:p>
    <w:p w14:paraId="2386202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ANKOM, 2017b. Neutral detergent fiber in feeds- Filter bag technique (for A200 and A200I). Method 6. ANKOM Technology, Macedon, New York, USA.</w:t>
      </w:r>
    </w:p>
    <w:p w14:paraId="6B8BFC96" w14:textId="77777777" w:rsidR="00EF65F1" w:rsidRDefault="00EF65F1">
      <w:pPr>
        <w:spacing w:after="0" w:line="240" w:lineRule="auto"/>
        <w:ind w:left="567" w:hanging="567"/>
        <w:rPr>
          <w:rFonts w:ascii="Times New Roman" w:hAnsi="Times New Roman" w:cs="Times New Roman"/>
          <w:sz w:val="22"/>
          <w:szCs w:val="22"/>
        </w:rPr>
      </w:pPr>
    </w:p>
    <w:p w14:paraId="7465FBD4"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ANKOM, 2017c. Determining acid detergent lignin in Daisy incubator. Method 9. ANKOM Technology, Macedon, New York, USA.</w:t>
      </w:r>
    </w:p>
    <w:p w14:paraId="077ADF3E" w14:textId="77777777" w:rsidR="00EF65F1" w:rsidRDefault="00EF65F1">
      <w:pPr>
        <w:spacing w:after="0" w:line="240" w:lineRule="auto"/>
        <w:ind w:left="567" w:hanging="567"/>
        <w:rPr>
          <w:rFonts w:ascii="Times New Roman" w:hAnsi="Times New Roman" w:cs="Times New Roman"/>
          <w:sz w:val="22"/>
          <w:szCs w:val="22"/>
        </w:rPr>
      </w:pPr>
    </w:p>
    <w:p w14:paraId="0FD2FE4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AOAC, 2000. Official method of analysis (17</w:t>
      </w:r>
      <w:r>
        <w:rPr>
          <w:rFonts w:ascii="Times New Roman" w:hAnsi="Times New Roman" w:cs="Times New Roman"/>
          <w:sz w:val="22"/>
          <w:szCs w:val="22"/>
          <w:vertAlign w:val="superscript"/>
        </w:rPr>
        <w:t>th</w:t>
      </w:r>
      <w:r>
        <w:rPr>
          <w:rFonts w:ascii="Times New Roman" w:hAnsi="Times New Roman" w:cs="Times New Roman"/>
          <w:sz w:val="22"/>
          <w:szCs w:val="22"/>
        </w:rPr>
        <w:t xml:space="preserve"> Edition) Volume I. Association of official Analytical Chemists, Inc., Maryland, USA.</w:t>
      </w:r>
    </w:p>
    <w:p w14:paraId="2C72B354" w14:textId="77777777" w:rsidR="00EF65F1" w:rsidRDefault="00EF65F1">
      <w:pPr>
        <w:spacing w:after="0" w:line="240" w:lineRule="auto"/>
        <w:ind w:left="567" w:hanging="567"/>
        <w:rPr>
          <w:rFonts w:ascii="Times New Roman" w:hAnsi="Times New Roman" w:cs="Times New Roman"/>
          <w:sz w:val="22"/>
          <w:szCs w:val="22"/>
        </w:rPr>
      </w:pPr>
    </w:p>
    <w:p w14:paraId="475671C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Arowolo, M.A. &amp; He, J., 2018. Use of probiotics and botanical extracts to improve ruminant production in the tropics: A review. (Viewed on 14/08/2018)  </w:t>
      </w:r>
      <w:hyperlink r:id="rId32" w:history="1">
        <w:r>
          <w:rPr>
            <w:rStyle w:val="Hyperlink"/>
            <w:rFonts w:ascii="Times New Roman" w:hAnsi="Times New Roman" w:cs="Times New Roman"/>
            <w:sz w:val="22"/>
            <w:szCs w:val="22"/>
          </w:rPr>
          <w:t>https://doi.org/10.1016/j.aninu.2018.04.010</w:t>
        </w:r>
      </w:hyperlink>
      <w:r>
        <w:rPr>
          <w:rFonts w:ascii="Times New Roman" w:hAnsi="Times New Roman" w:cs="Times New Roman"/>
          <w:sz w:val="22"/>
          <w:szCs w:val="22"/>
        </w:rPr>
        <w:t xml:space="preserve"> </w:t>
      </w:r>
    </w:p>
    <w:p w14:paraId="5A58F94D" w14:textId="77777777" w:rsidR="00EF65F1" w:rsidRDefault="00EF65F1">
      <w:pPr>
        <w:spacing w:after="0" w:line="240" w:lineRule="auto"/>
        <w:ind w:left="567" w:hanging="567"/>
        <w:rPr>
          <w:rFonts w:ascii="Times New Roman" w:hAnsi="Times New Roman" w:cs="Times New Roman"/>
          <w:sz w:val="22"/>
          <w:szCs w:val="22"/>
        </w:rPr>
      </w:pPr>
    </w:p>
    <w:p w14:paraId="2260D66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Beauchemin, K.A., Kreuzer, M., O’Mara, F. &amp; McAllister, T.A., 2008. Nutritional management for enteric methane abatement: a review. Aust. J. Exp. Agr. 48, 21-27</w:t>
      </w:r>
    </w:p>
    <w:p w14:paraId="780E795F" w14:textId="77777777" w:rsidR="00EF65F1" w:rsidRDefault="00EF65F1">
      <w:pPr>
        <w:spacing w:after="0" w:line="240" w:lineRule="auto"/>
        <w:ind w:left="567" w:hanging="567"/>
        <w:rPr>
          <w:rFonts w:ascii="Times New Roman" w:hAnsi="Times New Roman" w:cs="Times New Roman"/>
          <w:sz w:val="22"/>
          <w:szCs w:val="22"/>
        </w:rPr>
      </w:pPr>
    </w:p>
    <w:p w14:paraId="5E531BA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Berhane, G., Eik, L.O. &amp; Tolera, A., 2006. Chemical composition and </w:t>
      </w:r>
      <w:r>
        <w:rPr>
          <w:rFonts w:ascii="Times New Roman" w:hAnsi="Times New Roman" w:cs="Times New Roman"/>
          <w:i/>
          <w:sz w:val="22"/>
          <w:szCs w:val="22"/>
        </w:rPr>
        <w:t xml:space="preserve">in vitro </w:t>
      </w:r>
      <w:r>
        <w:rPr>
          <w:rFonts w:ascii="Times New Roman" w:hAnsi="Times New Roman" w:cs="Times New Roman"/>
          <w:sz w:val="22"/>
          <w:szCs w:val="22"/>
        </w:rPr>
        <w:t>gas production of vetch (</w:t>
      </w:r>
      <w:r>
        <w:rPr>
          <w:rFonts w:ascii="Times New Roman" w:hAnsi="Times New Roman" w:cs="Times New Roman"/>
          <w:i/>
          <w:sz w:val="22"/>
          <w:szCs w:val="22"/>
        </w:rPr>
        <w:t>Vicia sativa</w:t>
      </w:r>
      <w:r>
        <w:rPr>
          <w:rFonts w:ascii="Times New Roman" w:hAnsi="Times New Roman" w:cs="Times New Roman"/>
          <w:sz w:val="22"/>
          <w:szCs w:val="22"/>
        </w:rPr>
        <w:t>) and some browse and grass species in northern Ethiopia.  Afr. J. Range. Forage. Sci. 23, 69-75</w:t>
      </w:r>
    </w:p>
    <w:p w14:paraId="3559F140" w14:textId="77777777" w:rsidR="00EF65F1" w:rsidRDefault="00EF65F1">
      <w:pPr>
        <w:spacing w:after="0" w:line="240" w:lineRule="auto"/>
        <w:ind w:left="567" w:hanging="567"/>
        <w:rPr>
          <w:rFonts w:ascii="Times New Roman" w:hAnsi="Times New Roman" w:cs="Times New Roman"/>
          <w:sz w:val="22"/>
          <w:szCs w:val="22"/>
        </w:rPr>
      </w:pPr>
    </w:p>
    <w:p w14:paraId="5688F49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Bodas, R., López, S., Fernández, M., Garciá-González, R., Rodriguez, A.B., Wallace, R.J. &amp; González, J.S., 2008. </w:t>
      </w:r>
      <w:r>
        <w:rPr>
          <w:rFonts w:ascii="Times New Roman" w:hAnsi="Times New Roman" w:cs="Times New Roman"/>
          <w:i/>
          <w:sz w:val="22"/>
          <w:szCs w:val="22"/>
        </w:rPr>
        <w:t>In vitro</w:t>
      </w:r>
      <w:r>
        <w:rPr>
          <w:rFonts w:ascii="Times New Roman" w:hAnsi="Times New Roman" w:cs="Times New Roman"/>
          <w:sz w:val="22"/>
          <w:szCs w:val="22"/>
        </w:rPr>
        <w:t xml:space="preserve"> screening of the potential of numerous plant species as antimethanogenic feed additives for ruminants.  Anim. Feed. Sci. Tech. 145, 245-258</w:t>
      </w:r>
    </w:p>
    <w:p w14:paraId="5F1B7A73" w14:textId="77777777" w:rsidR="00EF65F1" w:rsidRDefault="00EF65F1">
      <w:pPr>
        <w:spacing w:after="0" w:line="240" w:lineRule="auto"/>
        <w:ind w:left="567" w:hanging="567"/>
        <w:rPr>
          <w:rFonts w:ascii="Times New Roman" w:hAnsi="Times New Roman" w:cs="Times New Roman"/>
          <w:sz w:val="22"/>
          <w:szCs w:val="22"/>
        </w:rPr>
      </w:pPr>
    </w:p>
    <w:p w14:paraId="3C357FD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Bodas, R., Prieto, N., Garcia-González, R., Andrés, S., Giráldez, F.J. &amp; López, S., 2012. Manipulation of rumen fermentation and methane production with plant secondary compounds. Anim. Feed. Sci. Tech. 176, 78-93</w:t>
      </w:r>
    </w:p>
    <w:p w14:paraId="6B75604C" w14:textId="77777777" w:rsidR="00EF65F1" w:rsidRDefault="00EF65F1">
      <w:pPr>
        <w:spacing w:after="0" w:line="240" w:lineRule="auto"/>
        <w:ind w:left="567" w:hanging="567"/>
        <w:rPr>
          <w:rFonts w:ascii="Times New Roman" w:hAnsi="Times New Roman" w:cs="Times New Roman"/>
          <w:sz w:val="22"/>
          <w:szCs w:val="22"/>
        </w:rPr>
      </w:pPr>
    </w:p>
    <w:p w14:paraId="10FC289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lastRenderedPageBreak/>
        <w:t xml:space="preserve">Boussaada, A., Arhab, R., Calabró, S., Graziolo, R., Ferrara, M., Musco, N., Thlidjane, M. &amp; Cutrignelli, M.I., 2018. Effect of </w:t>
      </w:r>
      <w:r>
        <w:rPr>
          <w:rFonts w:ascii="Times New Roman" w:hAnsi="Times New Roman" w:cs="Times New Roman"/>
          <w:i/>
          <w:sz w:val="22"/>
          <w:szCs w:val="22"/>
        </w:rPr>
        <w:t xml:space="preserve">Eucalyptus globulus </w:t>
      </w:r>
      <w:r>
        <w:rPr>
          <w:rFonts w:ascii="Times New Roman" w:hAnsi="Times New Roman" w:cs="Times New Roman"/>
          <w:sz w:val="22"/>
          <w:szCs w:val="22"/>
        </w:rPr>
        <w:t xml:space="preserve">leaves extracts on </w:t>
      </w:r>
      <w:r>
        <w:rPr>
          <w:rFonts w:ascii="Times New Roman" w:hAnsi="Times New Roman" w:cs="Times New Roman"/>
          <w:i/>
          <w:sz w:val="22"/>
          <w:szCs w:val="22"/>
        </w:rPr>
        <w:t xml:space="preserve">in vitro </w:t>
      </w:r>
      <w:r>
        <w:rPr>
          <w:rFonts w:ascii="Times New Roman" w:hAnsi="Times New Roman" w:cs="Times New Roman"/>
          <w:sz w:val="22"/>
          <w:szCs w:val="22"/>
        </w:rPr>
        <w:t>rumen fermentation, methanogenesis, degradability and protozoa population. Ann. Anim. Sci. 18(3), 753-767</w:t>
      </w:r>
    </w:p>
    <w:p w14:paraId="34AEE32E" w14:textId="77777777" w:rsidR="00EF65F1" w:rsidRDefault="00EF65F1">
      <w:pPr>
        <w:spacing w:after="0" w:line="240" w:lineRule="auto"/>
        <w:ind w:left="567" w:hanging="567"/>
        <w:rPr>
          <w:rFonts w:ascii="Times New Roman" w:hAnsi="Times New Roman" w:cs="Times New Roman"/>
          <w:sz w:val="22"/>
          <w:szCs w:val="22"/>
        </w:rPr>
      </w:pPr>
    </w:p>
    <w:p w14:paraId="344E34E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Broudiscou, L.P., Papon, Y. &amp; Broudiscou, A.F., 2000. Effects of dry plant extracts on fermentation and methanogenesis in continuous culture of rumen microbes. Anim. Feed. Sci. Technol. 87, 263-277</w:t>
      </w:r>
    </w:p>
    <w:p w14:paraId="374F550F" w14:textId="77777777" w:rsidR="00EF65F1" w:rsidRDefault="00EF65F1">
      <w:pPr>
        <w:spacing w:after="0" w:line="240" w:lineRule="auto"/>
        <w:ind w:left="567" w:hanging="567"/>
        <w:rPr>
          <w:rFonts w:ascii="Times New Roman" w:hAnsi="Times New Roman" w:cs="Times New Roman"/>
          <w:sz w:val="22"/>
          <w:szCs w:val="22"/>
        </w:rPr>
      </w:pPr>
    </w:p>
    <w:p w14:paraId="797EF89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Busquet, M., Calsamiglia, S., Ferret, A. &amp; Kamel, C., 2005. Screening for effects of plant extracts and active compounds of plants on dairy cattle rumen microbial fermentation in a continuous culture system. Anim. Feed. Sci. Tech. 123-124, 597-613</w:t>
      </w:r>
    </w:p>
    <w:p w14:paraId="17129D88" w14:textId="77777777" w:rsidR="00EF65F1" w:rsidRDefault="00EF65F1">
      <w:pPr>
        <w:spacing w:after="0" w:line="240" w:lineRule="auto"/>
        <w:ind w:left="567" w:hanging="567"/>
        <w:rPr>
          <w:rFonts w:ascii="Times New Roman" w:hAnsi="Times New Roman" w:cs="Times New Roman"/>
          <w:sz w:val="22"/>
          <w:szCs w:val="22"/>
        </w:rPr>
      </w:pPr>
    </w:p>
    <w:p w14:paraId="40322F91"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Busquet, M., Calsamiglia, S., Ferret, A. &amp; Kamel, C., 2006. Plant extracts affect </w:t>
      </w:r>
      <w:r>
        <w:rPr>
          <w:rFonts w:ascii="Times New Roman" w:hAnsi="Times New Roman" w:cs="Times New Roman"/>
          <w:i/>
          <w:sz w:val="22"/>
          <w:szCs w:val="22"/>
        </w:rPr>
        <w:t xml:space="preserve">in vitro </w:t>
      </w:r>
      <w:r>
        <w:rPr>
          <w:rFonts w:ascii="Times New Roman" w:hAnsi="Times New Roman" w:cs="Times New Roman"/>
          <w:sz w:val="22"/>
          <w:szCs w:val="22"/>
        </w:rPr>
        <w:t>rumen microbial fermentation. J. Dairy. Sci. 89, 761-771.</w:t>
      </w:r>
    </w:p>
    <w:p w14:paraId="60579A40" w14:textId="77777777" w:rsidR="00EF65F1" w:rsidRDefault="00EF65F1">
      <w:pPr>
        <w:spacing w:after="0" w:line="240" w:lineRule="auto"/>
        <w:ind w:left="567" w:hanging="567"/>
        <w:rPr>
          <w:rFonts w:ascii="Times New Roman" w:hAnsi="Times New Roman" w:cs="Times New Roman"/>
          <w:sz w:val="22"/>
          <w:szCs w:val="22"/>
        </w:rPr>
      </w:pPr>
    </w:p>
    <w:p w14:paraId="1BC57B8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Cattani, M., Maccarana, L., Rossi, G., Tagliapietra, F., Schiavon, S. &amp; Bailoni, L., 2016. Dose-response and inclusion effects of pure natural extracts and synthetic compounds on </w:t>
      </w:r>
      <w:r>
        <w:rPr>
          <w:rFonts w:ascii="Times New Roman" w:hAnsi="Times New Roman" w:cs="Times New Roman"/>
          <w:i/>
          <w:sz w:val="22"/>
          <w:szCs w:val="22"/>
        </w:rPr>
        <w:t>in vitro</w:t>
      </w:r>
      <w:r>
        <w:rPr>
          <w:rFonts w:ascii="Times New Roman" w:hAnsi="Times New Roman" w:cs="Times New Roman"/>
          <w:sz w:val="22"/>
          <w:szCs w:val="22"/>
        </w:rPr>
        <w:t xml:space="preserve"> methane production. Anim. Feed. Sci. Tech. 218, 100-109</w:t>
      </w:r>
    </w:p>
    <w:p w14:paraId="022050DF" w14:textId="77777777" w:rsidR="00EF65F1" w:rsidRDefault="00EF65F1">
      <w:pPr>
        <w:spacing w:after="0" w:line="240" w:lineRule="auto"/>
        <w:ind w:left="567" w:hanging="567"/>
        <w:rPr>
          <w:rFonts w:ascii="Times New Roman" w:hAnsi="Times New Roman" w:cs="Times New Roman"/>
          <w:sz w:val="22"/>
          <w:szCs w:val="22"/>
        </w:rPr>
      </w:pPr>
    </w:p>
    <w:p w14:paraId="2CCB2D4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Cardozo, P.W., Calsamiglia, S., Ferret, A. &amp; Kamel, C., 2005. Screening for the effects of natural plant extracts at different pH on </w:t>
      </w:r>
      <w:r>
        <w:rPr>
          <w:rFonts w:ascii="Times New Roman" w:hAnsi="Times New Roman" w:cs="Times New Roman"/>
          <w:i/>
          <w:sz w:val="22"/>
          <w:szCs w:val="22"/>
        </w:rPr>
        <w:t xml:space="preserve">in vitro </w:t>
      </w:r>
      <w:r>
        <w:rPr>
          <w:rFonts w:ascii="Times New Roman" w:hAnsi="Times New Roman" w:cs="Times New Roman"/>
          <w:sz w:val="22"/>
          <w:szCs w:val="22"/>
        </w:rPr>
        <w:t>rumen microbial fermentation of a high-concentrate diet for beef cattle. J. Anim. Sci. 83, 2572-2579</w:t>
      </w:r>
    </w:p>
    <w:p w14:paraId="09954528" w14:textId="77777777" w:rsidR="00EF65F1" w:rsidRDefault="00EF65F1">
      <w:pPr>
        <w:spacing w:after="0" w:line="240" w:lineRule="auto"/>
        <w:ind w:left="567" w:hanging="567"/>
        <w:rPr>
          <w:rFonts w:ascii="Times New Roman" w:hAnsi="Times New Roman" w:cs="Times New Roman"/>
          <w:sz w:val="22"/>
          <w:szCs w:val="22"/>
        </w:rPr>
      </w:pPr>
    </w:p>
    <w:p w14:paraId="3E8ACEC5" w14:textId="77777777" w:rsidR="00EF65F1" w:rsidRDefault="00484A18">
      <w:pPr>
        <w:spacing w:after="0" w:line="240" w:lineRule="auto"/>
        <w:rPr>
          <w:rFonts w:ascii="Times New Roman" w:hAnsi="Times New Roman" w:cs="Times New Roman"/>
          <w:sz w:val="22"/>
          <w:szCs w:val="22"/>
        </w:rPr>
      </w:pPr>
      <w:r>
        <w:rPr>
          <w:rFonts w:ascii="Times New Roman" w:hAnsi="Times New Roman" w:cs="Times New Roman"/>
          <w:sz w:val="22"/>
          <w:szCs w:val="22"/>
        </w:rPr>
        <w:t>Coates Palgrave, K., 2002. Trees of Sothern Africa. 3</w:t>
      </w:r>
      <w:r>
        <w:rPr>
          <w:rFonts w:ascii="Times New Roman" w:hAnsi="Times New Roman" w:cs="Times New Roman"/>
          <w:sz w:val="22"/>
          <w:szCs w:val="22"/>
          <w:vertAlign w:val="superscript"/>
        </w:rPr>
        <w:t>rd</w:t>
      </w:r>
      <w:r>
        <w:rPr>
          <w:rFonts w:ascii="Times New Roman" w:hAnsi="Times New Roman" w:cs="Times New Roman"/>
          <w:sz w:val="22"/>
          <w:szCs w:val="22"/>
        </w:rPr>
        <w:t xml:space="preserve"> ed. Struik Nature. Cape Town. South Africa</w:t>
      </w:r>
    </w:p>
    <w:p w14:paraId="6E2B4117" w14:textId="77777777" w:rsidR="00EF65F1" w:rsidRDefault="00EF65F1">
      <w:pPr>
        <w:spacing w:after="0" w:line="240" w:lineRule="auto"/>
        <w:ind w:hanging="567"/>
        <w:rPr>
          <w:rFonts w:ascii="Times New Roman" w:hAnsi="Times New Roman" w:cs="Times New Roman"/>
          <w:sz w:val="22"/>
          <w:szCs w:val="22"/>
        </w:rPr>
      </w:pPr>
    </w:p>
    <w:p w14:paraId="0C6D144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Cobellis, G., Trabalza-Marinucci, M. &amp; Yu, Z., 2016. Critical evaluation of essential oils as rumen modifiers in ruminant nutrition: A review. Sci. Total. Environ. 545-546, 556-568</w:t>
      </w:r>
    </w:p>
    <w:p w14:paraId="4FAFCA9F" w14:textId="77777777" w:rsidR="00EF65F1" w:rsidRDefault="00EF65F1">
      <w:pPr>
        <w:spacing w:after="0" w:line="240" w:lineRule="auto"/>
        <w:ind w:hanging="567"/>
        <w:rPr>
          <w:rFonts w:ascii="Times New Roman" w:hAnsi="Times New Roman" w:cs="Times New Roman"/>
          <w:sz w:val="22"/>
          <w:szCs w:val="22"/>
        </w:rPr>
      </w:pPr>
    </w:p>
    <w:p w14:paraId="25FD260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Dickinson, E.B., Hyam G.F.S., Breytenbach W.A.S., Metcalf, H.D., Basson, W.D., Williams, F.R., Scheepers, LJ., Plint, AP., Smith, H.R.H., Smith, P.J., van Vuuren, P.J., Viljoen, J.H., Archibald, K.P. &amp; Els, J.M., 2010. Pasture handbook. 2</w:t>
      </w:r>
      <w:r>
        <w:rPr>
          <w:rFonts w:ascii="Times New Roman" w:hAnsi="Times New Roman" w:cs="Times New Roman"/>
          <w:sz w:val="22"/>
          <w:szCs w:val="22"/>
          <w:vertAlign w:val="superscript"/>
        </w:rPr>
        <w:t>nd</w:t>
      </w:r>
      <w:r>
        <w:rPr>
          <w:rFonts w:ascii="Times New Roman" w:hAnsi="Times New Roman" w:cs="Times New Roman"/>
          <w:sz w:val="22"/>
          <w:szCs w:val="22"/>
        </w:rPr>
        <w:t xml:space="preserve"> ed. Kejafa Knowledge Works. Noordheuwel, South Africa</w:t>
      </w:r>
    </w:p>
    <w:p w14:paraId="7BA7D1F2" w14:textId="77777777" w:rsidR="00EF65F1" w:rsidRDefault="00EF65F1">
      <w:pPr>
        <w:spacing w:after="0" w:line="240" w:lineRule="auto"/>
        <w:ind w:left="567" w:hanging="567"/>
        <w:rPr>
          <w:rFonts w:ascii="Times New Roman" w:hAnsi="Times New Roman" w:cs="Times New Roman"/>
          <w:sz w:val="22"/>
          <w:szCs w:val="22"/>
        </w:rPr>
      </w:pPr>
    </w:p>
    <w:p w14:paraId="702E2C1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Du Toit, C.J.L., van Niekerk, W.A., Meissner, H.H., Erasmus, L.J. &amp; Morey, L., 2018. Nutrient composition and </w:t>
      </w:r>
      <w:r>
        <w:rPr>
          <w:rFonts w:ascii="Times New Roman" w:hAnsi="Times New Roman" w:cs="Times New Roman"/>
          <w:i/>
          <w:sz w:val="22"/>
          <w:szCs w:val="22"/>
        </w:rPr>
        <w:t xml:space="preserve">in vitro </w:t>
      </w:r>
      <w:r>
        <w:rPr>
          <w:rFonts w:ascii="Times New Roman" w:hAnsi="Times New Roman" w:cs="Times New Roman"/>
          <w:sz w:val="22"/>
          <w:szCs w:val="22"/>
        </w:rPr>
        <w:t>methane production of sub-tropical grass species in transitional rangeland of South Africa. Rangeland. J. 40, 1-8</w:t>
      </w:r>
    </w:p>
    <w:p w14:paraId="365E863C" w14:textId="77777777" w:rsidR="00EF65F1" w:rsidRDefault="00EF65F1">
      <w:pPr>
        <w:spacing w:after="0" w:line="240" w:lineRule="auto"/>
        <w:ind w:left="567" w:hanging="567"/>
        <w:rPr>
          <w:rFonts w:ascii="Times New Roman" w:hAnsi="Times New Roman" w:cs="Times New Roman"/>
          <w:sz w:val="22"/>
          <w:szCs w:val="22"/>
        </w:rPr>
      </w:pPr>
    </w:p>
    <w:p w14:paraId="63508CD4"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Durmic, Z., Hutton, P., Revell, D.K., Emms, J., Hughes, S. &amp; Vercoe, P.E., 2010. </w:t>
      </w:r>
      <w:r>
        <w:rPr>
          <w:rFonts w:ascii="Times New Roman" w:hAnsi="Times New Roman" w:cs="Times New Roman"/>
          <w:i/>
          <w:sz w:val="22"/>
          <w:szCs w:val="22"/>
        </w:rPr>
        <w:t xml:space="preserve">In vitro </w:t>
      </w:r>
      <w:r>
        <w:rPr>
          <w:rFonts w:ascii="Times New Roman" w:hAnsi="Times New Roman" w:cs="Times New Roman"/>
          <w:sz w:val="22"/>
          <w:szCs w:val="22"/>
        </w:rPr>
        <w:t>fermentative traits of Australian woody perennial plant species that may be considered as potential sources of feed for grazing ruminants. Anim. Feed. Sci. Tech. 160, 98-109</w:t>
      </w:r>
    </w:p>
    <w:p w14:paraId="24378379" w14:textId="77777777" w:rsidR="00EF65F1" w:rsidRDefault="00EF65F1">
      <w:pPr>
        <w:spacing w:after="0" w:line="240" w:lineRule="auto"/>
        <w:ind w:left="567" w:hanging="567"/>
        <w:rPr>
          <w:rFonts w:ascii="Times New Roman" w:hAnsi="Times New Roman" w:cs="Times New Roman"/>
          <w:sz w:val="22"/>
          <w:szCs w:val="22"/>
        </w:rPr>
      </w:pPr>
    </w:p>
    <w:p w14:paraId="00BB865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Elghandour, M.M.Y., Salem, A.Z.M., Khusro, A., Cipriano-Salazar, M., Olivares-Pérez, J. &amp; Barros-Rodriguez, M.A., 2017. Assessment of some browse tree leaves on gas production and sustainable mitigation of CH</w:t>
      </w:r>
      <w:r>
        <w:rPr>
          <w:rFonts w:ascii="Times New Roman" w:hAnsi="Times New Roman" w:cs="Times New Roman"/>
          <w:sz w:val="22"/>
          <w:szCs w:val="22"/>
          <w:vertAlign w:val="subscript"/>
        </w:rPr>
        <w:t>4</w:t>
      </w:r>
      <w:r>
        <w:rPr>
          <w:rFonts w:ascii="Times New Roman" w:hAnsi="Times New Roman" w:cs="Times New Roman"/>
          <w:sz w:val="22"/>
          <w:szCs w:val="22"/>
        </w:rPr>
        <w:t xml:space="preserve"> and CO</w:t>
      </w:r>
      <w:r>
        <w:rPr>
          <w:rFonts w:ascii="Times New Roman" w:hAnsi="Times New Roman" w:cs="Times New Roman"/>
          <w:sz w:val="22"/>
          <w:szCs w:val="22"/>
          <w:vertAlign w:val="subscript"/>
        </w:rPr>
        <w:t>2</w:t>
      </w:r>
      <w:r>
        <w:rPr>
          <w:rFonts w:ascii="Times New Roman" w:hAnsi="Times New Roman" w:cs="Times New Roman"/>
          <w:sz w:val="22"/>
          <w:szCs w:val="22"/>
        </w:rPr>
        <w:t xml:space="preserve"> emissions in dairy calves at different ages. J. Clean. Prod. 162, 1192-1199 </w:t>
      </w:r>
    </w:p>
    <w:p w14:paraId="351E4340" w14:textId="77777777" w:rsidR="00EF65F1" w:rsidRDefault="00EF65F1">
      <w:pPr>
        <w:spacing w:after="0" w:line="240" w:lineRule="auto"/>
        <w:ind w:left="567" w:hanging="567"/>
        <w:rPr>
          <w:rFonts w:ascii="Times New Roman" w:hAnsi="Times New Roman" w:cs="Times New Roman"/>
          <w:sz w:val="22"/>
          <w:szCs w:val="22"/>
        </w:rPr>
      </w:pPr>
    </w:p>
    <w:p w14:paraId="6506C13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Eloff, J.N., 2001. Antibacterial activity of Marula (</w:t>
      </w:r>
      <w:r>
        <w:rPr>
          <w:rFonts w:ascii="Times New Roman" w:hAnsi="Times New Roman" w:cs="Times New Roman"/>
          <w:i/>
          <w:sz w:val="22"/>
          <w:szCs w:val="22"/>
        </w:rPr>
        <w:t xml:space="preserve">Sclerocarya birrea </w:t>
      </w:r>
      <w:r>
        <w:rPr>
          <w:rFonts w:ascii="Times New Roman" w:hAnsi="Times New Roman" w:cs="Times New Roman"/>
          <w:sz w:val="22"/>
          <w:szCs w:val="22"/>
        </w:rPr>
        <w:t xml:space="preserve">(A. rich.) Hochst. Subsp. </w:t>
      </w:r>
      <w:r>
        <w:rPr>
          <w:rFonts w:ascii="Times New Roman" w:hAnsi="Times New Roman" w:cs="Times New Roman"/>
          <w:i/>
          <w:sz w:val="22"/>
          <w:szCs w:val="22"/>
        </w:rPr>
        <w:t xml:space="preserve">Caffra </w:t>
      </w:r>
      <w:r>
        <w:rPr>
          <w:rFonts w:ascii="Times New Roman" w:hAnsi="Times New Roman" w:cs="Times New Roman"/>
          <w:sz w:val="22"/>
          <w:szCs w:val="22"/>
        </w:rPr>
        <w:t>(Sond.) Kokwaro) (Anacardiaceae) bark and leaves. J. Ethnopharmcol. 76, 305-308</w:t>
      </w:r>
    </w:p>
    <w:p w14:paraId="4F2E836D" w14:textId="77777777" w:rsidR="00EF65F1" w:rsidRDefault="00EF65F1">
      <w:pPr>
        <w:spacing w:after="0" w:line="240" w:lineRule="auto"/>
        <w:ind w:left="567" w:hanging="567"/>
        <w:rPr>
          <w:rFonts w:ascii="Times New Roman" w:hAnsi="Times New Roman" w:cs="Times New Roman"/>
          <w:sz w:val="22"/>
          <w:szCs w:val="22"/>
        </w:rPr>
      </w:pPr>
    </w:p>
    <w:p w14:paraId="4674D01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Eloff, J.N., Katerere, D.R. &amp; McGaw, L.J., 2008. The biological activity and chemistry of the southern African Combretaceae. J. Ethnopharmacol. 119, 686-699</w:t>
      </w:r>
    </w:p>
    <w:p w14:paraId="0A6057AE" w14:textId="77777777" w:rsidR="00EF65F1" w:rsidRDefault="00EF65F1">
      <w:pPr>
        <w:spacing w:after="0" w:line="240" w:lineRule="auto"/>
        <w:ind w:left="567" w:hanging="567"/>
        <w:rPr>
          <w:rFonts w:ascii="Times New Roman" w:hAnsi="Times New Roman" w:cs="Times New Roman"/>
          <w:sz w:val="22"/>
          <w:szCs w:val="22"/>
        </w:rPr>
      </w:pPr>
    </w:p>
    <w:p w14:paraId="2D1066B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Engels, E.A.N &amp; van der Merwe, F.J., 1967. Application of an </w:t>
      </w:r>
      <w:r>
        <w:rPr>
          <w:rFonts w:ascii="Times New Roman" w:hAnsi="Times New Roman" w:cs="Times New Roman"/>
          <w:i/>
          <w:sz w:val="22"/>
          <w:szCs w:val="22"/>
        </w:rPr>
        <w:t>in vitro</w:t>
      </w:r>
      <w:r>
        <w:rPr>
          <w:rFonts w:ascii="Times New Roman" w:hAnsi="Times New Roman" w:cs="Times New Roman"/>
          <w:sz w:val="22"/>
          <w:szCs w:val="22"/>
        </w:rPr>
        <w:t xml:space="preserve"> technique to South African forages with special reference to affect certain factors on the results. S.A. J. Agric. Sci. 10,983.</w:t>
      </w:r>
    </w:p>
    <w:p w14:paraId="694105F1" w14:textId="77777777" w:rsidR="00EF65F1" w:rsidRDefault="00EF65F1">
      <w:pPr>
        <w:spacing w:after="0" w:line="240" w:lineRule="auto"/>
        <w:ind w:left="567" w:hanging="567"/>
        <w:rPr>
          <w:rFonts w:ascii="Times New Roman" w:hAnsi="Times New Roman" w:cs="Times New Roman"/>
          <w:sz w:val="22"/>
          <w:szCs w:val="22"/>
        </w:rPr>
      </w:pPr>
    </w:p>
    <w:p w14:paraId="7E8DE6B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First research coordination meeting on the use of enzymes and nuclear technologies to improve the utilization of fibrous feeds and reduce greenhouse gas emission from livestock (D3.10.27)., 07 to 11 February 2011. Lethbridge Research Centre, Lethbridge, Alberta, Canada.</w:t>
      </w:r>
    </w:p>
    <w:p w14:paraId="24D9A1A0" w14:textId="77777777" w:rsidR="00EF65F1" w:rsidRDefault="00EF65F1">
      <w:pPr>
        <w:spacing w:after="0" w:line="240" w:lineRule="auto"/>
        <w:ind w:left="567" w:hanging="567"/>
        <w:rPr>
          <w:rFonts w:ascii="Times New Roman" w:hAnsi="Times New Roman" w:cs="Times New Roman"/>
          <w:sz w:val="22"/>
          <w:szCs w:val="22"/>
        </w:rPr>
      </w:pPr>
    </w:p>
    <w:p w14:paraId="4C1A3D2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Flachowsky, G. &amp; Lebzien, P., 2012. Effects of phytogenic substances on rumen fermentation and methane emissions: A proposal for a research process. Anim. Feed. Sci. Tech. 176, 70-77</w:t>
      </w:r>
    </w:p>
    <w:p w14:paraId="25AA078C" w14:textId="77777777" w:rsidR="00EF65F1" w:rsidRDefault="00EF65F1">
      <w:pPr>
        <w:spacing w:after="0" w:line="240" w:lineRule="auto"/>
        <w:ind w:left="567" w:hanging="567"/>
        <w:rPr>
          <w:rFonts w:ascii="Times New Roman" w:hAnsi="Times New Roman" w:cs="Times New Roman"/>
          <w:sz w:val="22"/>
          <w:szCs w:val="22"/>
        </w:rPr>
      </w:pPr>
    </w:p>
    <w:p w14:paraId="06F046A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Garcia-González, R., López, S., Fernández, M., Bodas, R. &amp; González, J.S., 2008. Screening the activity of plants and spices for decreasing ruminal methane production </w:t>
      </w:r>
      <w:r>
        <w:rPr>
          <w:rFonts w:ascii="Times New Roman" w:hAnsi="Times New Roman" w:cs="Times New Roman"/>
          <w:i/>
          <w:sz w:val="22"/>
          <w:szCs w:val="22"/>
        </w:rPr>
        <w:t>in vitro</w:t>
      </w:r>
      <w:r>
        <w:rPr>
          <w:rFonts w:ascii="Times New Roman" w:hAnsi="Times New Roman" w:cs="Times New Roman"/>
          <w:sz w:val="22"/>
          <w:szCs w:val="22"/>
        </w:rPr>
        <w:t>. Anim. Feed. Sci. Tech. 147, 36-52</w:t>
      </w:r>
    </w:p>
    <w:p w14:paraId="4AD412E5" w14:textId="77777777" w:rsidR="00EF65F1" w:rsidRDefault="00EF65F1">
      <w:pPr>
        <w:spacing w:after="0" w:line="240" w:lineRule="auto"/>
        <w:ind w:left="567" w:hanging="567"/>
        <w:rPr>
          <w:rFonts w:ascii="Times New Roman" w:hAnsi="Times New Roman" w:cs="Times New Roman"/>
          <w:sz w:val="22"/>
          <w:szCs w:val="22"/>
        </w:rPr>
      </w:pPr>
    </w:p>
    <w:p w14:paraId="44E5AFE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Gemeda, B.S. &amp; Hassen, A., 2014. </w:t>
      </w:r>
      <w:r>
        <w:rPr>
          <w:rFonts w:ascii="Times New Roman" w:hAnsi="Times New Roman" w:cs="Times New Roman"/>
          <w:i/>
          <w:sz w:val="22"/>
          <w:szCs w:val="22"/>
        </w:rPr>
        <w:t xml:space="preserve">In vitro </w:t>
      </w:r>
      <w:r>
        <w:rPr>
          <w:rFonts w:ascii="Times New Roman" w:hAnsi="Times New Roman" w:cs="Times New Roman"/>
          <w:sz w:val="22"/>
          <w:szCs w:val="22"/>
        </w:rPr>
        <w:t>fermentation, digestibility and methane production of tropical perennial grass species. Crop. Pasture. Sci. 65, 479-488</w:t>
      </w:r>
    </w:p>
    <w:p w14:paraId="3A9B4E5F" w14:textId="77777777" w:rsidR="00EF65F1" w:rsidRDefault="00EF65F1">
      <w:pPr>
        <w:spacing w:after="0" w:line="240" w:lineRule="auto"/>
        <w:ind w:left="567" w:hanging="567"/>
        <w:rPr>
          <w:rFonts w:ascii="Times New Roman" w:hAnsi="Times New Roman" w:cs="Times New Roman"/>
          <w:sz w:val="22"/>
          <w:szCs w:val="22"/>
        </w:rPr>
      </w:pPr>
    </w:p>
    <w:p w14:paraId="731A779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Gemeda, B.S. &amp; Hassen, A., 2015. Effect of tannin and species variation on </w:t>
      </w:r>
      <w:r>
        <w:rPr>
          <w:rFonts w:ascii="Times New Roman" w:hAnsi="Times New Roman" w:cs="Times New Roman"/>
          <w:i/>
          <w:sz w:val="22"/>
          <w:szCs w:val="22"/>
        </w:rPr>
        <w:t>in vitro</w:t>
      </w:r>
      <w:r>
        <w:rPr>
          <w:rFonts w:ascii="Times New Roman" w:hAnsi="Times New Roman" w:cs="Times New Roman"/>
          <w:sz w:val="22"/>
          <w:szCs w:val="22"/>
        </w:rPr>
        <w:t xml:space="preserve"> digestibility, gas, and methane production of tropical browse plants. Asian. Austral. J. Anim. 28, 188-199</w:t>
      </w:r>
    </w:p>
    <w:p w14:paraId="596AB6F8" w14:textId="77777777" w:rsidR="00EF65F1" w:rsidRDefault="00EF65F1">
      <w:pPr>
        <w:spacing w:after="0" w:line="240" w:lineRule="auto"/>
        <w:ind w:left="567" w:hanging="567"/>
        <w:rPr>
          <w:rFonts w:ascii="Times New Roman" w:hAnsi="Times New Roman" w:cs="Times New Roman"/>
          <w:sz w:val="22"/>
          <w:szCs w:val="22"/>
        </w:rPr>
      </w:pPr>
    </w:p>
    <w:p w14:paraId="6DFA1D23"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Grainger, C. &amp; Beauchemin, K.A., 2011. Can enteric methane emissions from ruminants be lowered without lowering their production?. Anim. Feed. Sci. Tech. 166-167, 308-320</w:t>
      </w:r>
    </w:p>
    <w:p w14:paraId="2F3CA7C6" w14:textId="77777777" w:rsidR="00EF65F1" w:rsidRDefault="00EF65F1">
      <w:pPr>
        <w:spacing w:after="0" w:line="240" w:lineRule="auto"/>
        <w:ind w:left="567" w:hanging="567"/>
        <w:rPr>
          <w:rFonts w:ascii="Times New Roman" w:hAnsi="Times New Roman" w:cs="Times New Roman"/>
          <w:sz w:val="22"/>
          <w:szCs w:val="22"/>
        </w:rPr>
      </w:pPr>
    </w:p>
    <w:p w14:paraId="44FD2BA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Greathead, H., 2003. Plant and plant extracts for improving animal productivity. P. Nutr. Soc. 62, 279-290</w:t>
      </w:r>
    </w:p>
    <w:p w14:paraId="3F815008" w14:textId="77777777" w:rsidR="00EF65F1" w:rsidRDefault="00EF65F1">
      <w:pPr>
        <w:spacing w:after="0" w:line="240" w:lineRule="auto"/>
        <w:ind w:left="567" w:hanging="567"/>
        <w:rPr>
          <w:rFonts w:ascii="Times New Roman" w:hAnsi="Times New Roman" w:cs="Times New Roman"/>
          <w:sz w:val="22"/>
          <w:szCs w:val="22"/>
        </w:rPr>
      </w:pPr>
    </w:p>
    <w:p w14:paraId="5EE827F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Goel, G., Makkar, H.P.S. &amp; Becker, K., 2008. Effects of </w:t>
      </w:r>
      <w:r>
        <w:rPr>
          <w:rFonts w:ascii="Times New Roman" w:hAnsi="Times New Roman" w:cs="Times New Roman"/>
          <w:i/>
          <w:sz w:val="22"/>
          <w:szCs w:val="22"/>
        </w:rPr>
        <w:t xml:space="preserve">Sesbania sesban </w:t>
      </w:r>
      <w:r>
        <w:rPr>
          <w:rFonts w:ascii="Times New Roman" w:hAnsi="Times New Roman" w:cs="Times New Roman"/>
          <w:sz w:val="22"/>
          <w:szCs w:val="22"/>
        </w:rPr>
        <w:t xml:space="preserve">and </w:t>
      </w:r>
      <w:r>
        <w:rPr>
          <w:rFonts w:ascii="Times New Roman" w:hAnsi="Times New Roman" w:cs="Times New Roman"/>
          <w:i/>
          <w:sz w:val="22"/>
          <w:szCs w:val="22"/>
        </w:rPr>
        <w:t xml:space="preserve">Carduus pycnocephalus </w:t>
      </w:r>
      <w:r>
        <w:rPr>
          <w:rFonts w:ascii="Times New Roman" w:hAnsi="Times New Roman" w:cs="Times New Roman"/>
          <w:sz w:val="22"/>
          <w:szCs w:val="22"/>
        </w:rPr>
        <w:t>leaves and Fengugreek (</w:t>
      </w:r>
      <w:r>
        <w:rPr>
          <w:rFonts w:ascii="Times New Roman" w:hAnsi="Times New Roman" w:cs="Times New Roman"/>
          <w:i/>
          <w:sz w:val="22"/>
          <w:szCs w:val="22"/>
        </w:rPr>
        <w:t xml:space="preserve">Trigonella foenum-graecum </w:t>
      </w:r>
      <w:r>
        <w:rPr>
          <w:rFonts w:ascii="Times New Roman" w:hAnsi="Times New Roman" w:cs="Times New Roman"/>
          <w:sz w:val="22"/>
          <w:szCs w:val="22"/>
        </w:rPr>
        <w:t>L.) seeds and their extracts on partitioning of nutrients from roughage- and concentrate-based feeds to methane. Anim. Feed. Sci. Tech. 147, 72-89</w:t>
      </w:r>
    </w:p>
    <w:p w14:paraId="0B52C9AA" w14:textId="77777777" w:rsidR="00EF65F1" w:rsidRDefault="00EF65F1">
      <w:pPr>
        <w:spacing w:after="0" w:line="240" w:lineRule="auto"/>
        <w:ind w:left="567" w:hanging="567"/>
        <w:rPr>
          <w:rFonts w:ascii="Times New Roman" w:hAnsi="Times New Roman" w:cs="Times New Roman"/>
          <w:sz w:val="22"/>
          <w:szCs w:val="22"/>
        </w:rPr>
      </w:pPr>
    </w:p>
    <w:p w14:paraId="020F2D71"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Goering, H.K. &amp; Van Soest, P.J. 1970. Forage fiber analysis (apparatus, reagents, procedures and some applications). Agric. Handbook no. 379. ARS-USDA, Washington, DC, USA.</w:t>
      </w:r>
    </w:p>
    <w:p w14:paraId="1B4F01C0" w14:textId="77777777" w:rsidR="00EF65F1" w:rsidRDefault="00EF65F1">
      <w:pPr>
        <w:spacing w:after="0" w:line="240" w:lineRule="auto"/>
        <w:ind w:left="567" w:hanging="567"/>
        <w:rPr>
          <w:rFonts w:ascii="Times New Roman" w:hAnsi="Times New Roman" w:cs="Times New Roman"/>
          <w:sz w:val="22"/>
          <w:szCs w:val="22"/>
        </w:rPr>
      </w:pPr>
    </w:p>
    <w:p w14:paraId="4102D0F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Hassen, A., Theart, J.J.F., van Niekerk, W.A., Adejoro, F.A. &amp; Gemeda, B.S., 2016. </w:t>
      </w:r>
      <w:r>
        <w:rPr>
          <w:rFonts w:ascii="Times New Roman" w:hAnsi="Times New Roman" w:cs="Times New Roman"/>
          <w:i/>
          <w:sz w:val="22"/>
          <w:szCs w:val="22"/>
        </w:rPr>
        <w:t xml:space="preserve">In vitro </w:t>
      </w:r>
      <w:r>
        <w:rPr>
          <w:rFonts w:ascii="Times New Roman" w:hAnsi="Times New Roman" w:cs="Times New Roman"/>
          <w:sz w:val="22"/>
          <w:szCs w:val="22"/>
        </w:rPr>
        <w:t xml:space="preserve">methane and gas production characteristics of </w:t>
      </w:r>
      <w:r>
        <w:rPr>
          <w:rFonts w:ascii="Times New Roman" w:hAnsi="Times New Roman" w:cs="Times New Roman"/>
          <w:i/>
          <w:sz w:val="22"/>
          <w:szCs w:val="22"/>
        </w:rPr>
        <w:t xml:space="preserve">Eragrostis trichopophora </w:t>
      </w:r>
      <w:r>
        <w:rPr>
          <w:rFonts w:ascii="Times New Roman" w:hAnsi="Times New Roman" w:cs="Times New Roman"/>
          <w:sz w:val="22"/>
          <w:szCs w:val="22"/>
        </w:rPr>
        <w:t>substrate supplemented with different browse foliage. Anim. Prod. Sci. 56, 634-640</w:t>
      </w:r>
    </w:p>
    <w:p w14:paraId="241820CD" w14:textId="77777777" w:rsidR="00EF65F1" w:rsidRDefault="00EF65F1">
      <w:pPr>
        <w:spacing w:after="0" w:line="240" w:lineRule="auto"/>
        <w:ind w:left="567" w:hanging="567"/>
        <w:rPr>
          <w:rFonts w:ascii="Times New Roman" w:hAnsi="Times New Roman" w:cs="Times New Roman"/>
          <w:sz w:val="22"/>
          <w:szCs w:val="22"/>
        </w:rPr>
      </w:pPr>
    </w:p>
    <w:p w14:paraId="4CAF165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Hart, K.J., Yáñez-Ruiz, D.R., Duval, S.M., McEwan, N, R. &amp; Newbold, C.J., 2008. Plant extracts to manipulate rumen fermentation. Anim. Feed. Sci. Tech. 147, 8-35 </w:t>
      </w:r>
    </w:p>
    <w:p w14:paraId="73F9C8F8" w14:textId="77777777" w:rsidR="00EF65F1" w:rsidRDefault="00EF65F1">
      <w:pPr>
        <w:spacing w:after="0" w:line="240" w:lineRule="auto"/>
        <w:ind w:left="567" w:hanging="567"/>
        <w:rPr>
          <w:rFonts w:ascii="Times New Roman" w:hAnsi="Times New Roman" w:cs="Times New Roman"/>
          <w:sz w:val="22"/>
          <w:szCs w:val="22"/>
        </w:rPr>
      </w:pPr>
    </w:p>
    <w:p w14:paraId="509FD47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Heuzé, V., Tran, G., Boval, M, &amp; Lebas, F., 2015. Weeping love grass (</w:t>
      </w:r>
      <w:r>
        <w:rPr>
          <w:rFonts w:ascii="Times New Roman" w:hAnsi="Times New Roman" w:cs="Times New Roman"/>
          <w:i/>
          <w:sz w:val="22"/>
          <w:szCs w:val="22"/>
        </w:rPr>
        <w:t>Eragrostis curvula</w:t>
      </w:r>
      <w:r>
        <w:rPr>
          <w:rFonts w:ascii="Times New Roman" w:hAnsi="Times New Roman" w:cs="Times New Roman"/>
          <w:sz w:val="22"/>
          <w:szCs w:val="22"/>
        </w:rPr>
        <w:t xml:space="preserve">). Feedipedia, a programme by INRA, CIRAD, AFZ and FAO. </w:t>
      </w:r>
      <w:hyperlink r:id="rId33" w:history="1">
        <w:r>
          <w:rPr>
            <w:rStyle w:val="Hyperlink"/>
            <w:rFonts w:ascii="Times New Roman" w:hAnsi="Times New Roman" w:cs="Times New Roman"/>
            <w:sz w:val="22"/>
            <w:szCs w:val="22"/>
          </w:rPr>
          <w:t>https://www.feedipedia.org/node/441.  [Accessed on 10/05/2018</w:t>
        </w:r>
      </w:hyperlink>
      <w:r>
        <w:rPr>
          <w:rFonts w:ascii="Times New Roman" w:hAnsi="Times New Roman" w:cs="Times New Roman"/>
          <w:sz w:val="22"/>
          <w:szCs w:val="22"/>
        </w:rPr>
        <w:t>]</w:t>
      </w:r>
    </w:p>
    <w:p w14:paraId="1EA6DB88" w14:textId="77777777" w:rsidR="00EF65F1" w:rsidRDefault="00EF65F1">
      <w:pPr>
        <w:spacing w:after="0" w:line="240" w:lineRule="auto"/>
        <w:ind w:left="567" w:hanging="567"/>
        <w:rPr>
          <w:rFonts w:ascii="Times New Roman" w:hAnsi="Times New Roman" w:cs="Times New Roman"/>
          <w:sz w:val="22"/>
          <w:szCs w:val="22"/>
        </w:rPr>
      </w:pPr>
    </w:p>
    <w:p w14:paraId="0240C561"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Holter, J.B., &amp; Young, A.J., 1992. Methane prediction in dry and lactating Holstein cows. J. Dairy. Sci. 75, 2165-2175</w:t>
      </w:r>
    </w:p>
    <w:p w14:paraId="09E0CCF8" w14:textId="77777777" w:rsidR="00EF65F1" w:rsidRDefault="00EF65F1">
      <w:pPr>
        <w:spacing w:after="0" w:line="240" w:lineRule="auto"/>
        <w:ind w:left="567" w:hanging="567"/>
        <w:rPr>
          <w:rFonts w:ascii="Times New Roman" w:hAnsi="Times New Roman" w:cs="Times New Roman"/>
          <w:sz w:val="22"/>
          <w:szCs w:val="22"/>
        </w:rPr>
      </w:pPr>
    </w:p>
    <w:p w14:paraId="1023F873"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Huang, Q., Liu, X., Zhao, G., Hu, T. &amp; Wang, Y., 2018. Potential and challenges of tannins as alternative to in-feed antibiotics for farm production. Anim. Nutr. 4, 137-150</w:t>
      </w:r>
    </w:p>
    <w:p w14:paraId="4EFF20A5" w14:textId="77777777" w:rsidR="00EF65F1" w:rsidRDefault="00EF65F1">
      <w:pPr>
        <w:spacing w:after="0" w:line="240" w:lineRule="auto"/>
        <w:ind w:left="567" w:hanging="567"/>
        <w:rPr>
          <w:rFonts w:ascii="Times New Roman" w:hAnsi="Times New Roman" w:cs="Times New Roman"/>
          <w:sz w:val="22"/>
          <w:szCs w:val="22"/>
        </w:rPr>
      </w:pPr>
    </w:p>
    <w:p w14:paraId="2C94327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Janssen, P.H., 2010. Influence of hydrogen on rumen methane formation and fermentation balances through microbial growth kinetics and fermentation thermodynamics. Anim. Feed. Sci. Tech. 160, 1-22</w:t>
      </w:r>
    </w:p>
    <w:p w14:paraId="4C61038E" w14:textId="77777777" w:rsidR="00EF65F1" w:rsidRDefault="00EF65F1">
      <w:pPr>
        <w:spacing w:after="0" w:line="240" w:lineRule="auto"/>
        <w:ind w:left="567" w:hanging="567"/>
        <w:rPr>
          <w:rFonts w:ascii="Times New Roman" w:hAnsi="Times New Roman" w:cs="Times New Roman"/>
          <w:sz w:val="22"/>
          <w:szCs w:val="22"/>
        </w:rPr>
      </w:pPr>
    </w:p>
    <w:p w14:paraId="40D22FE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Jouany, J.P. &amp; Morgavi, D.P., 2007. Use of ‘natural’ products as alternatives to antibiotic feed additives in ruminant production. Animal. 10, 1443-1466</w:t>
      </w:r>
    </w:p>
    <w:p w14:paraId="5A83CE03" w14:textId="77777777" w:rsidR="00EF65F1" w:rsidRDefault="00EF65F1">
      <w:pPr>
        <w:spacing w:after="0" w:line="240" w:lineRule="auto"/>
        <w:ind w:hanging="567"/>
        <w:rPr>
          <w:rFonts w:ascii="Times New Roman" w:hAnsi="Times New Roman" w:cs="Times New Roman"/>
          <w:sz w:val="22"/>
          <w:szCs w:val="22"/>
        </w:rPr>
      </w:pPr>
    </w:p>
    <w:p w14:paraId="0D832BE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Kim, W. &amp; Whitman, W.B., 1999. Methanogens. Academic Press 1334-1338</w:t>
      </w:r>
    </w:p>
    <w:p w14:paraId="7C38C69C" w14:textId="77777777" w:rsidR="00EF65F1" w:rsidRDefault="00EF65F1">
      <w:pPr>
        <w:spacing w:after="0" w:line="240" w:lineRule="auto"/>
        <w:ind w:left="567" w:hanging="567"/>
        <w:rPr>
          <w:rFonts w:ascii="Times New Roman" w:hAnsi="Times New Roman" w:cs="Times New Roman"/>
          <w:sz w:val="22"/>
          <w:szCs w:val="22"/>
        </w:rPr>
      </w:pPr>
    </w:p>
    <w:p w14:paraId="2928529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Kim, E.T., Min, K.S., Kim, C.H., Moonm Y.H., Kim, S.C. &amp; Lee, S.S., 2013. The effect of plant extracts on </w:t>
      </w:r>
      <w:r>
        <w:rPr>
          <w:rFonts w:ascii="Times New Roman" w:hAnsi="Times New Roman" w:cs="Times New Roman"/>
          <w:i/>
          <w:sz w:val="22"/>
          <w:szCs w:val="22"/>
        </w:rPr>
        <w:t>in vitro</w:t>
      </w:r>
      <w:r>
        <w:rPr>
          <w:rFonts w:ascii="Times New Roman" w:hAnsi="Times New Roman" w:cs="Times New Roman"/>
          <w:sz w:val="22"/>
          <w:szCs w:val="22"/>
        </w:rPr>
        <w:t xml:space="preserve"> ruminal fermentation, methanogenesis and methane-related microbes in the rumen. Asian-Aust. J. Anim. Sci. 26, 517-522</w:t>
      </w:r>
    </w:p>
    <w:p w14:paraId="0AF672A9" w14:textId="77777777" w:rsidR="00EF65F1" w:rsidRDefault="00EF65F1">
      <w:pPr>
        <w:spacing w:after="0" w:line="240" w:lineRule="auto"/>
        <w:ind w:left="567" w:hanging="567"/>
        <w:rPr>
          <w:rFonts w:ascii="Times New Roman" w:hAnsi="Times New Roman" w:cs="Times New Roman"/>
          <w:sz w:val="22"/>
          <w:szCs w:val="22"/>
        </w:rPr>
      </w:pPr>
    </w:p>
    <w:p w14:paraId="2B996927"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Kim, E.T., Guan, L.L., Lee, S.J., Lee, S.M., Lee, S.S., Lee, I.D., Lee, S.K. &amp; Lee, S.S., 2015. Effects of flavonoid-rich plant extracts on </w:t>
      </w:r>
      <w:r>
        <w:rPr>
          <w:rFonts w:ascii="Times New Roman" w:hAnsi="Times New Roman" w:cs="Times New Roman"/>
          <w:i/>
          <w:sz w:val="22"/>
          <w:szCs w:val="22"/>
        </w:rPr>
        <w:t xml:space="preserve">in vitro </w:t>
      </w:r>
      <w:r>
        <w:rPr>
          <w:rFonts w:ascii="Times New Roman" w:hAnsi="Times New Roman" w:cs="Times New Roman"/>
          <w:sz w:val="22"/>
          <w:szCs w:val="22"/>
        </w:rPr>
        <w:t>ruminal methanogenesis, microbial populations and fermentation characteristics. Asian-Aust. J. Anim. Sci. 28(4), 530-537</w:t>
      </w:r>
    </w:p>
    <w:p w14:paraId="3763DA01" w14:textId="77777777" w:rsidR="00EF65F1" w:rsidRDefault="00EF65F1">
      <w:pPr>
        <w:spacing w:after="0" w:line="240" w:lineRule="auto"/>
        <w:ind w:left="567" w:hanging="567"/>
        <w:rPr>
          <w:rFonts w:ascii="Times New Roman" w:hAnsi="Times New Roman" w:cs="Times New Roman"/>
          <w:sz w:val="22"/>
          <w:szCs w:val="22"/>
        </w:rPr>
      </w:pPr>
    </w:p>
    <w:p w14:paraId="0CAF343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Klevenhusen, F., Muro-Reyes, A., Khiaosa-ard, R., Metzler-Zebeli, B.U. &amp; Zebeli, Q., 2012. A meta-analysis of effects of chemical composition of incubated diet and bioactive compounds on </w:t>
      </w:r>
      <w:r>
        <w:rPr>
          <w:rFonts w:ascii="Times New Roman" w:hAnsi="Times New Roman" w:cs="Times New Roman"/>
          <w:i/>
          <w:sz w:val="22"/>
          <w:szCs w:val="22"/>
        </w:rPr>
        <w:t xml:space="preserve">in vitro </w:t>
      </w:r>
      <w:r>
        <w:rPr>
          <w:rFonts w:ascii="Times New Roman" w:hAnsi="Times New Roman" w:cs="Times New Roman"/>
          <w:sz w:val="22"/>
          <w:szCs w:val="22"/>
        </w:rPr>
        <w:t>ruminal fermentation. Anim. Feed. Sci. Tech. 176, 61-69</w:t>
      </w:r>
    </w:p>
    <w:p w14:paraId="38736312" w14:textId="77777777" w:rsidR="00EF65F1" w:rsidRDefault="00EF65F1">
      <w:pPr>
        <w:spacing w:after="0" w:line="240" w:lineRule="auto"/>
        <w:ind w:left="567" w:hanging="567"/>
        <w:rPr>
          <w:rFonts w:ascii="Times New Roman" w:hAnsi="Times New Roman" w:cs="Times New Roman"/>
          <w:sz w:val="22"/>
          <w:szCs w:val="22"/>
        </w:rPr>
      </w:pPr>
    </w:p>
    <w:p w14:paraId="3DAC86C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Kriek, A. &amp; Meissner., 1989. Intake and partial disappearance of organic matter, nitrogen and cell wall in the digestive tract of sheep grazing </w:t>
      </w:r>
      <w:r>
        <w:rPr>
          <w:rFonts w:ascii="Times New Roman" w:hAnsi="Times New Roman" w:cs="Times New Roman"/>
          <w:i/>
          <w:sz w:val="22"/>
          <w:szCs w:val="22"/>
        </w:rPr>
        <w:t xml:space="preserve">Eragrostis curvula, </w:t>
      </w:r>
      <w:r>
        <w:rPr>
          <w:rFonts w:ascii="Times New Roman" w:hAnsi="Times New Roman" w:cs="Times New Roman"/>
          <w:sz w:val="22"/>
          <w:szCs w:val="22"/>
        </w:rPr>
        <w:t>Lucerne and a mixture. Asian. Austral. J. Anim. 2(3), 309-310</w:t>
      </w:r>
    </w:p>
    <w:p w14:paraId="1EBA4C18" w14:textId="77777777" w:rsidR="00EF65F1" w:rsidRDefault="00EF65F1">
      <w:pPr>
        <w:spacing w:after="0" w:line="240" w:lineRule="auto"/>
        <w:ind w:left="567" w:hanging="567"/>
        <w:rPr>
          <w:rFonts w:ascii="Times New Roman" w:hAnsi="Times New Roman" w:cs="Times New Roman"/>
          <w:sz w:val="22"/>
          <w:szCs w:val="22"/>
        </w:rPr>
      </w:pPr>
    </w:p>
    <w:p w14:paraId="6C05EE1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Kumar, M., Kumar, V., Roy, D., Kushwaha, R. &amp; Vaiswani, S., 2014. Application of herbal feed additives in animal nutrition- A review. Int. J. Livest. Res. 4 (9), 1-8</w:t>
      </w:r>
    </w:p>
    <w:p w14:paraId="3A8CAD9F" w14:textId="77777777" w:rsidR="00EF65F1" w:rsidRDefault="00EF65F1">
      <w:pPr>
        <w:spacing w:after="0" w:line="240" w:lineRule="auto"/>
        <w:ind w:left="567" w:hanging="567"/>
        <w:rPr>
          <w:rFonts w:ascii="Times New Roman" w:hAnsi="Times New Roman" w:cs="Times New Roman"/>
          <w:sz w:val="22"/>
          <w:szCs w:val="22"/>
        </w:rPr>
      </w:pPr>
    </w:p>
    <w:p w14:paraId="41ED7392" w14:textId="77777777" w:rsidR="00EF65F1" w:rsidRDefault="00484A18">
      <w:pPr>
        <w:spacing w:after="0" w:line="240" w:lineRule="auto"/>
        <w:ind w:left="567" w:hanging="567"/>
        <w:rPr>
          <w:rFonts w:ascii="Times New Roman" w:hAnsi="Times New Roman" w:cs="Times New Roman"/>
          <w:sz w:val="22"/>
          <w:szCs w:val="22"/>
        </w:rPr>
      </w:pPr>
      <w:bookmarkStart w:id="206" w:name="_Hlk2677281"/>
      <w:r>
        <w:rPr>
          <w:rFonts w:ascii="Times New Roman" w:hAnsi="Times New Roman" w:cs="Times New Roman"/>
          <w:sz w:val="22"/>
          <w:szCs w:val="22"/>
        </w:rPr>
        <w:t>Martin, C., Morgavi, D.P. &amp; Doreau, M., 2010. Methane mitigation in ruminants: from microbe to the farm scale. Animal. 4:3, 351-365</w:t>
      </w:r>
    </w:p>
    <w:bookmarkEnd w:id="206"/>
    <w:p w14:paraId="4D777477" w14:textId="77777777" w:rsidR="00EF65F1" w:rsidRDefault="00EF65F1">
      <w:pPr>
        <w:spacing w:after="0" w:line="240" w:lineRule="auto"/>
        <w:ind w:left="567" w:hanging="567"/>
        <w:rPr>
          <w:rFonts w:ascii="Times New Roman" w:hAnsi="Times New Roman" w:cs="Times New Roman"/>
          <w:sz w:val="22"/>
          <w:szCs w:val="22"/>
        </w:rPr>
      </w:pPr>
    </w:p>
    <w:p w14:paraId="7ABBDD8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Martini, N. &amp; Eloff, J.N., 1998. The preliminary isolation of several antibacterial compounds from Combretum erythrophyllum (Combretacaea). J. Ethnopharmacol. 62, 255-263</w:t>
      </w:r>
    </w:p>
    <w:p w14:paraId="142F991C" w14:textId="77777777" w:rsidR="00EF65F1" w:rsidRDefault="00EF65F1">
      <w:pPr>
        <w:spacing w:after="0" w:line="240" w:lineRule="auto"/>
        <w:ind w:left="567" w:hanging="567"/>
        <w:rPr>
          <w:rFonts w:ascii="Times New Roman" w:hAnsi="Times New Roman" w:cs="Times New Roman"/>
          <w:sz w:val="22"/>
          <w:szCs w:val="22"/>
        </w:rPr>
      </w:pPr>
    </w:p>
    <w:p w14:paraId="011178D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Martini, N.D., Katerere, D.R.P. &amp; Eloff, J.N., 2004. Biological activity of five antibacterial flavonoids from Combretum erythrophyllum (Combretaceae). J. Ethnopharmacol. 93, 207-212</w:t>
      </w:r>
    </w:p>
    <w:p w14:paraId="16560715" w14:textId="77777777" w:rsidR="00EF65F1" w:rsidRDefault="00EF65F1">
      <w:pPr>
        <w:spacing w:after="0" w:line="240" w:lineRule="auto"/>
        <w:ind w:left="567" w:hanging="567"/>
        <w:rPr>
          <w:rFonts w:ascii="Times New Roman" w:hAnsi="Times New Roman" w:cs="Times New Roman"/>
          <w:sz w:val="22"/>
          <w:szCs w:val="22"/>
        </w:rPr>
      </w:pPr>
    </w:p>
    <w:p w14:paraId="7D5A79D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Madikizela, B., Aderogba, M.A. &amp; Van Staden, J., 2013. Isolation and characterisation of antimicrobial constituents of Searsia chirindenis L (Anacardiaceae) leaf extracts. J. Ethnopharmacol. 150, 609-613</w:t>
      </w:r>
    </w:p>
    <w:p w14:paraId="1300D77B" w14:textId="77777777" w:rsidR="00EF65F1" w:rsidRDefault="00EF65F1">
      <w:pPr>
        <w:spacing w:after="0" w:line="240" w:lineRule="auto"/>
        <w:ind w:hanging="567"/>
        <w:rPr>
          <w:rFonts w:ascii="Times New Roman" w:hAnsi="Times New Roman" w:cs="Times New Roman"/>
          <w:sz w:val="22"/>
          <w:szCs w:val="22"/>
        </w:rPr>
      </w:pPr>
    </w:p>
    <w:p w14:paraId="2257458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Masika, P.J. &amp; Afolayan, A.J., 2002. Antimicrobial activity of some plants used for the treatment of livestock deisease in the Eastern Cape, South Africa. J. Ethnopharmcol. 83, 129-134</w:t>
      </w:r>
    </w:p>
    <w:p w14:paraId="09141116" w14:textId="77777777" w:rsidR="00EF65F1" w:rsidRDefault="00EF65F1">
      <w:pPr>
        <w:spacing w:after="0" w:line="240" w:lineRule="auto"/>
        <w:ind w:left="567" w:hanging="567"/>
        <w:rPr>
          <w:rFonts w:ascii="Times New Roman" w:hAnsi="Times New Roman" w:cs="Times New Roman"/>
          <w:sz w:val="22"/>
          <w:szCs w:val="22"/>
        </w:rPr>
      </w:pPr>
    </w:p>
    <w:p w14:paraId="61E02AD1"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McCann, J.C., Elolimy, A.A. &amp; Loor, J.J., 2017. Rumen microbiome, probiotics, and fermentation additives. Vet. Clin. Food. Anim. 33, 539-553</w:t>
      </w:r>
    </w:p>
    <w:p w14:paraId="6FD78C1C" w14:textId="77777777" w:rsidR="00EF65F1" w:rsidRDefault="00EF65F1">
      <w:pPr>
        <w:spacing w:after="0" w:line="240" w:lineRule="auto"/>
        <w:ind w:left="567" w:hanging="567"/>
        <w:rPr>
          <w:rFonts w:ascii="Times New Roman" w:hAnsi="Times New Roman" w:cs="Times New Roman"/>
          <w:sz w:val="22"/>
          <w:szCs w:val="22"/>
        </w:rPr>
      </w:pPr>
    </w:p>
    <w:p w14:paraId="3B26F58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McGaw, L.J., Rabe, T., Sparg, S.G., Jäger, A.K., Eloff, J.N. &amp; van Staden, J., 2001. An invertigation on the biological activity of </w:t>
      </w:r>
      <w:r>
        <w:rPr>
          <w:rFonts w:ascii="Times New Roman" w:hAnsi="Times New Roman" w:cs="Times New Roman"/>
          <w:i/>
          <w:sz w:val="22"/>
          <w:szCs w:val="22"/>
        </w:rPr>
        <w:t xml:space="preserve">Combretum </w:t>
      </w:r>
      <w:r>
        <w:rPr>
          <w:rFonts w:ascii="Times New Roman" w:hAnsi="Times New Roman" w:cs="Times New Roman"/>
          <w:sz w:val="22"/>
          <w:szCs w:val="22"/>
        </w:rPr>
        <w:t>species. J. Ethnopharmacol. 75, 45-50</w:t>
      </w:r>
    </w:p>
    <w:p w14:paraId="60A4F58E" w14:textId="77777777" w:rsidR="00EF65F1" w:rsidRDefault="00EF65F1">
      <w:pPr>
        <w:spacing w:after="0" w:line="240" w:lineRule="auto"/>
        <w:ind w:left="567" w:hanging="567"/>
        <w:rPr>
          <w:rFonts w:ascii="Times New Roman" w:hAnsi="Times New Roman" w:cs="Times New Roman"/>
          <w:sz w:val="22"/>
          <w:szCs w:val="22"/>
        </w:rPr>
      </w:pPr>
    </w:p>
    <w:p w14:paraId="336D426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McGrath, J., Duval, S. M., Tamassia, L.F.M., Kindermann, M., Stemmler, R.T., de Gouvea, V.N., Acedo, T.S., Immig, I. &amp; Williams, S.N., 2018. Nutritional strategies in ruminants: A lifetime approach. Res. Vet. Sci. 116, 28-39</w:t>
      </w:r>
    </w:p>
    <w:p w14:paraId="0199EA0D" w14:textId="77777777" w:rsidR="00EF65F1" w:rsidRDefault="00EF65F1">
      <w:pPr>
        <w:spacing w:after="0" w:line="240" w:lineRule="auto"/>
        <w:ind w:left="567" w:hanging="567"/>
        <w:rPr>
          <w:rFonts w:ascii="Times New Roman" w:hAnsi="Times New Roman" w:cs="Times New Roman"/>
          <w:sz w:val="22"/>
          <w:szCs w:val="22"/>
        </w:rPr>
      </w:pPr>
    </w:p>
    <w:p w14:paraId="08B4ACC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Medjekal, S., Bodas, R., Bousseboua, H. &amp; López, S., 2017. Evaluation of three medicinal plants for methane production potential, fiber digestion and rumen fermentation </w:t>
      </w:r>
      <w:r>
        <w:rPr>
          <w:rFonts w:ascii="Times New Roman" w:hAnsi="Times New Roman" w:cs="Times New Roman"/>
          <w:i/>
          <w:sz w:val="22"/>
          <w:szCs w:val="22"/>
        </w:rPr>
        <w:t>in vitro</w:t>
      </w:r>
      <w:r>
        <w:rPr>
          <w:rFonts w:ascii="Times New Roman" w:hAnsi="Times New Roman" w:cs="Times New Roman"/>
          <w:sz w:val="22"/>
          <w:szCs w:val="22"/>
        </w:rPr>
        <w:t>. Enrgy. Proced. 119, 632-641</w:t>
      </w:r>
    </w:p>
    <w:p w14:paraId="1654D650" w14:textId="77777777" w:rsidR="00EF65F1" w:rsidRDefault="00EF65F1">
      <w:pPr>
        <w:spacing w:after="0" w:line="240" w:lineRule="auto"/>
        <w:ind w:left="567" w:hanging="567"/>
        <w:rPr>
          <w:rFonts w:ascii="Times New Roman" w:hAnsi="Times New Roman" w:cs="Times New Roman"/>
          <w:sz w:val="22"/>
          <w:szCs w:val="22"/>
        </w:rPr>
      </w:pPr>
    </w:p>
    <w:p w14:paraId="4FAE8AC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Mendel, M., Chlopecka, M., Dziekan, N. &amp; Karlik, W., 2017. Phytogenic feed additives as potential gut contractility modifiers- A review. Anim. Feed. Sci. Tech. 230, 30-46</w:t>
      </w:r>
    </w:p>
    <w:p w14:paraId="760DB51C" w14:textId="77777777" w:rsidR="00EF65F1" w:rsidRDefault="00EF65F1">
      <w:pPr>
        <w:spacing w:after="0" w:line="240" w:lineRule="auto"/>
        <w:ind w:left="567" w:hanging="567"/>
        <w:rPr>
          <w:rFonts w:ascii="Times New Roman" w:hAnsi="Times New Roman" w:cs="Times New Roman"/>
          <w:sz w:val="22"/>
          <w:szCs w:val="22"/>
        </w:rPr>
      </w:pPr>
    </w:p>
    <w:p w14:paraId="06E9F51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lastRenderedPageBreak/>
        <w:t>Miron, J., Ben-Ghedalia, D. &amp; Morrison, M., 2001. Invited review: Adhesion mechanisms of rumen cellulytic bacteria. J. Dairy. Sci. 84, 1294-1309</w:t>
      </w:r>
    </w:p>
    <w:p w14:paraId="586C98B9" w14:textId="77777777" w:rsidR="00EF65F1" w:rsidRDefault="00EF65F1">
      <w:pPr>
        <w:spacing w:after="0" w:line="240" w:lineRule="auto"/>
        <w:ind w:left="567" w:hanging="567"/>
        <w:rPr>
          <w:rFonts w:ascii="Times New Roman" w:hAnsi="Times New Roman" w:cs="Times New Roman"/>
          <w:sz w:val="22"/>
          <w:szCs w:val="22"/>
        </w:rPr>
      </w:pPr>
    </w:p>
    <w:p w14:paraId="592BC679"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Montenegro, J., Barrantes, E. &amp; DiLorenzo., 2016. Methane emissions by beef cattle consuming hay of varying quality in the dry forest ecosystem of Costa Rica. Livest. Sci. 193, 45-50 </w:t>
      </w:r>
    </w:p>
    <w:p w14:paraId="7F6A04EB" w14:textId="77777777" w:rsidR="00EF65F1" w:rsidRDefault="00EF65F1">
      <w:pPr>
        <w:spacing w:after="0" w:line="240" w:lineRule="auto"/>
        <w:ind w:left="567" w:hanging="567"/>
        <w:rPr>
          <w:rFonts w:ascii="Times New Roman" w:hAnsi="Times New Roman" w:cs="Times New Roman"/>
          <w:sz w:val="22"/>
          <w:szCs w:val="22"/>
        </w:rPr>
      </w:pPr>
    </w:p>
    <w:p w14:paraId="214B99F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Mould, F.L., Morgan, R., Kliem, K.E. &amp; Krystallidou, E., 2005. A review and simplification of the </w:t>
      </w:r>
      <w:r>
        <w:rPr>
          <w:rFonts w:ascii="Times New Roman" w:hAnsi="Times New Roman" w:cs="Times New Roman"/>
          <w:i/>
          <w:sz w:val="22"/>
          <w:szCs w:val="22"/>
        </w:rPr>
        <w:t xml:space="preserve">in vitro </w:t>
      </w:r>
      <w:r>
        <w:rPr>
          <w:rFonts w:ascii="Times New Roman" w:hAnsi="Times New Roman" w:cs="Times New Roman"/>
          <w:sz w:val="22"/>
          <w:szCs w:val="22"/>
        </w:rPr>
        <w:t>incubation medium. Anim. Feed. Sci. Tech. 123-124, 155-172</w:t>
      </w:r>
    </w:p>
    <w:p w14:paraId="6C5E7677" w14:textId="77777777" w:rsidR="00EF65F1" w:rsidRDefault="00EF65F1">
      <w:pPr>
        <w:spacing w:after="0" w:line="240" w:lineRule="auto"/>
        <w:ind w:left="567" w:hanging="567"/>
        <w:rPr>
          <w:rFonts w:ascii="Times New Roman" w:hAnsi="Times New Roman" w:cs="Times New Roman"/>
          <w:sz w:val="22"/>
          <w:szCs w:val="22"/>
        </w:rPr>
      </w:pPr>
    </w:p>
    <w:p w14:paraId="7EF395F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Mtunzi, F.M., Ejidike, I.P., Ledwaba, I., Ahmed, A., Pakade, V.E., Klink, M.J. &amp; Modise, S.J., 2017. Solvent-solvent fractionations of </w:t>
      </w:r>
      <w:r>
        <w:rPr>
          <w:rFonts w:ascii="Times New Roman" w:hAnsi="Times New Roman" w:cs="Times New Roman"/>
          <w:i/>
          <w:sz w:val="22"/>
          <w:szCs w:val="22"/>
        </w:rPr>
        <w:t xml:space="preserve">Combretum erythrophyllum </w:t>
      </w:r>
      <w:r>
        <w:rPr>
          <w:rFonts w:ascii="Times New Roman" w:hAnsi="Times New Roman" w:cs="Times New Roman"/>
          <w:sz w:val="22"/>
          <w:szCs w:val="22"/>
        </w:rPr>
        <w:t>(Burch.) leave extract: Studies of their antibacterial, antifungal, antioxidant and cytotoxicity potentials. Asian. Pac. J. Trop. Med. 10(7), 670-679</w:t>
      </w:r>
    </w:p>
    <w:p w14:paraId="61CDCDF8" w14:textId="77777777" w:rsidR="00EF65F1" w:rsidRDefault="00EF65F1">
      <w:pPr>
        <w:spacing w:after="0" w:line="240" w:lineRule="auto"/>
        <w:ind w:left="567" w:hanging="567"/>
        <w:rPr>
          <w:rFonts w:ascii="Times New Roman" w:hAnsi="Times New Roman" w:cs="Times New Roman"/>
          <w:sz w:val="22"/>
          <w:szCs w:val="22"/>
        </w:rPr>
      </w:pPr>
    </w:p>
    <w:p w14:paraId="2F6392D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National Department of Health, South Africa., 2015a. Implementation plan for the antimicrobial resistance strategy framework in South Africa: 2014-2019. </w:t>
      </w:r>
      <w:hyperlink r:id="rId34" w:history="1">
        <w:r>
          <w:rPr>
            <w:rStyle w:val="Hyperlink"/>
            <w:rFonts w:ascii="Times New Roman" w:hAnsi="Times New Roman" w:cs="Times New Roman"/>
            <w:sz w:val="22"/>
            <w:szCs w:val="22"/>
          </w:rPr>
          <w:t>http://www.health.gov.za/index.php/component/phocadownload/category/199-antimicrobial-resistance#</w:t>
        </w:r>
      </w:hyperlink>
      <w:r>
        <w:rPr>
          <w:rFonts w:ascii="Times New Roman" w:hAnsi="Times New Roman" w:cs="Times New Roman"/>
          <w:sz w:val="22"/>
          <w:szCs w:val="22"/>
        </w:rPr>
        <w:t>. (Accessed on 13 August 2018).</w:t>
      </w:r>
    </w:p>
    <w:p w14:paraId="1A0408BC" w14:textId="77777777" w:rsidR="00EF65F1" w:rsidRDefault="00EF65F1">
      <w:pPr>
        <w:spacing w:after="0" w:line="240" w:lineRule="auto"/>
        <w:ind w:left="567" w:hanging="567"/>
        <w:rPr>
          <w:rFonts w:ascii="Times New Roman" w:hAnsi="Times New Roman" w:cs="Times New Roman"/>
          <w:sz w:val="22"/>
          <w:szCs w:val="22"/>
        </w:rPr>
      </w:pPr>
    </w:p>
    <w:p w14:paraId="27CFDF9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National Department of Health, South Africa., 2015b. Antimicrobial Resistance National Strategy Framework 2014-2024. </w:t>
      </w:r>
      <w:hyperlink r:id="rId35" w:history="1">
        <w:r>
          <w:rPr>
            <w:rStyle w:val="Hyperlink"/>
            <w:rFonts w:ascii="Times New Roman" w:hAnsi="Times New Roman" w:cs="Times New Roman"/>
            <w:sz w:val="22"/>
            <w:szCs w:val="22"/>
          </w:rPr>
          <w:t>http://www.health.gov.za/index.php/component/phocadownload/category/199-antimicrobial-resistance#</w:t>
        </w:r>
      </w:hyperlink>
      <w:r>
        <w:rPr>
          <w:rFonts w:ascii="Times New Roman" w:hAnsi="Times New Roman" w:cs="Times New Roman"/>
          <w:sz w:val="22"/>
          <w:szCs w:val="22"/>
        </w:rPr>
        <w:t>. (Accessed on 13 August 2018).</w:t>
      </w:r>
    </w:p>
    <w:p w14:paraId="6CC1DF79" w14:textId="77777777" w:rsidR="00EF65F1" w:rsidRDefault="00EF65F1">
      <w:pPr>
        <w:spacing w:after="0" w:line="240" w:lineRule="auto"/>
        <w:ind w:left="567" w:hanging="567"/>
        <w:rPr>
          <w:rFonts w:ascii="Times New Roman" w:hAnsi="Times New Roman" w:cs="Times New Roman"/>
          <w:sz w:val="22"/>
          <w:szCs w:val="22"/>
        </w:rPr>
      </w:pPr>
    </w:p>
    <w:p w14:paraId="64A71E9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National Department of Health, South Africa., 2015c. Antimicrobial resistance background document. </w:t>
      </w:r>
      <w:hyperlink r:id="rId36" w:history="1">
        <w:r>
          <w:rPr>
            <w:rStyle w:val="Hyperlink"/>
            <w:rFonts w:ascii="Times New Roman" w:hAnsi="Times New Roman" w:cs="Times New Roman"/>
            <w:sz w:val="22"/>
            <w:szCs w:val="22"/>
          </w:rPr>
          <w:t>http://www.health.gov.za/index.php/component/phocadownload/category/199-antimicrobial-resistance#</w:t>
        </w:r>
      </w:hyperlink>
      <w:r>
        <w:rPr>
          <w:rFonts w:ascii="Times New Roman" w:hAnsi="Times New Roman" w:cs="Times New Roman"/>
          <w:sz w:val="22"/>
          <w:szCs w:val="22"/>
        </w:rPr>
        <w:t>. (Accessed on 13 August 2018).</w:t>
      </w:r>
    </w:p>
    <w:p w14:paraId="7A4C7305" w14:textId="77777777" w:rsidR="00EF65F1" w:rsidRDefault="00EF65F1">
      <w:pPr>
        <w:spacing w:after="0" w:line="240" w:lineRule="auto"/>
        <w:ind w:hanging="567"/>
        <w:rPr>
          <w:rFonts w:ascii="Times New Roman" w:hAnsi="Times New Roman" w:cs="Times New Roman"/>
          <w:sz w:val="22"/>
          <w:szCs w:val="22"/>
        </w:rPr>
      </w:pPr>
    </w:p>
    <w:p w14:paraId="61E5788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Patra, A.K. &amp; Saxena, J., 2010. A new perspective on the use of plant secondary compounds to inhibit methanogenesis in the rumen.  Photochemistry 71, 1198-1222 </w:t>
      </w:r>
    </w:p>
    <w:p w14:paraId="3B4ED599" w14:textId="77777777" w:rsidR="00EF65F1" w:rsidRDefault="00EF65F1">
      <w:pPr>
        <w:spacing w:after="0" w:line="240" w:lineRule="auto"/>
        <w:ind w:left="567" w:hanging="567"/>
        <w:rPr>
          <w:rFonts w:ascii="Times New Roman" w:hAnsi="Times New Roman" w:cs="Times New Roman"/>
          <w:sz w:val="22"/>
          <w:szCs w:val="22"/>
        </w:rPr>
      </w:pPr>
    </w:p>
    <w:p w14:paraId="5A652BA4"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Pillay, C.C.N., Jäger, A.K., Mulholland, D.A. &amp; van Staden, J., 2001. Cyclooxygenase inhibiting and anti-bacterial activities of South African </w:t>
      </w:r>
      <w:r>
        <w:rPr>
          <w:rFonts w:ascii="Times New Roman" w:hAnsi="Times New Roman" w:cs="Times New Roman"/>
          <w:i/>
          <w:sz w:val="22"/>
          <w:szCs w:val="22"/>
        </w:rPr>
        <w:t xml:space="preserve">Eythrina </w:t>
      </w:r>
      <w:r>
        <w:rPr>
          <w:rFonts w:ascii="Times New Roman" w:hAnsi="Times New Roman" w:cs="Times New Roman"/>
          <w:sz w:val="22"/>
          <w:szCs w:val="22"/>
        </w:rPr>
        <w:t>species. J. Ethnopharmoco. 74, 231-237</w:t>
      </w:r>
    </w:p>
    <w:p w14:paraId="76482358" w14:textId="77777777" w:rsidR="00EF65F1" w:rsidRDefault="00EF65F1">
      <w:pPr>
        <w:spacing w:after="0" w:line="240" w:lineRule="auto"/>
        <w:ind w:left="567" w:hanging="567"/>
        <w:rPr>
          <w:rFonts w:ascii="Times New Roman" w:hAnsi="Times New Roman" w:cs="Times New Roman"/>
          <w:sz w:val="22"/>
          <w:szCs w:val="22"/>
        </w:rPr>
      </w:pPr>
    </w:p>
    <w:p w14:paraId="4880CEF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Rochfort, S., Parker, A.J. &amp; Dunshea, F. R., 2008. Plant bioactives for ruminant health and productivity. Phytochemistry. 69, 299-322. </w:t>
      </w:r>
    </w:p>
    <w:p w14:paraId="1090DE6F" w14:textId="77777777" w:rsidR="00EF65F1" w:rsidRDefault="00EF65F1">
      <w:pPr>
        <w:spacing w:after="0" w:line="240" w:lineRule="auto"/>
        <w:ind w:left="567" w:hanging="567"/>
        <w:rPr>
          <w:rFonts w:ascii="Times New Roman" w:hAnsi="Times New Roman" w:cs="Times New Roman"/>
          <w:sz w:val="22"/>
          <w:szCs w:val="22"/>
        </w:rPr>
      </w:pPr>
    </w:p>
    <w:p w14:paraId="20B1EFB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Rodriguez, R., Fondevila, M. &amp; Castrillo, C., 2009. </w:t>
      </w:r>
      <w:r>
        <w:rPr>
          <w:rFonts w:ascii="Times New Roman" w:hAnsi="Times New Roman" w:cs="Times New Roman"/>
          <w:i/>
          <w:sz w:val="22"/>
          <w:szCs w:val="22"/>
        </w:rPr>
        <w:t xml:space="preserve">In vitro </w:t>
      </w:r>
      <w:r>
        <w:rPr>
          <w:rFonts w:ascii="Times New Roman" w:hAnsi="Times New Roman" w:cs="Times New Roman"/>
          <w:sz w:val="22"/>
          <w:szCs w:val="22"/>
        </w:rPr>
        <w:t xml:space="preserve">ruminal fermentation of </w:t>
      </w:r>
      <w:r>
        <w:rPr>
          <w:rFonts w:ascii="Times New Roman" w:hAnsi="Times New Roman" w:cs="Times New Roman"/>
          <w:i/>
          <w:sz w:val="22"/>
          <w:szCs w:val="22"/>
        </w:rPr>
        <w:t xml:space="preserve">Pennisetum purpureum </w:t>
      </w:r>
      <w:r>
        <w:rPr>
          <w:rFonts w:ascii="Times New Roman" w:hAnsi="Times New Roman" w:cs="Times New Roman"/>
          <w:sz w:val="22"/>
          <w:szCs w:val="22"/>
        </w:rPr>
        <w:t>CT-115 supplemented with four tropical browse legume species. Anim. Feed. Sci. Tech. 151, 65-74</w:t>
      </w:r>
    </w:p>
    <w:p w14:paraId="6546EDF7" w14:textId="77777777" w:rsidR="00EF65F1" w:rsidRDefault="00EF65F1">
      <w:pPr>
        <w:spacing w:after="0" w:line="240" w:lineRule="auto"/>
        <w:ind w:left="567" w:hanging="567"/>
        <w:rPr>
          <w:rFonts w:ascii="Times New Roman" w:hAnsi="Times New Roman" w:cs="Times New Roman"/>
          <w:sz w:val="22"/>
          <w:szCs w:val="22"/>
        </w:rPr>
      </w:pPr>
    </w:p>
    <w:p w14:paraId="6D24016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Rodriguez, R., Britos, A., Rodriguez-Romero, N. &amp; Fondevila, M., 2011. Effect of plant extracts from several tanniferous browse legumes on </w:t>
      </w:r>
      <w:r>
        <w:rPr>
          <w:rFonts w:ascii="Times New Roman" w:hAnsi="Times New Roman" w:cs="Times New Roman"/>
          <w:i/>
          <w:sz w:val="22"/>
          <w:szCs w:val="22"/>
        </w:rPr>
        <w:t xml:space="preserve">in vitro </w:t>
      </w:r>
      <w:r>
        <w:rPr>
          <w:rFonts w:ascii="Times New Roman" w:hAnsi="Times New Roman" w:cs="Times New Roman"/>
          <w:sz w:val="22"/>
          <w:szCs w:val="22"/>
        </w:rPr>
        <w:t xml:space="preserve">microbial fermentation of the tropical grass </w:t>
      </w:r>
      <w:r>
        <w:rPr>
          <w:rFonts w:ascii="Times New Roman" w:hAnsi="Times New Roman" w:cs="Times New Roman"/>
          <w:i/>
          <w:sz w:val="22"/>
          <w:szCs w:val="22"/>
        </w:rPr>
        <w:t>Pennisetum purpuruem</w:t>
      </w:r>
      <w:r>
        <w:rPr>
          <w:rFonts w:ascii="Times New Roman" w:hAnsi="Times New Roman" w:cs="Times New Roman"/>
          <w:sz w:val="22"/>
          <w:szCs w:val="22"/>
        </w:rPr>
        <w:t>. Anim. Feed. Sci. Tech. 168, 188-195</w:t>
      </w:r>
    </w:p>
    <w:p w14:paraId="1957DDF6" w14:textId="77777777" w:rsidR="00EF65F1" w:rsidRDefault="00EF65F1">
      <w:pPr>
        <w:spacing w:after="0" w:line="240" w:lineRule="auto"/>
        <w:ind w:left="567" w:hanging="567"/>
        <w:rPr>
          <w:rFonts w:ascii="Times New Roman" w:hAnsi="Times New Roman" w:cs="Times New Roman"/>
          <w:sz w:val="22"/>
          <w:szCs w:val="22"/>
        </w:rPr>
      </w:pPr>
    </w:p>
    <w:p w14:paraId="5AEAE9B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Rojas-Downing, M.M., Nejadhashemi, A.P., Harrigan, T. &amp; Woznicki, S.A., 2017. Climate change and livestock: Impacts, adaption, and mitigation. Clim. Risk. Manag. 16, 145-163</w:t>
      </w:r>
    </w:p>
    <w:p w14:paraId="011569BA" w14:textId="77777777" w:rsidR="00EF65F1" w:rsidRDefault="00EF65F1">
      <w:pPr>
        <w:spacing w:after="0" w:line="240" w:lineRule="auto"/>
        <w:ind w:left="567" w:hanging="567"/>
        <w:rPr>
          <w:rFonts w:ascii="Times New Roman" w:hAnsi="Times New Roman" w:cs="Times New Roman"/>
          <w:sz w:val="22"/>
          <w:szCs w:val="22"/>
        </w:rPr>
      </w:pPr>
    </w:p>
    <w:p w14:paraId="2D85C04A"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Russell, J.B. &amp; Houlihan, A.J., 2003. Ionophore resistance of ruminal bacteria and its potential impact on human health. Fems. Microbiol. Rev. 27, 65-74</w:t>
      </w:r>
    </w:p>
    <w:p w14:paraId="7F2EA7CE" w14:textId="77777777" w:rsidR="00EF65F1" w:rsidRDefault="00EF65F1">
      <w:pPr>
        <w:spacing w:after="0" w:line="240" w:lineRule="auto"/>
        <w:ind w:left="567" w:hanging="567"/>
        <w:rPr>
          <w:rFonts w:ascii="Times New Roman" w:hAnsi="Times New Roman" w:cs="Times New Roman"/>
          <w:sz w:val="22"/>
          <w:szCs w:val="22"/>
        </w:rPr>
      </w:pPr>
    </w:p>
    <w:p w14:paraId="3BE875C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SAS, 2014. SAS version 9.4. SAS Institute INC. USA</w:t>
      </w:r>
    </w:p>
    <w:p w14:paraId="5FFAE666" w14:textId="77777777" w:rsidR="00EF65F1" w:rsidRDefault="00EF65F1">
      <w:pPr>
        <w:spacing w:after="0" w:line="240" w:lineRule="auto"/>
        <w:ind w:left="567" w:hanging="567"/>
        <w:rPr>
          <w:rFonts w:ascii="Times New Roman" w:hAnsi="Times New Roman" w:cs="Times New Roman"/>
          <w:sz w:val="22"/>
          <w:szCs w:val="22"/>
        </w:rPr>
      </w:pPr>
    </w:p>
    <w:p w14:paraId="3765BD1C"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Salem, A.Z.A., López, S. &amp; Robinson, P.H., 2012. Preface: Plant bioactive compounds in ruminant agriculture-Impacts and opportunities. Anim. Feed. Sci. Tech. 176, 1-4</w:t>
      </w:r>
    </w:p>
    <w:p w14:paraId="55149DC8" w14:textId="77777777" w:rsidR="00EF65F1" w:rsidRDefault="00EF65F1">
      <w:pPr>
        <w:spacing w:after="0" w:line="240" w:lineRule="auto"/>
        <w:ind w:left="567" w:hanging="567"/>
        <w:rPr>
          <w:rFonts w:ascii="Times New Roman" w:hAnsi="Times New Roman" w:cs="Times New Roman"/>
          <w:sz w:val="22"/>
          <w:szCs w:val="22"/>
        </w:rPr>
      </w:pPr>
    </w:p>
    <w:p w14:paraId="12F5EDD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Santos, E., Ham, J. &amp; Wagner-Riddle., 2018. AFM special issue- Greenhouse gas and ammonia emissions from livestock production. Agr. Forest. Meteorol. 258, 1-2</w:t>
      </w:r>
    </w:p>
    <w:p w14:paraId="7FB2A91F" w14:textId="77777777" w:rsidR="00EF65F1" w:rsidRDefault="00EF65F1">
      <w:pPr>
        <w:spacing w:after="0" w:line="240" w:lineRule="auto"/>
        <w:ind w:left="567" w:hanging="567"/>
        <w:rPr>
          <w:rFonts w:ascii="Times New Roman" w:hAnsi="Times New Roman" w:cs="Times New Roman"/>
          <w:sz w:val="22"/>
          <w:szCs w:val="22"/>
        </w:rPr>
      </w:pPr>
    </w:p>
    <w:p w14:paraId="040EFDCE"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Schellack, N., Benjamin, D., Brink, A., Duse, A., Faure, K., Goff, D., Mendelson, M., Meyer, J., Miot, J., Perovic, O. &amp; Pople, T., 2017. A situational analysis of current antimicrobial governance, regulation, and utilisation in South Africa. Int. J. Infect. Dis. 64, 100-106 </w:t>
      </w:r>
    </w:p>
    <w:p w14:paraId="4E2B7EE8" w14:textId="77777777" w:rsidR="00EF65F1" w:rsidRDefault="00EF65F1">
      <w:pPr>
        <w:spacing w:after="0" w:line="240" w:lineRule="auto"/>
        <w:ind w:left="567" w:hanging="567"/>
        <w:rPr>
          <w:rFonts w:ascii="Times New Roman" w:hAnsi="Times New Roman" w:cs="Times New Roman"/>
          <w:sz w:val="22"/>
          <w:szCs w:val="22"/>
        </w:rPr>
      </w:pPr>
    </w:p>
    <w:p w14:paraId="75B0778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Seymore, R., Inglesi-Lotz, R. &amp; Blignaut, J., 2014. A greenhouse gas emissions inventory for South Africa: A comparartive analysis. Renew. Sust. Energ. Rev. 34, 371-379</w:t>
      </w:r>
    </w:p>
    <w:p w14:paraId="0DE64971" w14:textId="77777777" w:rsidR="00EF65F1" w:rsidRDefault="00EF65F1">
      <w:pPr>
        <w:spacing w:after="0" w:line="240" w:lineRule="auto"/>
        <w:ind w:left="567" w:hanging="567"/>
        <w:rPr>
          <w:rFonts w:ascii="Times New Roman" w:hAnsi="Times New Roman" w:cs="Times New Roman"/>
          <w:sz w:val="22"/>
          <w:szCs w:val="22"/>
        </w:rPr>
      </w:pPr>
    </w:p>
    <w:p w14:paraId="569C2DF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Singh, B., Sahoo, A., Sharma, R. &amp; Bhat, T.K., 2005. Effect of polyethylene glycol on gas production parameters and nitrogen disappearance of some tree forages. Anim. Feed. Sci. Tech. 123-124, 351-364</w:t>
      </w:r>
    </w:p>
    <w:p w14:paraId="409C6C98" w14:textId="77777777" w:rsidR="00EF65F1" w:rsidRDefault="00EF65F1">
      <w:pPr>
        <w:spacing w:after="0" w:line="240" w:lineRule="auto"/>
        <w:ind w:left="567" w:hanging="567"/>
        <w:rPr>
          <w:rFonts w:ascii="Times New Roman" w:hAnsi="Times New Roman" w:cs="Times New Roman"/>
          <w:sz w:val="22"/>
          <w:szCs w:val="22"/>
        </w:rPr>
      </w:pPr>
    </w:p>
    <w:p w14:paraId="4BFED377"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Snyman, L.D., 1991. Nutritive value of maize residues in comparison with </w:t>
      </w:r>
      <w:r>
        <w:rPr>
          <w:rFonts w:ascii="Times New Roman" w:hAnsi="Times New Roman" w:cs="Times New Roman"/>
          <w:i/>
          <w:sz w:val="22"/>
          <w:szCs w:val="22"/>
        </w:rPr>
        <w:t xml:space="preserve">Eragrostis curvula </w:t>
      </w:r>
      <w:r>
        <w:rPr>
          <w:rFonts w:ascii="Times New Roman" w:hAnsi="Times New Roman" w:cs="Times New Roman"/>
          <w:sz w:val="22"/>
          <w:szCs w:val="22"/>
        </w:rPr>
        <w:t>hay as feed for sheep. Anim. Feed. Sci. Tech. 34, 213-227</w:t>
      </w:r>
    </w:p>
    <w:p w14:paraId="0A036AAE" w14:textId="77777777" w:rsidR="00EF65F1" w:rsidRDefault="00EF65F1">
      <w:pPr>
        <w:spacing w:after="0" w:line="240" w:lineRule="auto"/>
        <w:ind w:left="567" w:hanging="567"/>
        <w:rPr>
          <w:rFonts w:ascii="Times New Roman" w:hAnsi="Times New Roman" w:cs="Times New Roman"/>
          <w:sz w:val="22"/>
          <w:szCs w:val="22"/>
        </w:rPr>
      </w:pPr>
    </w:p>
    <w:p w14:paraId="40203EA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Soliva, C.R., Zeleke, A.B., Clément, C., Hess, H.D., Fievez, V. &amp; Kreuzer, M., 2008. </w:t>
      </w:r>
      <w:r>
        <w:rPr>
          <w:rFonts w:ascii="Times New Roman" w:hAnsi="Times New Roman" w:cs="Times New Roman"/>
          <w:i/>
          <w:sz w:val="22"/>
          <w:szCs w:val="22"/>
        </w:rPr>
        <w:t xml:space="preserve">In vitro </w:t>
      </w:r>
      <w:r>
        <w:rPr>
          <w:rFonts w:ascii="Times New Roman" w:hAnsi="Times New Roman" w:cs="Times New Roman"/>
          <w:sz w:val="22"/>
          <w:szCs w:val="22"/>
        </w:rPr>
        <w:t>screening of various tropical foliages, seeds, fruits and medicinal plants for low methane and high ammonia generating potentials in the rumen. Anim. Feed. Sci. Tech. 147, 53-71</w:t>
      </w:r>
    </w:p>
    <w:p w14:paraId="30102AF1" w14:textId="77777777" w:rsidR="00EF65F1" w:rsidRDefault="00EF65F1">
      <w:pPr>
        <w:spacing w:after="0" w:line="240" w:lineRule="auto"/>
        <w:ind w:left="567" w:hanging="567"/>
        <w:rPr>
          <w:rFonts w:ascii="Times New Roman" w:hAnsi="Times New Roman" w:cs="Times New Roman"/>
          <w:sz w:val="22"/>
          <w:szCs w:val="22"/>
        </w:rPr>
      </w:pPr>
    </w:p>
    <w:p w14:paraId="774C21B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Soltan, Y.A., Hashem, N.M., Morsy, A.S., El-Azrak, K.M. &amp; Nour El-Din, A., 2018. Comparative effects of </w:t>
      </w:r>
      <w:r>
        <w:rPr>
          <w:rFonts w:ascii="Times New Roman" w:hAnsi="Times New Roman" w:cs="Times New Roman"/>
          <w:i/>
          <w:sz w:val="22"/>
          <w:szCs w:val="22"/>
        </w:rPr>
        <w:t xml:space="preserve">Moringa oleifera </w:t>
      </w:r>
      <w:r>
        <w:rPr>
          <w:rFonts w:ascii="Times New Roman" w:hAnsi="Times New Roman" w:cs="Times New Roman"/>
          <w:sz w:val="22"/>
          <w:szCs w:val="22"/>
        </w:rPr>
        <w:t>root bark and monensin supplementations on ruminal fermentation, nutrient digestibility and growth performance of growing lambs. Anim. Feed. Sci. Tech. 235, 189-201</w:t>
      </w:r>
    </w:p>
    <w:p w14:paraId="3EB62BDE" w14:textId="77777777" w:rsidR="00EF65F1" w:rsidRDefault="00EF65F1">
      <w:pPr>
        <w:spacing w:after="0" w:line="240" w:lineRule="auto"/>
        <w:ind w:left="567" w:hanging="567"/>
        <w:rPr>
          <w:rFonts w:ascii="Times New Roman" w:hAnsi="Times New Roman" w:cs="Times New Roman"/>
          <w:sz w:val="22"/>
          <w:szCs w:val="22"/>
        </w:rPr>
      </w:pPr>
    </w:p>
    <w:p w14:paraId="6DBDBB1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Tefera, S., Mlambo, V., Dlamini, B.J., Dlamini, A.M., Koralagama, K.D.N. &amp; Mould, F.L., 2008. Chemical composition and </w:t>
      </w:r>
      <w:r>
        <w:rPr>
          <w:rFonts w:ascii="Times New Roman" w:hAnsi="Times New Roman" w:cs="Times New Roman"/>
          <w:i/>
          <w:sz w:val="22"/>
          <w:szCs w:val="22"/>
        </w:rPr>
        <w:t xml:space="preserve">in vitro </w:t>
      </w:r>
      <w:r>
        <w:rPr>
          <w:rFonts w:ascii="Times New Roman" w:hAnsi="Times New Roman" w:cs="Times New Roman"/>
          <w:sz w:val="22"/>
          <w:szCs w:val="22"/>
        </w:rPr>
        <w:t>ruminal fermentation of common tree forages in the semi-arid ranglelands of Swaziland. Anim. Feed. Sci. Tech. 142, 99-110</w:t>
      </w:r>
    </w:p>
    <w:p w14:paraId="22BF3A39" w14:textId="77777777" w:rsidR="00EF65F1" w:rsidRDefault="00EF65F1">
      <w:pPr>
        <w:spacing w:after="0" w:line="240" w:lineRule="auto"/>
        <w:ind w:left="567" w:hanging="567"/>
        <w:rPr>
          <w:rFonts w:ascii="Times New Roman" w:hAnsi="Times New Roman" w:cs="Times New Roman"/>
          <w:sz w:val="22"/>
          <w:szCs w:val="22"/>
        </w:rPr>
      </w:pPr>
    </w:p>
    <w:p w14:paraId="1D2960A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Theodorou, M.K., Williams, B.A., Dhanoa, M.S., McAllen, A.B. &amp; France, J., 1994. A simple gas production method using pressure transducers to determine the fermentation kinetics of ruminant feed. Anim. Feed. Sci. Tech. 48, 185-197</w:t>
      </w:r>
    </w:p>
    <w:p w14:paraId="576E504B" w14:textId="77777777" w:rsidR="00EF65F1" w:rsidRDefault="00EF65F1">
      <w:pPr>
        <w:spacing w:after="0" w:line="240" w:lineRule="auto"/>
        <w:ind w:left="567" w:hanging="567"/>
        <w:rPr>
          <w:rFonts w:ascii="Times New Roman" w:hAnsi="Times New Roman" w:cs="Times New Roman"/>
          <w:sz w:val="22"/>
          <w:szCs w:val="22"/>
        </w:rPr>
      </w:pPr>
    </w:p>
    <w:p w14:paraId="3E0B34B9"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Thornton, P.K., van de Steeg, J., Notenbaert, A. &amp; Herrero, M., 2009. The impacts of climate change on livestock and livestock systems in developing countries: A review of what we know and what we need to know. Agr. Syst. 101, 113-127</w:t>
      </w:r>
    </w:p>
    <w:p w14:paraId="4EF27120" w14:textId="77777777" w:rsidR="00EF65F1" w:rsidRDefault="00EF65F1">
      <w:pPr>
        <w:spacing w:after="0" w:line="240" w:lineRule="auto"/>
        <w:ind w:left="567" w:hanging="567"/>
        <w:rPr>
          <w:rFonts w:ascii="Times New Roman" w:hAnsi="Times New Roman" w:cs="Times New Roman"/>
          <w:sz w:val="22"/>
          <w:szCs w:val="22"/>
        </w:rPr>
      </w:pPr>
    </w:p>
    <w:p w14:paraId="45EAC33F"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Tilley, J.M.A &amp; Terry, R.A., 1963. A two-stage technique for the </w:t>
      </w:r>
      <w:r>
        <w:rPr>
          <w:rFonts w:ascii="Times New Roman" w:hAnsi="Times New Roman" w:cs="Times New Roman"/>
          <w:i/>
          <w:sz w:val="22"/>
          <w:szCs w:val="22"/>
        </w:rPr>
        <w:t>in vitro</w:t>
      </w:r>
      <w:r>
        <w:rPr>
          <w:rFonts w:ascii="Times New Roman" w:hAnsi="Times New Roman" w:cs="Times New Roman"/>
          <w:sz w:val="22"/>
          <w:szCs w:val="22"/>
        </w:rPr>
        <w:t xml:space="preserve"> digestion of forage crops. J.Brit. Grassld Soc. 18,104.</w:t>
      </w:r>
    </w:p>
    <w:p w14:paraId="5A5133EF" w14:textId="77777777" w:rsidR="00EF65F1" w:rsidRDefault="00EF65F1">
      <w:pPr>
        <w:spacing w:after="0" w:line="240" w:lineRule="auto"/>
        <w:ind w:left="567" w:hanging="567"/>
        <w:rPr>
          <w:rFonts w:ascii="Times New Roman" w:hAnsi="Times New Roman" w:cs="Times New Roman"/>
          <w:sz w:val="22"/>
          <w:szCs w:val="22"/>
        </w:rPr>
      </w:pPr>
    </w:p>
    <w:p w14:paraId="78422ED0"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Tomkins, N.W., Denman, S.E., Pilajun, R., Wanapat, M., McSweeney, C.S. &amp; Elliott, R., 2015. Manipulating rumen fermentation and methanogenesis using an essential oil and monensin in beef cattle fed a tropical grass hay. Anim. Feed. Sci. Tech. 200, 25-34</w:t>
      </w:r>
    </w:p>
    <w:p w14:paraId="1E0ADD59" w14:textId="77777777" w:rsidR="00EF65F1" w:rsidRDefault="00EF65F1">
      <w:pPr>
        <w:spacing w:after="0" w:line="240" w:lineRule="auto"/>
        <w:ind w:left="567" w:hanging="567"/>
        <w:rPr>
          <w:rFonts w:ascii="Times New Roman" w:hAnsi="Times New Roman" w:cs="Times New Roman"/>
          <w:sz w:val="22"/>
          <w:szCs w:val="22"/>
        </w:rPr>
      </w:pPr>
    </w:p>
    <w:p w14:paraId="21DA5582"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Tsala, D.E., &amp; Nnanga Nga, E., 2013. Combretum Erythrophyllum. In: Schmelzer, G.H., &amp; Gurib-Fakim, A. (editors). Plant Resources of Tropical Africa 11(2). Medicinal Plants 2. PROTA Foundation, Wageningen, Netherlands/ CTA, Wageningen, Netherlands. pp. 70-73</w:t>
      </w:r>
    </w:p>
    <w:p w14:paraId="500F1C37" w14:textId="77777777" w:rsidR="00EF65F1" w:rsidRDefault="00EF65F1">
      <w:pPr>
        <w:spacing w:after="0" w:line="240" w:lineRule="auto"/>
        <w:ind w:left="567" w:hanging="567"/>
        <w:rPr>
          <w:rFonts w:ascii="Times New Roman" w:hAnsi="Times New Roman" w:cs="Times New Roman"/>
          <w:sz w:val="22"/>
          <w:szCs w:val="22"/>
        </w:rPr>
      </w:pPr>
    </w:p>
    <w:p w14:paraId="6EBA4876"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Ulger, I., Kamalak, A., Kurt, O., Kaya, E. &amp; Guven, I., 2017. Comparison of the chemical composition and anti-methanogenic potential of </w:t>
      </w:r>
      <w:r>
        <w:rPr>
          <w:rFonts w:ascii="Times New Roman" w:hAnsi="Times New Roman" w:cs="Times New Roman"/>
          <w:i/>
          <w:sz w:val="22"/>
          <w:szCs w:val="22"/>
        </w:rPr>
        <w:t xml:space="preserve">Liquidambar orientalis </w:t>
      </w:r>
      <w:r>
        <w:rPr>
          <w:rFonts w:ascii="Times New Roman" w:hAnsi="Times New Roman" w:cs="Times New Roman"/>
          <w:sz w:val="22"/>
          <w:szCs w:val="22"/>
        </w:rPr>
        <w:t xml:space="preserve">leaves with </w:t>
      </w:r>
      <w:r>
        <w:rPr>
          <w:rFonts w:ascii="Times New Roman" w:hAnsi="Times New Roman" w:cs="Times New Roman"/>
          <w:i/>
          <w:sz w:val="22"/>
          <w:szCs w:val="22"/>
        </w:rPr>
        <w:t xml:space="preserve">Lauras nobilis </w:t>
      </w:r>
      <w:r>
        <w:rPr>
          <w:rFonts w:ascii="Times New Roman" w:hAnsi="Times New Roman" w:cs="Times New Roman"/>
          <w:sz w:val="22"/>
          <w:szCs w:val="22"/>
        </w:rPr>
        <w:t xml:space="preserve">and </w:t>
      </w:r>
      <w:r>
        <w:rPr>
          <w:rFonts w:ascii="Times New Roman" w:hAnsi="Times New Roman" w:cs="Times New Roman"/>
          <w:i/>
          <w:sz w:val="22"/>
          <w:szCs w:val="22"/>
        </w:rPr>
        <w:t xml:space="preserve">Eucalyptus globulus </w:t>
      </w:r>
      <w:r>
        <w:rPr>
          <w:rFonts w:ascii="Times New Roman" w:hAnsi="Times New Roman" w:cs="Times New Roman"/>
          <w:sz w:val="22"/>
          <w:szCs w:val="22"/>
        </w:rPr>
        <w:t xml:space="preserve">leaves using an </w:t>
      </w:r>
      <w:r>
        <w:rPr>
          <w:rFonts w:ascii="Times New Roman" w:hAnsi="Times New Roman" w:cs="Times New Roman"/>
          <w:i/>
          <w:sz w:val="22"/>
          <w:szCs w:val="22"/>
        </w:rPr>
        <w:t xml:space="preserve">in vitro </w:t>
      </w:r>
      <w:r>
        <w:rPr>
          <w:rFonts w:ascii="Times New Roman" w:hAnsi="Times New Roman" w:cs="Times New Roman"/>
          <w:sz w:val="22"/>
          <w:szCs w:val="22"/>
        </w:rPr>
        <w:t>gas production technique. Cienc. Investig. Agrar. 44(1), 75-82</w:t>
      </w:r>
    </w:p>
    <w:p w14:paraId="7B7AD8F0" w14:textId="77777777" w:rsidR="00EF65F1" w:rsidRDefault="00EF65F1">
      <w:pPr>
        <w:spacing w:after="0" w:line="240" w:lineRule="auto"/>
        <w:ind w:left="567" w:hanging="567"/>
        <w:rPr>
          <w:rFonts w:ascii="Times New Roman" w:hAnsi="Times New Roman" w:cs="Times New Roman"/>
          <w:sz w:val="22"/>
          <w:szCs w:val="22"/>
        </w:rPr>
      </w:pPr>
    </w:p>
    <w:p w14:paraId="32E17BFB"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lastRenderedPageBreak/>
        <w:t xml:space="preserve">Valenzuela-Grijalva., N.V., Pinelli- Saavedra., A., Muhlia-Almazan., A., Dominguez-Diaz, D. &amp; González-Rios., 2017. Dietary inclusion effects of phytochemicals as growth promoters in animal production. J. Anim. Sci. Tech. 59:8 </w:t>
      </w:r>
    </w:p>
    <w:p w14:paraId="0F5E0B5A" w14:textId="77777777" w:rsidR="00EF65F1" w:rsidRDefault="00EF65F1">
      <w:pPr>
        <w:spacing w:after="0" w:line="240" w:lineRule="auto"/>
        <w:ind w:hanging="567"/>
        <w:rPr>
          <w:rFonts w:ascii="Times New Roman" w:hAnsi="Times New Roman" w:cs="Times New Roman"/>
          <w:sz w:val="22"/>
          <w:szCs w:val="22"/>
        </w:rPr>
      </w:pPr>
    </w:p>
    <w:p w14:paraId="25E633E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van Wyk, B. &amp; van Wyk, P., 2009. Field guide to trees of Sothern Africa. 12</w:t>
      </w:r>
      <w:r>
        <w:rPr>
          <w:rFonts w:ascii="Times New Roman" w:hAnsi="Times New Roman" w:cs="Times New Roman"/>
          <w:sz w:val="22"/>
          <w:szCs w:val="22"/>
          <w:vertAlign w:val="superscript"/>
        </w:rPr>
        <w:t>th</w:t>
      </w:r>
      <w:r>
        <w:rPr>
          <w:rFonts w:ascii="Times New Roman" w:hAnsi="Times New Roman" w:cs="Times New Roman"/>
          <w:sz w:val="22"/>
          <w:szCs w:val="22"/>
        </w:rPr>
        <w:t xml:space="preserve"> ed. Struik Publishers. Cape Town. South Africa</w:t>
      </w:r>
    </w:p>
    <w:p w14:paraId="0B619483" w14:textId="77777777" w:rsidR="00EF65F1" w:rsidRDefault="00EF65F1">
      <w:pPr>
        <w:spacing w:after="0" w:line="240" w:lineRule="auto"/>
        <w:ind w:left="567" w:hanging="567"/>
        <w:rPr>
          <w:rFonts w:ascii="Times New Roman" w:hAnsi="Times New Roman" w:cs="Times New Roman"/>
          <w:sz w:val="22"/>
          <w:szCs w:val="22"/>
        </w:rPr>
      </w:pPr>
    </w:p>
    <w:p w14:paraId="398B2188"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van Wyk, B.E., van Oudtshoorn, B. &amp; Gericke, N., 2013. Medicinal Plants of South Africa. 2</w:t>
      </w:r>
      <w:r>
        <w:rPr>
          <w:rFonts w:ascii="Times New Roman" w:hAnsi="Times New Roman" w:cs="Times New Roman"/>
          <w:sz w:val="22"/>
          <w:szCs w:val="22"/>
          <w:vertAlign w:val="superscript"/>
        </w:rPr>
        <w:t>nd</w:t>
      </w:r>
      <w:r>
        <w:rPr>
          <w:rFonts w:ascii="Times New Roman" w:hAnsi="Times New Roman" w:cs="Times New Roman"/>
          <w:sz w:val="22"/>
          <w:szCs w:val="22"/>
        </w:rPr>
        <w:t xml:space="preserve"> ed. Briza Publications. Queenswood, South Africa. </w:t>
      </w:r>
    </w:p>
    <w:p w14:paraId="2992443C" w14:textId="77777777" w:rsidR="00EF65F1" w:rsidRDefault="00EF65F1">
      <w:pPr>
        <w:spacing w:after="0" w:line="240" w:lineRule="auto"/>
        <w:ind w:left="567" w:hanging="567"/>
        <w:rPr>
          <w:rFonts w:ascii="Times New Roman" w:hAnsi="Times New Roman" w:cs="Times New Roman"/>
          <w:sz w:val="22"/>
          <w:szCs w:val="22"/>
        </w:rPr>
      </w:pPr>
    </w:p>
    <w:p w14:paraId="6B5085DD"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Van Vuuren, S.F., Viljoen, A.M., Őzek,T., Demirci, B. &amp; Başer, K.H.C., 2007. Seasonal and geographical variation of </w:t>
      </w:r>
      <w:r>
        <w:rPr>
          <w:rFonts w:ascii="Times New Roman" w:hAnsi="Times New Roman" w:cs="Times New Roman"/>
          <w:i/>
          <w:sz w:val="22"/>
          <w:szCs w:val="22"/>
        </w:rPr>
        <w:t xml:space="preserve">Heteropyxis natalensis </w:t>
      </w:r>
      <w:r>
        <w:rPr>
          <w:rFonts w:ascii="Times New Roman" w:hAnsi="Times New Roman" w:cs="Times New Roman"/>
          <w:sz w:val="22"/>
          <w:szCs w:val="22"/>
        </w:rPr>
        <w:t>essential oil and the effect thereof on the antimicrobial activity. S. Afr. J. Bot. 73, 441-448</w:t>
      </w:r>
    </w:p>
    <w:p w14:paraId="0B2C67D9" w14:textId="77777777" w:rsidR="00EF65F1" w:rsidRDefault="00EF65F1">
      <w:pPr>
        <w:spacing w:after="0" w:line="240" w:lineRule="auto"/>
        <w:ind w:left="567" w:hanging="567"/>
        <w:rPr>
          <w:rFonts w:ascii="Times New Roman" w:hAnsi="Times New Roman" w:cs="Times New Roman"/>
          <w:sz w:val="22"/>
          <w:szCs w:val="22"/>
        </w:rPr>
      </w:pPr>
    </w:p>
    <w:p w14:paraId="4198AD59"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Van Vuuren., S.F., 2008. Antibacterial activity of South African medicinal plants. J. Ethnopharmacol. 119, 462-472 </w:t>
      </w:r>
    </w:p>
    <w:p w14:paraId="193F0E0B" w14:textId="77777777" w:rsidR="00EF65F1" w:rsidRDefault="00EF65F1">
      <w:pPr>
        <w:spacing w:after="0" w:line="240" w:lineRule="auto"/>
        <w:ind w:left="567" w:hanging="567"/>
        <w:rPr>
          <w:rFonts w:ascii="Times New Roman" w:hAnsi="Times New Roman" w:cs="Times New Roman"/>
          <w:sz w:val="22"/>
          <w:szCs w:val="22"/>
        </w:rPr>
      </w:pPr>
    </w:p>
    <w:p w14:paraId="230A8641"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Würger, G., McGaw, L.J. &amp; Eloff, J.N., 2014. Tannin content of leaf extracts of 53 trees used traditionally to treat diarrhoea is an important criterion in selecting species for further work. S. Afric. J. Bot. 90, 114-117</w:t>
      </w:r>
    </w:p>
    <w:p w14:paraId="65CD1F50" w14:textId="77777777" w:rsidR="00EF65F1" w:rsidRDefault="00EF65F1">
      <w:pPr>
        <w:spacing w:after="0" w:line="240" w:lineRule="auto"/>
        <w:ind w:left="567" w:hanging="567"/>
        <w:rPr>
          <w:rFonts w:ascii="Times New Roman" w:hAnsi="Times New Roman" w:cs="Times New Roman"/>
          <w:sz w:val="22"/>
          <w:szCs w:val="22"/>
        </w:rPr>
      </w:pPr>
    </w:p>
    <w:p w14:paraId="093726A5" w14:textId="77777777" w:rsidR="00EF65F1" w:rsidRDefault="00484A18">
      <w:pPr>
        <w:spacing w:after="0" w:line="240" w:lineRule="auto"/>
        <w:ind w:left="567" w:hanging="567"/>
        <w:rPr>
          <w:rFonts w:ascii="Times New Roman" w:hAnsi="Times New Roman" w:cs="Times New Roman"/>
          <w:sz w:val="22"/>
          <w:szCs w:val="22"/>
        </w:rPr>
      </w:pPr>
      <w:r>
        <w:rPr>
          <w:rFonts w:ascii="Times New Roman" w:hAnsi="Times New Roman" w:cs="Times New Roman"/>
          <w:sz w:val="22"/>
          <w:szCs w:val="22"/>
        </w:rPr>
        <w:t xml:space="preserve">Yáñez-Riuz, D.R., Bannink, A., Dijkstra, J., Kebreab, E., Morgavi, D.P., O’Kiely, P., Reynolds, C.K., Schwarm, A., Shingfield, K.J., Yu, Z. &amp; Hristov, A.N., 2016. Design, implementation and interpretation of </w:t>
      </w:r>
      <w:r>
        <w:rPr>
          <w:rFonts w:ascii="Times New Roman" w:hAnsi="Times New Roman" w:cs="Times New Roman"/>
          <w:i/>
          <w:sz w:val="22"/>
          <w:szCs w:val="22"/>
        </w:rPr>
        <w:t>in vitro</w:t>
      </w:r>
      <w:r>
        <w:rPr>
          <w:rFonts w:ascii="Times New Roman" w:hAnsi="Times New Roman" w:cs="Times New Roman"/>
          <w:sz w:val="22"/>
          <w:szCs w:val="22"/>
        </w:rPr>
        <w:t xml:space="preserve"> batch culture experiments to assess enteric methane mitigation in ruminants- a review. Anim. Feed. Sci. Tech. 216, 1-18</w:t>
      </w:r>
    </w:p>
    <w:p w14:paraId="23D22E9B" w14:textId="77777777" w:rsidR="00EF65F1" w:rsidRDefault="00EF65F1">
      <w:pPr>
        <w:spacing w:after="0" w:line="240" w:lineRule="auto"/>
        <w:ind w:left="567" w:hanging="567"/>
        <w:rPr>
          <w:rFonts w:ascii="Times New Roman" w:hAnsi="Times New Roman" w:cs="Times New Roman"/>
          <w:sz w:val="22"/>
          <w:szCs w:val="22"/>
        </w:rPr>
      </w:pPr>
    </w:p>
    <w:p w14:paraId="5152BFA8" w14:textId="77777777" w:rsidR="00EF65F1" w:rsidRDefault="00484A18">
      <w:pPr>
        <w:ind w:left="567" w:hanging="567"/>
        <w:rPr>
          <w:szCs w:val="20"/>
        </w:rPr>
        <w:sectPr w:rsidR="00EF65F1">
          <w:pgSz w:w="11906" w:h="16838"/>
          <w:pgMar w:top="1440" w:right="1440" w:bottom="1440" w:left="1440" w:header="709" w:footer="709" w:gutter="0"/>
          <w:cols w:space="708"/>
          <w:docGrid w:linePitch="360"/>
        </w:sectPr>
      </w:pPr>
      <w:r>
        <w:rPr>
          <w:rFonts w:ascii="Times New Roman" w:hAnsi="Times New Roman" w:cs="Times New Roman"/>
          <w:sz w:val="22"/>
          <w:szCs w:val="22"/>
        </w:rPr>
        <w:t xml:space="preserve">Zhong, R., Fang, Y., Sun, H., Wang, M. &amp; Zhou, D., 2016. Rumen methane output and fermentation characteristics of gramineous forage and leguminous forage at different harvest dates determined using and </w:t>
      </w:r>
      <w:r>
        <w:rPr>
          <w:rFonts w:ascii="Times New Roman" w:hAnsi="Times New Roman" w:cs="Times New Roman"/>
          <w:i/>
          <w:sz w:val="22"/>
          <w:szCs w:val="22"/>
        </w:rPr>
        <w:t xml:space="preserve">in vitro </w:t>
      </w:r>
      <w:r>
        <w:rPr>
          <w:rFonts w:ascii="Times New Roman" w:hAnsi="Times New Roman" w:cs="Times New Roman"/>
          <w:sz w:val="22"/>
          <w:szCs w:val="22"/>
        </w:rPr>
        <w:t>gas production technique. J. Integr. Agr. 15, 414-423</w:t>
      </w:r>
    </w:p>
    <w:p w14:paraId="6E8F7794" w14:textId="77777777" w:rsidR="00EF65F1" w:rsidRDefault="00484A18">
      <w:pPr>
        <w:pStyle w:val="Heading1"/>
        <w:numPr>
          <w:ilvl w:val="0"/>
          <w:numId w:val="0"/>
        </w:numPr>
        <w:jc w:val="center"/>
        <w:rPr>
          <w:rFonts w:ascii="Times New Roman" w:hAnsi="Times New Roman" w:cs="Times New Roman"/>
          <w:b/>
          <w:color w:val="auto"/>
          <w:sz w:val="28"/>
          <w:szCs w:val="28"/>
        </w:rPr>
      </w:pPr>
      <w:bookmarkStart w:id="207" w:name="_Toc2691169"/>
      <w:bookmarkEnd w:id="205"/>
      <w:r>
        <w:rPr>
          <w:rFonts w:ascii="Times New Roman" w:hAnsi="Times New Roman" w:cs="Times New Roman"/>
          <w:b/>
          <w:color w:val="auto"/>
          <w:sz w:val="28"/>
          <w:szCs w:val="28"/>
        </w:rPr>
        <w:lastRenderedPageBreak/>
        <w:t>Appendix A</w:t>
      </w:r>
      <w:bookmarkEnd w:id="207"/>
    </w:p>
    <w:p w14:paraId="10EB6A05" w14:textId="77777777" w:rsidR="00EF65F1" w:rsidRDefault="00EF65F1"/>
    <w:p w14:paraId="324F0208" w14:textId="77777777" w:rsidR="00EF65F1" w:rsidRDefault="00EF65F1">
      <w:pPr>
        <w:rPr>
          <w:rFonts w:ascii="Times New Roman" w:hAnsi="Times New Roman" w:cs="Times New Roman"/>
          <w:sz w:val="24"/>
          <w:szCs w:val="24"/>
        </w:rPr>
      </w:pPr>
    </w:p>
    <w:p w14:paraId="1C0DB9EF" w14:textId="77777777" w:rsidR="00EF65F1" w:rsidRDefault="00484A18">
      <w:pPr>
        <w:keepNext/>
        <w:jc w:val="center"/>
        <w:rPr>
          <w:rFonts w:ascii="Times New Roman" w:hAnsi="Times New Roman" w:cs="Times New Roman"/>
          <w:sz w:val="24"/>
          <w:szCs w:val="24"/>
        </w:rPr>
      </w:pPr>
      <w:r>
        <w:rPr>
          <w:rFonts w:ascii="Times New Roman" w:hAnsi="Times New Roman" w:cs="Times New Roman"/>
          <w:noProof/>
          <w:sz w:val="24"/>
          <w:szCs w:val="24"/>
          <w:lang w:eastAsia="en-ZA"/>
        </w:rPr>
        <w:drawing>
          <wp:inline distT="0" distB="0" distL="0" distR="0" wp14:anchorId="4B147091" wp14:editId="6A2F4B42">
            <wp:extent cx="7920000" cy="3960000"/>
            <wp:effectExtent l="0" t="0" r="5080" b="2540"/>
            <wp:docPr id="6" name="Chart 6">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5A2D52C" w14:textId="42A2A837" w:rsidR="00EF65F1" w:rsidRDefault="00484A18">
      <w:pPr>
        <w:pStyle w:val="Caption"/>
        <w:rPr>
          <w:rFonts w:ascii="Times New Roman" w:hAnsi="Times New Roman" w:cs="Times New Roman"/>
          <w:i w:val="0"/>
          <w:color w:val="auto"/>
          <w:sz w:val="24"/>
          <w:szCs w:val="24"/>
        </w:rPr>
      </w:pPr>
      <w:bookmarkStart w:id="208" w:name="_Toc530513038"/>
      <w:bookmarkStart w:id="209" w:name="_Toc2606363"/>
      <w:r>
        <w:rPr>
          <w:rFonts w:ascii="Times New Roman" w:hAnsi="Times New Roman" w:cs="Times New Roman"/>
          <w:i w:val="0"/>
          <w:color w:val="auto"/>
          <w:sz w:val="24"/>
          <w:szCs w:val="24"/>
        </w:rPr>
        <w:t xml:space="preserve">Figure A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Figure_A \* ARABIC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1</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Lower standard curve of </w:t>
      </w:r>
      <w:bookmarkEnd w:id="208"/>
      <w:r>
        <w:rPr>
          <w:rFonts w:ascii="Times New Roman" w:hAnsi="Times New Roman" w:cs="Times New Roman"/>
          <w:i w:val="0"/>
          <w:color w:val="auto"/>
          <w:sz w:val="24"/>
          <w:szCs w:val="24"/>
        </w:rPr>
        <w:t>gas chromatograph for methane area versus parts per million</w:t>
      </w:r>
      <w:bookmarkEnd w:id="209"/>
    </w:p>
    <w:p w14:paraId="62D8E089" w14:textId="77777777" w:rsidR="00EF65F1" w:rsidRDefault="00EF65F1">
      <w:pPr>
        <w:rPr>
          <w:lang w:val="en-GB"/>
        </w:rPr>
      </w:pPr>
    </w:p>
    <w:p w14:paraId="352AC2A9" w14:textId="77777777" w:rsidR="00EF65F1" w:rsidRDefault="00EF65F1">
      <w:pPr>
        <w:rPr>
          <w:lang w:val="en-GB"/>
        </w:rPr>
      </w:pPr>
    </w:p>
    <w:p w14:paraId="447A8D89" w14:textId="77777777" w:rsidR="00EF65F1" w:rsidRDefault="00484A18">
      <w:pPr>
        <w:keepNext/>
        <w:jc w:val="center"/>
        <w:rPr>
          <w:rFonts w:ascii="Times New Roman" w:hAnsi="Times New Roman" w:cs="Times New Roman"/>
          <w:sz w:val="24"/>
          <w:szCs w:val="24"/>
        </w:rPr>
      </w:pPr>
      <w:r>
        <w:rPr>
          <w:rFonts w:ascii="Times New Roman" w:hAnsi="Times New Roman" w:cs="Times New Roman"/>
          <w:noProof/>
          <w:sz w:val="24"/>
          <w:szCs w:val="24"/>
          <w:lang w:eastAsia="en-ZA"/>
        </w:rPr>
        <w:lastRenderedPageBreak/>
        <w:drawing>
          <wp:inline distT="0" distB="0" distL="0" distR="0" wp14:anchorId="336701FD" wp14:editId="11C406AD">
            <wp:extent cx="7920000" cy="3960000"/>
            <wp:effectExtent l="0" t="0" r="5080" b="2540"/>
            <wp:docPr id="9" name="Chart 9">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C9486D4" w14:textId="1C97E4A0" w:rsidR="00EF65F1" w:rsidRDefault="00484A18">
      <w:pPr>
        <w:pStyle w:val="Caption"/>
        <w:rPr>
          <w:rFonts w:ascii="Times New Roman" w:hAnsi="Times New Roman" w:cs="Times New Roman"/>
          <w:i w:val="0"/>
          <w:color w:val="auto"/>
          <w:sz w:val="24"/>
          <w:szCs w:val="24"/>
        </w:rPr>
      </w:pPr>
      <w:bookmarkStart w:id="210" w:name="_Toc530513039"/>
      <w:bookmarkStart w:id="211" w:name="_Toc2606364"/>
      <w:r>
        <w:rPr>
          <w:rFonts w:ascii="Times New Roman" w:hAnsi="Times New Roman" w:cs="Times New Roman"/>
          <w:i w:val="0"/>
          <w:color w:val="auto"/>
          <w:sz w:val="24"/>
          <w:szCs w:val="24"/>
        </w:rPr>
        <w:t xml:space="preserve">Figure A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SEQ Figure_A \* ARABIC </w:instrText>
      </w:r>
      <w:r>
        <w:rPr>
          <w:rFonts w:ascii="Times New Roman" w:hAnsi="Times New Roman" w:cs="Times New Roman"/>
          <w:i w:val="0"/>
          <w:color w:val="auto"/>
          <w:sz w:val="24"/>
          <w:szCs w:val="24"/>
        </w:rPr>
        <w:fldChar w:fldCharType="separate"/>
      </w:r>
      <w:r w:rsidR="00E604B8">
        <w:rPr>
          <w:rFonts w:ascii="Times New Roman" w:hAnsi="Times New Roman" w:cs="Times New Roman"/>
          <w:i w:val="0"/>
          <w:noProof/>
          <w:color w:val="auto"/>
          <w:sz w:val="24"/>
          <w:szCs w:val="24"/>
        </w:rPr>
        <w:t>2</w:t>
      </w:r>
      <w:r>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 xml:space="preserve"> Upper standard curve</w:t>
      </w:r>
      <w:bookmarkEnd w:id="210"/>
      <w:r>
        <w:rPr>
          <w:rFonts w:ascii="Times New Roman" w:hAnsi="Times New Roman" w:cs="Times New Roman"/>
          <w:i w:val="0"/>
          <w:color w:val="auto"/>
          <w:sz w:val="24"/>
          <w:szCs w:val="24"/>
        </w:rPr>
        <w:t xml:space="preserve"> of gas chromatograph for methane area versus parts per million</w:t>
      </w:r>
      <w:bookmarkEnd w:id="211"/>
    </w:p>
    <w:sectPr w:rsidR="00EF65F1">
      <w:pgSz w:w="16838" w:h="11906" w:orient="landscape"/>
      <w:pgMar w:top="720" w:right="720" w:bottom="720" w:left="72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51E4FC" w14:textId="77777777" w:rsidR="009E233E" w:rsidRDefault="009E233E">
      <w:pPr>
        <w:spacing w:after="0" w:line="240" w:lineRule="auto"/>
      </w:pPr>
      <w:r>
        <w:separator/>
      </w:r>
    </w:p>
  </w:endnote>
  <w:endnote w:type="continuationSeparator" w:id="0">
    <w:p w14:paraId="32217578" w14:textId="77777777" w:rsidR="009E233E" w:rsidRDefault="009E2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73119562"/>
      <w:docPartObj>
        <w:docPartGallery w:val="Page Numbers (Bottom of Page)"/>
        <w:docPartUnique/>
      </w:docPartObj>
    </w:sdtPr>
    <w:sdtEndPr>
      <w:rPr>
        <w:noProof/>
      </w:rPr>
    </w:sdtEndPr>
    <w:sdtContent>
      <w:p w14:paraId="0A724FF7" w14:textId="77777777" w:rsidR="002B4BC1" w:rsidRDefault="002B4BC1">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542625059"/>
      <w:docPartObj>
        <w:docPartGallery w:val="Page Numbers (Bottom of Page)"/>
        <w:docPartUnique/>
      </w:docPartObj>
    </w:sdtPr>
    <w:sdtEndPr>
      <w:rPr>
        <w:noProof/>
      </w:rPr>
    </w:sdtEndPr>
    <w:sdtContent>
      <w:p w14:paraId="7CDA6DAC" w14:textId="77777777" w:rsidR="002B4BC1" w:rsidRDefault="002B4BC1">
        <w:pPr>
          <w:pStyle w:val="Footer"/>
          <w:jc w:val="center"/>
          <w:rPr>
            <w:rFonts w:ascii="Times New Roman" w:hAnsi="Times New Roman" w:cs="Times New Roman"/>
            <w:noProof/>
          </w:rPr>
        </w:pP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Pr>
            <w:rFonts w:ascii="Times New Roman" w:hAnsi="Times New Roman" w:cs="Times New Roman"/>
            <w:noProof/>
          </w:rPr>
          <w:t>87</w:t>
        </w:r>
        <w:r>
          <w:rPr>
            <w:rFonts w:ascii="Times New Roman" w:hAnsi="Times New Roman" w:cs="Times New Roman"/>
            <w:noProof/>
          </w:rPr>
          <w:fldChar w:fldCharType="end"/>
        </w:r>
      </w:p>
    </w:sdtContent>
  </w:sdt>
  <w:p w14:paraId="62AE666E" w14:textId="77777777" w:rsidR="002B4BC1" w:rsidRDefault="002B4BC1">
    <w:pPr>
      <w:pStyle w:val="Footer"/>
      <w:tabs>
        <w:tab w:val="clear" w:pos="4513"/>
        <w:tab w:val="clear" w:pos="9026"/>
        <w:tab w:val="left" w:pos="6212"/>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77F12E" w14:textId="77777777" w:rsidR="009E233E" w:rsidRDefault="009E233E">
      <w:pPr>
        <w:spacing w:after="0" w:line="240" w:lineRule="auto"/>
      </w:pPr>
      <w:r>
        <w:separator/>
      </w:r>
    </w:p>
  </w:footnote>
  <w:footnote w:type="continuationSeparator" w:id="0">
    <w:p w14:paraId="6E255732" w14:textId="77777777" w:rsidR="009E233E" w:rsidRDefault="009E23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C9F0C" w14:textId="77777777" w:rsidR="002B4BC1" w:rsidRDefault="002B4BC1">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30578"/>
    <w:multiLevelType w:val="hybridMultilevel"/>
    <w:tmpl w:val="E3D0450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90B09AF"/>
    <w:multiLevelType w:val="hybridMultilevel"/>
    <w:tmpl w:val="7F240B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1805351E"/>
    <w:multiLevelType w:val="multilevel"/>
    <w:tmpl w:val="2902ABD4"/>
    <w:lvl w:ilvl="0">
      <w:start w:val="1"/>
      <w:numFmt w:val="decimal"/>
      <w:lvlText w:val="%1."/>
      <w:lvlJc w:val="left"/>
      <w:pPr>
        <w:ind w:left="1647" w:hanging="360"/>
      </w:pPr>
      <w:rPr>
        <w:rFonts w:hint="default"/>
      </w:rPr>
    </w:lvl>
    <w:lvl w:ilvl="1">
      <w:start w:val="1"/>
      <w:numFmt w:val="decimal"/>
      <w:isLgl/>
      <w:lvlText w:val="%1.%2"/>
      <w:lvlJc w:val="left"/>
      <w:pPr>
        <w:ind w:left="2007" w:hanging="360"/>
      </w:pPr>
      <w:rPr>
        <w:rFonts w:hint="default"/>
      </w:rPr>
    </w:lvl>
    <w:lvl w:ilvl="2">
      <w:start w:val="1"/>
      <w:numFmt w:val="decimal"/>
      <w:isLgl/>
      <w:lvlText w:val="%1.%2.%3"/>
      <w:lvlJc w:val="left"/>
      <w:pPr>
        <w:ind w:left="2727" w:hanging="720"/>
      </w:pPr>
      <w:rPr>
        <w:rFonts w:hint="default"/>
      </w:rPr>
    </w:lvl>
    <w:lvl w:ilvl="3">
      <w:start w:val="1"/>
      <w:numFmt w:val="decimal"/>
      <w:isLgl/>
      <w:lvlText w:val="%1.%2.%3.%4"/>
      <w:lvlJc w:val="left"/>
      <w:pPr>
        <w:ind w:left="3087" w:hanging="720"/>
      </w:pPr>
      <w:rPr>
        <w:rFonts w:hint="default"/>
      </w:rPr>
    </w:lvl>
    <w:lvl w:ilvl="4">
      <w:start w:val="1"/>
      <w:numFmt w:val="decimal"/>
      <w:isLgl/>
      <w:lvlText w:val="%1.%2.%3.%4.%5"/>
      <w:lvlJc w:val="left"/>
      <w:pPr>
        <w:ind w:left="3807" w:hanging="1080"/>
      </w:pPr>
      <w:rPr>
        <w:rFonts w:hint="default"/>
      </w:rPr>
    </w:lvl>
    <w:lvl w:ilvl="5">
      <w:start w:val="1"/>
      <w:numFmt w:val="decimal"/>
      <w:isLgl/>
      <w:lvlText w:val="%1.%2.%3.%4.%5.%6"/>
      <w:lvlJc w:val="left"/>
      <w:pPr>
        <w:ind w:left="4167" w:hanging="1080"/>
      </w:pPr>
      <w:rPr>
        <w:rFonts w:hint="default"/>
      </w:rPr>
    </w:lvl>
    <w:lvl w:ilvl="6">
      <w:start w:val="1"/>
      <w:numFmt w:val="decimal"/>
      <w:isLgl/>
      <w:lvlText w:val="%1.%2.%3.%4.%5.%6.%7"/>
      <w:lvlJc w:val="left"/>
      <w:pPr>
        <w:ind w:left="4887" w:hanging="1440"/>
      </w:pPr>
      <w:rPr>
        <w:rFonts w:hint="default"/>
      </w:rPr>
    </w:lvl>
    <w:lvl w:ilvl="7">
      <w:start w:val="1"/>
      <w:numFmt w:val="decimal"/>
      <w:isLgl/>
      <w:lvlText w:val="%1.%2.%3.%4.%5.%6.%7.%8"/>
      <w:lvlJc w:val="left"/>
      <w:pPr>
        <w:ind w:left="5247" w:hanging="1440"/>
      </w:pPr>
      <w:rPr>
        <w:rFonts w:hint="default"/>
      </w:rPr>
    </w:lvl>
    <w:lvl w:ilvl="8">
      <w:start w:val="1"/>
      <w:numFmt w:val="decimal"/>
      <w:isLgl/>
      <w:lvlText w:val="%1.%2.%3.%4.%5.%6.%7.%8.%9"/>
      <w:lvlJc w:val="left"/>
      <w:pPr>
        <w:ind w:left="5967" w:hanging="1800"/>
      </w:pPr>
      <w:rPr>
        <w:rFonts w:hint="default"/>
      </w:rPr>
    </w:lvl>
  </w:abstractNum>
  <w:abstractNum w:abstractNumId="3" w15:restartNumberingAfterBreak="0">
    <w:nsid w:val="1EF13923"/>
    <w:multiLevelType w:val="multilevel"/>
    <w:tmpl w:val="82602296"/>
    <w:lvl w:ilvl="0">
      <w:start w:val="1"/>
      <w:numFmt w:val="decimal"/>
      <w:suff w:val="space"/>
      <w:lvlText w:val="Chapter %1:"/>
      <w:lvlJc w:val="center"/>
      <w:pPr>
        <w:ind w:left="0" w:firstLine="288"/>
      </w:pPr>
      <w:rPr>
        <w:rFonts w:ascii="Arial" w:hAnsi="Arial" w:hint="default"/>
        <w:b/>
        <w:i w:val="0"/>
        <w:color w:val="auto"/>
        <w:sz w:val="24"/>
      </w:rPr>
    </w:lvl>
    <w:lvl w:ilvl="1">
      <w:start w:val="1"/>
      <w:numFmt w:val="decimal"/>
      <w:suff w:val="space"/>
      <w:lvlText w:val="%1.%2."/>
      <w:lvlJc w:val="left"/>
      <w:pPr>
        <w:ind w:left="0" w:firstLine="0"/>
      </w:pPr>
      <w:rPr>
        <w:rFonts w:ascii="Arial" w:hAnsi="Arial" w:hint="default"/>
        <w:color w:val="auto"/>
        <w:sz w:val="22"/>
      </w:rPr>
    </w:lvl>
    <w:lvl w:ilvl="2">
      <w:start w:val="1"/>
      <w:numFmt w:val="decimal"/>
      <w:suff w:val="space"/>
      <w:lvlText w:val="%1.%2.%3."/>
      <w:lvlJc w:val="left"/>
      <w:pPr>
        <w:ind w:left="142" w:firstLine="0"/>
      </w:pPr>
      <w:rPr>
        <w:rFonts w:ascii="Arial" w:hAnsi="Arial" w:hint="default"/>
        <w:color w:val="auto"/>
        <w:sz w:val="20"/>
      </w:rPr>
    </w:lvl>
    <w:lvl w:ilvl="3">
      <w:start w:val="1"/>
      <w:numFmt w:val="decimal"/>
      <w:suff w:val="space"/>
      <w:lvlText w:val="%1.%2.%3.%4."/>
      <w:lvlJc w:val="left"/>
      <w:pPr>
        <w:ind w:left="0" w:firstLine="0"/>
      </w:pPr>
      <w:rPr>
        <w:rFonts w:ascii="Arial" w:hAnsi="Arial" w:hint="default"/>
        <w:color w:val="auto"/>
        <w:sz w:val="20"/>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4" w15:restartNumberingAfterBreak="0">
    <w:nsid w:val="2F5E61D8"/>
    <w:multiLevelType w:val="hybridMultilevel"/>
    <w:tmpl w:val="BF22248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35E66C0C"/>
    <w:multiLevelType w:val="multilevel"/>
    <w:tmpl w:val="61A8D63E"/>
    <w:lvl w:ilvl="0">
      <w:start w:val="1"/>
      <w:numFmt w:val="decimal"/>
      <w:pStyle w:val="Heading1"/>
      <w:suff w:val="space"/>
      <w:lvlText w:val="Chapter %1:"/>
      <w:lvlJc w:val="left"/>
      <w:pPr>
        <w:ind w:left="141" w:firstLine="0"/>
      </w:pPr>
      <w:rPr>
        <w:rFonts w:ascii="Times New Roman" w:hAnsi="Times New Roman" w:cs="Times New Roman" w:hint="default"/>
        <w:color w:val="auto"/>
        <w:sz w:val="28"/>
        <w:szCs w:val="28"/>
      </w:rPr>
    </w:lvl>
    <w:lvl w:ilvl="1">
      <w:start w:val="1"/>
      <w:numFmt w:val="decimal"/>
      <w:pStyle w:val="Heading2"/>
      <w:suff w:val="space"/>
      <w:lvlText w:val="%1.%2."/>
      <w:lvlJc w:val="left"/>
      <w:pPr>
        <w:ind w:left="0" w:firstLine="0"/>
      </w:pPr>
      <w:rPr>
        <w:rFonts w:ascii="Arial" w:hAnsi="Arial" w:hint="default"/>
        <w:color w:val="auto"/>
        <w:sz w:val="22"/>
      </w:rPr>
    </w:lvl>
    <w:lvl w:ilvl="2">
      <w:start w:val="1"/>
      <w:numFmt w:val="decimal"/>
      <w:pStyle w:val="Heading3"/>
      <w:suff w:val="space"/>
      <w:lvlText w:val="%1.%2.%3."/>
      <w:lvlJc w:val="left"/>
      <w:pPr>
        <w:ind w:left="283" w:firstLine="0"/>
      </w:pPr>
      <w:rPr>
        <w:rFonts w:ascii="Times New Roman" w:hAnsi="Times New Roman" w:cs="Times New Roman" w:hint="default"/>
        <w:b w:val="0"/>
        <w:color w:val="auto"/>
        <w:sz w:val="24"/>
        <w:szCs w:val="24"/>
      </w:rPr>
    </w:lvl>
    <w:lvl w:ilvl="3">
      <w:start w:val="1"/>
      <w:numFmt w:val="decimal"/>
      <w:pStyle w:val="Heading4"/>
      <w:suff w:val="space"/>
      <w:lvlText w:val="%1.%2.%3.%4."/>
      <w:lvlJc w:val="left"/>
      <w:pPr>
        <w:ind w:left="0" w:firstLine="0"/>
      </w:pPr>
      <w:rPr>
        <w:rFonts w:ascii="Arial" w:hAnsi="Arial" w:hint="default"/>
        <w:color w:val="auto"/>
        <w:sz w:val="20"/>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C733BBE"/>
    <w:multiLevelType w:val="hybridMultilevel"/>
    <w:tmpl w:val="73BEDF8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42306ED3"/>
    <w:multiLevelType w:val="hybridMultilevel"/>
    <w:tmpl w:val="C0C8487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427C4808"/>
    <w:multiLevelType w:val="hybridMultilevel"/>
    <w:tmpl w:val="236E80FC"/>
    <w:lvl w:ilvl="0" w:tplc="1C090001">
      <w:start w:val="1"/>
      <w:numFmt w:val="bullet"/>
      <w:lvlText w:val=""/>
      <w:lvlJc w:val="left"/>
      <w:pPr>
        <w:ind w:left="1287" w:hanging="360"/>
      </w:pPr>
      <w:rPr>
        <w:rFonts w:ascii="Symbol" w:hAnsi="Symbol" w:hint="default"/>
      </w:rPr>
    </w:lvl>
    <w:lvl w:ilvl="1" w:tplc="1C090003" w:tentative="1">
      <w:start w:val="1"/>
      <w:numFmt w:val="bullet"/>
      <w:lvlText w:val="o"/>
      <w:lvlJc w:val="left"/>
      <w:pPr>
        <w:ind w:left="2007" w:hanging="360"/>
      </w:pPr>
      <w:rPr>
        <w:rFonts w:ascii="Courier New" w:hAnsi="Courier New" w:cs="Courier New" w:hint="default"/>
      </w:rPr>
    </w:lvl>
    <w:lvl w:ilvl="2" w:tplc="1C090005" w:tentative="1">
      <w:start w:val="1"/>
      <w:numFmt w:val="bullet"/>
      <w:lvlText w:val=""/>
      <w:lvlJc w:val="left"/>
      <w:pPr>
        <w:ind w:left="2727" w:hanging="360"/>
      </w:pPr>
      <w:rPr>
        <w:rFonts w:ascii="Wingdings" w:hAnsi="Wingdings" w:hint="default"/>
      </w:rPr>
    </w:lvl>
    <w:lvl w:ilvl="3" w:tplc="1C090001" w:tentative="1">
      <w:start w:val="1"/>
      <w:numFmt w:val="bullet"/>
      <w:lvlText w:val=""/>
      <w:lvlJc w:val="left"/>
      <w:pPr>
        <w:ind w:left="3447" w:hanging="360"/>
      </w:pPr>
      <w:rPr>
        <w:rFonts w:ascii="Symbol" w:hAnsi="Symbol" w:hint="default"/>
      </w:rPr>
    </w:lvl>
    <w:lvl w:ilvl="4" w:tplc="1C090003" w:tentative="1">
      <w:start w:val="1"/>
      <w:numFmt w:val="bullet"/>
      <w:lvlText w:val="o"/>
      <w:lvlJc w:val="left"/>
      <w:pPr>
        <w:ind w:left="4167" w:hanging="360"/>
      </w:pPr>
      <w:rPr>
        <w:rFonts w:ascii="Courier New" w:hAnsi="Courier New" w:cs="Courier New" w:hint="default"/>
      </w:rPr>
    </w:lvl>
    <w:lvl w:ilvl="5" w:tplc="1C090005" w:tentative="1">
      <w:start w:val="1"/>
      <w:numFmt w:val="bullet"/>
      <w:lvlText w:val=""/>
      <w:lvlJc w:val="left"/>
      <w:pPr>
        <w:ind w:left="4887" w:hanging="360"/>
      </w:pPr>
      <w:rPr>
        <w:rFonts w:ascii="Wingdings" w:hAnsi="Wingdings" w:hint="default"/>
      </w:rPr>
    </w:lvl>
    <w:lvl w:ilvl="6" w:tplc="1C090001" w:tentative="1">
      <w:start w:val="1"/>
      <w:numFmt w:val="bullet"/>
      <w:lvlText w:val=""/>
      <w:lvlJc w:val="left"/>
      <w:pPr>
        <w:ind w:left="5607" w:hanging="360"/>
      </w:pPr>
      <w:rPr>
        <w:rFonts w:ascii="Symbol" w:hAnsi="Symbol" w:hint="default"/>
      </w:rPr>
    </w:lvl>
    <w:lvl w:ilvl="7" w:tplc="1C090003" w:tentative="1">
      <w:start w:val="1"/>
      <w:numFmt w:val="bullet"/>
      <w:lvlText w:val="o"/>
      <w:lvlJc w:val="left"/>
      <w:pPr>
        <w:ind w:left="6327" w:hanging="360"/>
      </w:pPr>
      <w:rPr>
        <w:rFonts w:ascii="Courier New" w:hAnsi="Courier New" w:cs="Courier New" w:hint="default"/>
      </w:rPr>
    </w:lvl>
    <w:lvl w:ilvl="8" w:tplc="1C090005" w:tentative="1">
      <w:start w:val="1"/>
      <w:numFmt w:val="bullet"/>
      <w:lvlText w:val=""/>
      <w:lvlJc w:val="left"/>
      <w:pPr>
        <w:ind w:left="7047" w:hanging="360"/>
      </w:pPr>
      <w:rPr>
        <w:rFonts w:ascii="Wingdings" w:hAnsi="Wingdings" w:hint="default"/>
      </w:rPr>
    </w:lvl>
  </w:abstractNum>
  <w:abstractNum w:abstractNumId="9" w15:restartNumberingAfterBreak="0">
    <w:nsid w:val="77067FEE"/>
    <w:multiLevelType w:val="hybridMultilevel"/>
    <w:tmpl w:val="66EABFD4"/>
    <w:lvl w:ilvl="0" w:tplc="1C090001">
      <w:start w:val="1"/>
      <w:numFmt w:val="bullet"/>
      <w:lvlText w:val=""/>
      <w:lvlJc w:val="left"/>
      <w:pPr>
        <w:ind w:left="2007" w:hanging="360"/>
      </w:pPr>
      <w:rPr>
        <w:rFonts w:ascii="Symbol" w:hAnsi="Symbol" w:hint="default"/>
      </w:rPr>
    </w:lvl>
    <w:lvl w:ilvl="1" w:tplc="1C090003" w:tentative="1">
      <w:start w:val="1"/>
      <w:numFmt w:val="bullet"/>
      <w:lvlText w:val="o"/>
      <w:lvlJc w:val="left"/>
      <w:pPr>
        <w:ind w:left="2727" w:hanging="360"/>
      </w:pPr>
      <w:rPr>
        <w:rFonts w:ascii="Courier New" w:hAnsi="Courier New" w:cs="Courier New" w:hint="default"/>
      </w:rPr>
    </w:lvl>
    <w:lvl w:ilvl="2" w:tplc="1C090005" w:tentative="1">
      <w:start w:val="1"/>
      <w:numFmt w:val="bullet"/>
      <w:lvlText w:val=""/>
      <w:lvlJc w:val="left"/>
      <w:pPr>
        <w:ind w:left="3447" w:hanging="360"/>
      </w:pPr>
      <w:rPr>
        <w:rFonts w:ascii="Wingdings" w:hAnsi="Wingdings" w:hint="default"/>
      </w:rPr>
    </w:lvl>
    <w:lvl w:ilvl="3" w:tplc="1C090001" w:tentative="1">
      <w:start w:val="1"/>
      <w:numFmt w:val="bullet"/>
      <w:lvlText w:val=""/>
      <w:lvlJc w:val="left"/>
      <w:pPr>
        <w:ind w:left="4167" w:hanging="360"/>
      </w:pPr>
      <w:rPr>
        <w:rFonts w:ascii="Symbol" w:hAnsi="Symbol" w:hint="default"/>
      </w:rPr>
    </w:lvl>
    <w:lvl w:ilvl="4" w:tplc="1C090003" w:tentative="1">
      <w:start w:val="1"/>
      <w:numFmt w:val="bullet"/>
      <w:lvlText w:val="o"/>
      <w:lvlJc w:val="left"/>
      <w:pPr>
        <w:ind w:left="4887" w:hanging="360"/>
      </w:pPr>
      <w:rPr>
        <w:rFonts w:ascii="Courier New" w:hAnsi="Courier New" w:cs="Courier New" w:hint="default"/>
      </w:rPr>
    </w:lvl>
    <w:lvl w:ilvl="5" w:tplc="1C090005" w:tentative="1">
      <w:start w:val="1"/>
      <w:numFmt w:val="bullet"/>
      <w:lvlText w:val=""/>
      <w:lvlJc w:val="left"/>
      <w:pPr>
        <w:ind w:left="5607" w:hanging="360"/>
      </w:pPr>
      <w:rPr>
        <w:rFonts w:ascii="Wingdings" w:hAnsi="Wingdings" w:hint="default"/>
      </w:rPr>
    </w:lvl>
    <w:lvl w:ilvl="6" w:tplc="1C090001" w:tentative="1">
      <w:start w:val="1"/>
      <w:numFmt w:val="bullet"/>
      <w:lvlText w:val=""/>
      <w:lvlJc w:val="left"/>
      <w:pPr>
        <w:ind w:left="6327" w:hanging="360"/>
      </w:pPr>
      <w:rPr>
        <w:rFonts w:ascii="Symbol" w:hAnsi="Symbol" w:hint="default"/>
      </w:rPr>
    </w:lvl>
    <w:lvl w:ilvl="7" w:tplc="1C090003" w:tentative="1">
      <w:start w:val="1"/>
      <w:numFmt w:val="bullet"/>
      <w:lvlText w:val="o"/>
      <w:lvlJc w:val="left"/>
      <w:pPr>
        <w:ind w:left="7047" w:hanging="360"/>
      </w:pPr>
      <w:rPr>
        <w:rFonts w:ascii="Courier New" w:hAnsi="Courier New" w:cs="Courier New" w:hint="default"/>
      </w:rPr>
    </w:lvl>
    <w:lvl w:ilvl="8" w:tplc="1C090005" w:tentative="1">
      <w:start w:val="1"/>
      <w:numFmt w:val="bullet"/>
      <w:lvlText w:val=""/>
      <w:lvlJc w:val="left"/>
      <w:pPr>
        <w:ind w:left="7767" w:hanging="360"/>
      </w:pPr>
      <w:rPr>
        <w:rFonts w:ascii="Wingdings" w:hAnsi="Wingdings" w:hint="default"/>
      </w:rPr>
    </w:lvl>
  </w:abstractNum>
  <w:abstractNum w:abstractNumId="10" w15:restartNumberingAfterBreak="0">
    <w:nsid w:val="77F003B5"/>
    <w:multiLevelType w:val="hybridMultilevel"/>
    <w:tmpl w:val="EF3EC748"/>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3"/>
  </w:num>
  <w:num w:numId="4">
    <w:abstractNumId w:val="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0"/>
  </w:num>
  <w:num w:numId="8">
    <w:abstractNumId w:val="1"/>
  </w:num>
  <w:num w:numId="9">
    <w:abstractNumId w:val="6"/>
  </w:num>
  <w:num w:numId="10">
    <w:abstractNumId w:val="4"/>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65F1"/>
    <w:rsid w:val="00157A50"/>
    <w:rsid w:val="00266643"/>
    <w:rsid w:val="002B4BC1"/>
    <w:rsid w:val="00364C97"/>
    <w:rsid w:val="00484A18"/>
    <w:rsid w:val="005451CF"/>
    <w:rsid w:val="00662343"/>
    <w:rsid w:val="00692FA1"/>
    <w:rsid w:val="00694759"/>
    <w:rsid w:val="006D2425"/>
    <w:rsid w:val="00881D67"/>
    <w:rsid w:val="009E233E"/>
    <w:rsid w:val="00AC01B6"/>
    <w:rsid w:val="00BE39F4"/>
    <w:rsid w:val="00E604B8"/>
    <w:rsid w:val="00EA3372"/>
    <w:rsid w:val="00EF65F1"/>
    <w:rsid w:val="00F326B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66E71E"/>
  <w15:chartTrackingRefBased/>
  <w15:docId w15:val="{AD68781A-80A6-4899-B4FA-91279A5D19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Cs w:val="3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numPr>
        <w:numId w:val="1"/>
      </w:numPr>
      <w:spacing w:before="240" w:after="0"/>
      <w:outlineLvl w:val="0"/>
    </w:pPr>
    <w:rPr>
      <w:rFonts w:asciiTheme="majorHAnsi" w:eastAsiaTheme="majorEastAsia" w:hAnsiTheme="majorHAnsi" w:cstheme="majorBidi"/>
      <w:color w:val="2F5496" w:themeColor="accent1" w:themeShade="BF"/>
      <w:sz w:val="32"/>
    </w:rPr>
  </w:style>
  <w:style w:type="paragraph" w:styleId="Heading2">
    <w:name w:val="heading 2"/>
    <w:basedOn w:val="Normal"/>
    <w:next w:val="Normal"/>
    <w:link w:val="Heading2Char"/>
    <w:uiPriority w:val="9"/>
    <w:unhideWhenUsed/>
    <w:qFormat/>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pPr>
      <w:ind w:left="720"/>
      <w:contextualSpacing/>
    </w:pPr>
  </w:style>
  <w:style w:type="paragraph" w:styleId="TOCHeading">
    <w:name w:val="TOC Heading"/>
    <w:basedOn w:val="Heading1"/>
    <w:next w:val="Normal"/>
    <w:uiPriority w:val="39"/>
    <w:unhideWhenUsed/>
    <w:qFormat/>
    <w:pPr>
      <w:numPr>
        <w:numId w:val="0"/>
      </w:numPr>
      <w:outlineLvl w:val="9"/>
    </w:pPr>
    <w:rPr>
      <w:lang w:val="en-US"/>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00"/>
    </w:pPr>
  </w:style>
  <w:style w:type="paragraph" w:styleId="TOC3">
    <w:name w:val="toc 3"/>
    <w:basedOn w:val="Normal"/>
    <w:next w:val="Normal"/>
    <w:autoRedefine/>
    <w:uiPriority w:val="39"/>
    <w:unhideWhenUsed/>
    <w:pPr>
      <w:spacing w:after="100"/>
      <w:ind w:left="400"/>
    </w:pPr>
  </w:style>
  <w:style w:type="character" w:styleId="Hyperlink">
    <w:name w:val="Hyperlink"/>
    <w:basedOn w:val="DefaultParagraphFont"/>
    <w:uiPriority w:val="99"/>
    <w:unhideWhenUsed/>
    <w:rPr>
      <w:color w:val="0563C1" w:themeColor="hyperlink"/>
      <w:u w:val="single"/>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Caption">
    <w:name w:val="caption"/>
    <w:basedOn w:val="Normal"/>
    <w:next w:val="Normal"/>
    <w:uiPriority w:val="35"/>
    <w:unhideWhenUsed/>
    <w:qFormat/>
    <w:pPr>
      <w:spacing w:after="200" w:line="240" w:lineRule="auto"/>
    </w:pPr>
    <w:rPr>
      <w:rFonts w:asciiTheme="minorHAnsi" w:hAnsiTheme="minorHAnsi" w:cstheme="minorBidi"/>
      <w:i/>
      <w:iCs/>
      <w:color w:val="44546A" w:themeColor="text2"/>
      <w:sz w:val="18"/>
      <w:szCs w:val="18"/>
      <w:lang w:val="en-GB"/>
    </w:rPr>
  </w:style>
  <w:style w:type="table" w:styleId="TableGrid">
    <w:name w:val="Table Grid"/>
    <w:basedOn w:val="TableNormal"/>
    <w:uiPriority w:val="39"/>
    <w:pPr>
      <w:spacing w:after="0" w:line="240" w:lineRule="auto"/>
    </w:pPr>
    <w:rPr>
      <w:rFonts w:asciiTheme="minorHAnsi" w:hAnsiTheme="minorHAnsi" w:cstheme="minorBid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qFormat/>
    <w:pPr>
      <w:spacing w:after="0" w:line="360" w:lineRule="auto"/>
      <w:ind w:left="400" w:hanging="400"/>
    </w:pPr>
    <w:rPr>
      <w:rFonts w:cstheme="minorHAnsi"/>
      <w:szCs w:val="20"/>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Cs w:val="20"/>
    </w:rPr>
  </w:style>
  <w:style w:type="character" w:customStyle="1" w:styleId="CommentTextChar">
    <w:name w:val="Comment Text Char"/>
    <w:basedOn w:val="DefaultParagraphFont"/>
    <w:link w:val="CommentText"/>
    <w:uiPriority w:val="99"/>
    <w:semiHidden/>
    <w:rPr>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Cs w:val="20"/>
    </w:r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PlaceholderText">
    <w:name w:val="Placeholder Text"/>
    <w:basedOn w:val="DefaultParagraphFont"/>
    <w:uiPriority w:val="99"/>
    <w:semiHidden/>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7441479">
      <w:bodyDiv w:val="1"/>
      <w:marLeft w:val="0"/>
      <w:marRight w:val="0"/>
      <w:marTop w:val="0"/>
      <w:marBottom w:val="0"/>
      <w:divBdr>
        <w:top w:val="none" w:sz="0" w:space="0" w:color="auto"/>
        <w:left w:val="none" w:sz="0" w:space="0" w:color="auto"/>
        <w:bottom w:val="none" w:sz="0" w:space="0" w:color="auto"/>
        <w:right w:val="none" w:sz="0" w:space="0" w:color="auto"/>
      </w:divBdr>
    </w:div>
    <w:div w:id="528492675">
      <w:bodyDiv w:val="1"/>
      <w:marLeft w:val="0"/>
      <w:marRight w:val="0"/>
      <w:marTop w:val="0"/>
      <w:marBottom w:val="0"/>
      <w:divBdr>
        <w:top w:val="none" w:sz="0" w:space="0" w:color="auto"/>
        <w:left w:val="none" w:sz="0" w:space="0" w:color="auto"/>
        <w:bottom w:val="none" w:sz="0" w:space="0" w:color="auto"/>
        <w:right w:val="none" w:sz="0" w:space="0" w:color="auto"/>
      </w:divBdr>
    </w:div>
    <w:div w:id="732700482">
      <w:bodyDiv w:val="1"/>
      <w:marLeft w:val="0"/>
      <w:marRight w:val="0"/>
      <w:marTop w:val="0"/>
      <w:marBottom w:val="0"/>
      <w:divBdr>
        <w:top w:val="none" w:sz="0" w:space="0" w:color="auto"/>
        <w:left w:val="none" w:sz="0" w:space="0" w:color="auto"/>
        <w:bottom w:val="none" w:sz="0" w:space="0" w:color="auto"/>
        <w:right w:val="none" w:sz="0" w:space="0" w:color="auto"/>
      </w:divBdr>
    </w:div>
    <w:div w:id="804198093">
      <w:bodyDiv w:val="1"/>
      <w:marLeft w:val="0"/>
      <w:marRight w:val="0"/>
      <w:marTop w:val="0"/>
      <w:marBottom w:val="0"/>
      <w:divBdr>
        <w:top w:val="none" w:sz="0" w:space="0" w:color="auto"/>
        <w:left w:val="none" w:sz="0" w:space="0" w:color="auto"/>
        <w:bottom w:val="none" w:sz="0" w:space="0" w:color="auto"/>
        <w:right w:val="none" w:sz="0" w:space="0" w:color="auto"/>
      </w:divBdr>
    </w:div>
    <w:div w:id="846560160">
      <w:bodyDiv w:val="1"/>
      <w:marLeft w:val="0"/>
      <w:marRight w:val="0"/>
      <w:marTop w:val="0"/>
      <w:marBottom w:val="0"/>
      <w:divBdr>
        <w:top w:val="none" w:sz="0" w:space="0" w:color="auto"/>
        <w:left w:val="none" w:sz="0" w:space="0" w:color="auto"/>
        <w:bottom w:val="none" w:sz="0" w:space="0" w:color="auto"/>
        <w:right w:val="none" w:sz="0" w:space="0" w:color="auto"/>
      </w:divBdr>
    </w:div>
    <w:div w:id="1102069393">
      <w:bodyDiv w:val="1"/>
      <w:marLeft w:val="0"/>
      <w:marRight w:val="0"/>
      <w:marTop w:val="0"/>
      <w:marBottom w:val="0"/>
      <w:divBdr>
        <w:top w:val="none" w:sz="0" w:space="0" w:color="auto"/>
        <w:left w:val="none" w:sz="0" w:space="0" w:color="auto"/>
        <w:bottom w:val="none" w:sz="0" w:space="0" w:color="auto"/>
        <w:right w:val="none" w:sz="0" w:space="0" w:color="auto"/>
      </w:divBdr>
    </w:div>
    <w:div w:id="1236010889">
      <w:bodyDiv w:val="1"/>
      <w:marLeft w:val="0"/>
      <w:marRight w:val="0"/>
      <w:marTop w:val="0"/>
      <w:marBottom w:val="0"/>
      <w:divBdr>
        <w:top w:val="none" w:sz="0" w:space="0" w:color="auto"/>
        <w:left w:val="none" w:sz="0" w:space="0" w:color="auto"/>
        <w:bottom w:val="none" w:sz="0" w:space="0" w:color="auto"/>
        <w:right w:val="none" w:sz="0" w:space="0" w:color="auto"/>
      </w:divBdr>
    </w:div>
    <w:div w:id="1238787430">
      <w:bodyDiv w:val="1"/>
      <w:marLeft w:val="0"/>
      <w:marRight w:val="0"/>
      <w:marTop w:val="0"/>
      <w:marBottom w:val="0"/>
      <w:divBdr>
        <w:top w:val="none" w:sz="0" w:space="0" w:color="auto"/>
        <w:left w:val="none" w:sz="0" w:space="0" w:color="auto"/>
        <w:bottom w:val="none" w:sz="0" w:space="0" w:color="auto"/>
        <w:right w:val="none" w:sz="0" w:space="0" w:color="auto"/>
      </w:divBdr>
    </w:div>
    <w:div w:id="1406338344">
      <w:bodyDiv w:val="1"/>
      <w:marLeft w:val="0"/>
      <w:marRight w:val="0"/>
      <w:marTop w:val="0"/>
      <w:marBottom w:val="0"/>
      <w:divBdr>
        <w:top w:val="none" w:sz="0" w:space="0" w:color="auto"/>
        <w:left w:val="none" w:sz="0" w:space="0" w:color="auto"/>
        <w:bottom w:val="none" w:sz="0" w:space="0" w:color="auto"/>
        <w:right w:val="none" w:sz="0" w:space="0" w:color="auto"/>
      </w:divBdr>
    </w:div>
    <w:div w:id="1442072448">
      <w:bodyDiv w:val="1"/>
      <w:marLeft w:val="0"/>
      <w:marRight w:val="0"/>
      <w:marTop w:val="0"/>
      <w:marBottom w:val="0"/>
      <w:divBdr>
        <w:top w:val="none" w:sz="0" w:space="0" w:color="auto"/>
        <w:left w:val="none" w:sz="0" w:space="0" w:color="auto"/>
        <w:bottom w:val="none" w:sz="0" w:space="0" w:color="auto"/>
        <w:right w:val="none" w:sz="0" w:space="0" w:color="auto"/>
      </w:divBdr>
    </w:div>
    <w:div w:id="1461875667">
      <w:bodyDiv w:val="1"/>
      <w:marLeft w:val="0"/>
      <w:marRight w:val="0"/>
      <w:marTop w:val="0"/>
      <w:marBottom w:val="0"/>
      <w:divBdr>
        <w:top w:val="none" w:sz="0" w:space="0" w:color="auto"/>
        <w:left w:val="none" w:sz="0" w:space="0" w:color="auto"/>
        <w:bottom w:val="none" w:sz="0" w:space="0" w:color="auto"/>
        <w:right w:val="none" w:sz="0" w:space="0" w:color="auto"/>
      </w:divBdr>
    </w:div>
    <w:div w:id="1473057823">
      <w:bodyDiv w:val="1"/>
      <w:marLeft w:val="0"/>
      <w:marRight w:val="0"/>
      <w:marTop w:val="0"/>
      <w:marBottom w:val="0"/>
      <w:divBdr>
        <w:top w:val="none" w:sz="0" w:space="0" w:color="auto"/>
        <w:left w:val="none" w:sz="0" w:space="0" w:color="auto"/>
        <w:bottom w:val="none" w:sz="0" w:space="0" w:color="auto"/>
        <w:right w:val="none" w:sz="0" w:space="0" w:color="auto"/>
      </w:divBdr>
    </w:div>
    <w:div w:id="1520704394">
      <w:bodyDiv w:val="1"/>
      <w:marLeft w:val="0"/>
      <w:marRight w:val="0"/>
      <w:marTop w:val="0"/>
      <w:marBottom w:val="0"/>
      <w:divBdr>
        <w:top w:val="none" w:sz="0" w:space="0" w:color="auto"/>
        <w:left w:val="none" w:sz="0" w:space="0" w:color="auto"/>
        <w:bottom w:val="none" w:sz="0" w:space="0" w:color="auto"/>
        <w:right w:val="none" w:sz="0" w:space="0" w:color="auto"/>
      </w:divBdr>
    </w:div>
    <w:div w:id="1612854056">
      <w:bodyDiv w:val="1"/>
      <w:marLeft w:val="0"/>
      <w:marRight w:val="0"/>
      <w:marTop w:val="0"/>
      <w:marBottom w:val="0"/>
      <w:divBdr>
        <w:top w:val="none" w:sz="0" w:space="0" w:color="auto"/>
        <w:left w:val="none" w:sz="0" w:space="0" w:color="auto"/>
        <w:bottom w:val="none" w:sz="0" w:space="0" w:color="auto"/>
        <w:right w:val="none" w:sz="0" w:space="0" w:color="auto"/>
      </w:divBdr>
    </w:div>
    <w:div w:id="1660958449">
      <w:bodyDiv w:val="1"/>
      <w:marLeft w:val="0"/>
      <w:marRight w:val="0"/>
      <w:marTop w:val="0"/>
      <w:marBottom w:val="0"/>
      <w:divBdr>
        <w:top w:val="none" w:sz="0" w:space="0" w:color="auto"/>
        <w:left w:val="none" w:sz="0" w:space="0" w:color="auto"/>
        <w:bottom w:val="none" w:sz="0" w:space="0" w:color="auto"/>
        <w:right w:val="none" w:sz="0" w:space="0" w:color="auto"/>
      </w:divBdr>
    </w:div>
    <w:div w:id="1703628798">
      <w:bodyDiv w:val="1"/>
      <w:marLeft w:val="0"/>
      <w:marRight w:val="0"/>
      <w:marTop w:val="0"/>
      <w:marBottom w:val="0"/>
      <w:divBdr>
        <w:top w:val="none" w:sz="0" w:space="0" w:color="auto"/>
        <w:left w:val="none" w:sz="0" w:space="0" w:color="auto"/>
        <w:bottom w:val="none" w:sz="0" w:space="0" w:color="auto"/>
        <w:right w:val="none" w:sz="0" w:space="0" w:color="auto"/>
      </w:divBdr>
    </w:div>
    <w:div w:id="1762019888">
      <w:bodyDiv w:val="1"/>
      <w:marLeft w:val="0"/>
      <w:marRight w:val="0"/>
      <w:marTop w:val="0"/>
      <w:marBottom w:val="0"/>
      <w:divBdr>
        <w:top w:val="none" w:sz="0" w:space="0" w:color="auto"/>
        <w:left w:val="none" w:sz="0" w:space="0" w:color="auto"/>
        <w:bottom w:val="none" w:sz="0" w:space="0" w:color="auto"/>
        <w:right w:val="none" w:sz="0" w:space="0" w:color="auto"/>
      </w:divBdr>
    </w:div>
    <w:div w:id="1781483839">
      <w:bodyDiv w:val="1"/>
      <w:marLeft w:val="0"/>
      <w:marRight w:val="0"/>
      <w:marTop w:val="0"/>
      <w:marBottom w:val="0"/>
      <w:divBdr>
        <w:top w:val="none" w:sz="0" w:space="0" w:color="auto"/>
        <w:left w:val="none" w:sz="0" w:space="0" w:color="auto"/>
        <w:bottom w:val="none" w:sz="0" w:space="0" w:color="auto"/>
        <w:right w:val="none" w:sz="0" w:space="0" w:color="auto"/>
      </w:divBdr>
    </w:div>
    <w:div w:id="1796362323">
      <w:bodyDiv w:val="1"/>
      <w:marLeft w:val="0"/>
      <w:marRight w:val="0"/>
      <w:marTop w:val="0"/>
      <w:marBottom w:val="0"/>
      <w:divBdr>
        <w:top w:val="none" w:sz="0" w:space="0" w:color="auto"/>
        <w:left w:val="none" w:sz="0" w:space="0" w:color="auto"/>
        <w:bottom w:val="none" w:sz="0" w:space="0" w:color="auto"/>
        <w:right w:val="none" w:sz="0" w:space="0" w:color="auto"/>
      </w:divBdr>
    </w:div>
    <w:div w:id="1894734136">
      <w:bodyDiv w:val="1"/>
      <w:marLeft w:val="0"/>
      <w:marRight w:val="0"/>
      <w:marTop w:val="0"/>
      <w:marBottom w:val="0"/>
      <w:divBdr>
        <w:top w:val="none" w:sz="0" w:space="0" w:color="auto"/>
        <w:left w:val="none" w:sz="0" w:space="0" w:color="auto"/>
        <w:bottom w:val="none" w:sz="0" w:space="0" w:color="auto"/>
        <w:right w:val="none" w:sz="0" w:space="0" w:color="auto"/>
      </w:divBdr>
    </w:div>
    <w:div w:id="1991982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chart" Target="charts/chart1.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hyperlink" Target="http://www.health.gov.za/index.php/component/phocadownload/category/199-antimicrobial-resistance"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hyperlink" Target="https://www.feedipedia.org/node/441.%20%20%5bAccessed%20on%2010/05/2018" TargetMode="External"/><Relationship Id="rId38"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4.jpeg"/><Relationship Id="rId32" Type="http://schemas.openxmlformats.org/officeDocument/2006/relationships/hyperlink" Target="https://doi.org/10.1016/j.aninu.2018.04.010" TargetMode="External"/><Relationship Id="rId37" Type="http://schemas.openxmlformats.org/officeDocument/2006/relationships/chart" Target="charts/chart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6.jpeg"/><Relationship Id="rId36" Type="http://schemas.openxmlformats.org/officeDocument/2006/relationships/hyperlink" Target="http://www.health.gov.za/index.php/component/phocadownload/category/199-antimicrobial-resistance" TargetMode="External"/><Relationship Id="rId10" Type="http://schemas.openxmlformats.org/officeDocument/2006/relationships/header" Target="header1.xml"/><Relationship Id="rId19" Type="http://schemas.openxmlformats.org/officeDocument/2006/relationships/image" Target="media/image9.jpeg"/><Relationship Id="rId31"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chart" Target="charts/chart2.xml"/><Relationship Id="rId30" Type="http://schemas.openxmlformats.org/officeDocument/2006/relationships/chart" Target="charts/chart3.xml"/><Relationship Id="rId35" Type="http://schemas.openxmlformats.org/officeDocument/2006/relationships/hyperlink" Target="http://www.health.gov.za/index.php/component/phocadownload/category/199-antimicrobial-resistance"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Jenna\Documents\Dissertation\Results\Steers%20Experiment%202\Summaries%20&amp;%20SAS%20data\Ex2%20Summary%20of%20pressure%20(400mg).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enna\Documents\Dissertation\Results\Steers%20Experiment%202\Graphs%20experiment%202.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enna\Documents\Dissertation\Results\Steers%20Experiment%201\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enna\Documents\Dissertation\Results\Steers%20Experiment%201\Graph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enna\Documents\Dissertation\Results\GC%20Curve%20Final.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enna\Documents\Dissertation\Results\GC%20Curve%20Final.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1657944513442715E-2"/>
          <c:y val="4.8660440239682745E-2"/>
          <c:w val="0.88562978127236303"/>
          <c:h val="0.87855833505030911"/>
        </c:manualLayout>
      </c:layout>
      <c:lineChart>
        <c:grouping val="standard"/>
        <c:varyColors val="0"/>
        <c:ser>
          <c:idx val="0"/>
          <c:order val="0"/>
          <c:tx>
            <c:v>EC</c:v>
          </c:tx>
          <c:spPr>
            <a:ln w="28575" cap="rnd">
              <a:solidFill>
                <a:schemeClr val="tx1"/>
              </a:solidFill>
              <a:round/>
            </a:ln>
            <a:effectLst/>
          </c:spPr>
          <c:marker>
            <c:symbol val="none"/>
          </c:marker>
          <c:cat>
            <c:numRef>
              <c:f>'Rate of gas'!$J$5:$J$11</c:f>
              <c:numCache>
                <c:formatCode>General</c:formatCode>
                <c:ptCount val="7"/>
                <c:pt idx="0">
                  <c:v>0</c:v>
                </c:pt>
                <c:pt idx="1">
                  <c:v>2</c:v>
                </c:pt>
                <c:pt idx="2">
                  <c:v>4</c:v>
                </c:pt>
                <c:pt idx="3">
                  <c:v>8</c:v>
                </c:pt>
                <c:pt idx="4">
                  <c:v>12</c:v>
                </c:pt>
                <c:pt idx="5">
                  <c:v>24</c:v>
                </c:pt>
                <c:pt idx="6">
                  <c:v>48</c:v>
                </c:pt>
              </c:numCache>
            </c:numRef>
          </c:cat>
          <c:val>
            <c:numRef>
              <c:f>'Rate of gas'!$K$5:$K$11</c:f>
              <c:numCache>
                <c:formatCode>General</c:formatCode>
                <c:ptCount val="7"/>
                <c:pt idx="0">
                  <c:v>0</c:v>
                </c:pt>
                <c:pt idx="1">
                  <c:v>1.95</c:v>
                </c:pt>
                <c:pt idx="2">
                  <c:v>1.325</c:v>
                </c:pt>
                <c:pt idx="3">
                  <c:v>1.6375</c:v>
                </c:pt>
                <c:pt idx="4">
                  <c:v>2.2333333333333334</c:v>
                </c:pt>
                <c:pt idx="5">
                  <c:v>2.6916666666666664</c:v>
                </c:pt>
                <c:pt idx="6">
                  <c:v>2.4208333333333334</c:v>
                </c:pt>
              </c:numCache>
            </c:numRef>
          </c:val>
          <c:smooth val="0"/>
          <c:extLst>
            <c:ext xmlns:c16="http://schemas.microsoft.com/office/drawing/2014/chart" uri="{C3380CC4-5D6E-409C-BE32-E72D297353CC}">
              <c16:uniqueId val="{00000000-5FCC-4E43-AC3B-46C19C2CADB4}"/>
            </c:ext>
          </c:extLst>
        </c:ser>
        <c:ser>
          <c:idx val="1"/>
          <c:order val="1"/>
          <c:tx>
            <c:strRef>
              <c:f>'Rate of gas'!$L$4</c:f>
              <c:strCache>
                <c:ptCount val="1"/>
                <c:pt idx="0">
                  <c:v>RUM</c:v>
                </c:pt>
              </c:strCache>
            </c:strRef>
          </c:tx>
          <c:spPr>
            <a:ln w="28575" cap="rnd">
              <a:solidFill>
                <a:srgbClr val="00B050"/>
              </a:solidFill>
              <a:round/>
            </a:ln>
            <a:effectLst/>
          </c:spPr>
          <c:marker>
            <c:symbol val="none"/>
          </c:marker>
          <c:val>
            <c:numRef>
              <c:f>'Rate of gas'!$L$5:$L$11</c:f>
              <c:numCache>
                <c:formatCode>General</c:formatCode>
                <c:ptCount val="7"/>
                <c:pt idx="0">
                  <c:v>0</c:v>
                </c:pt>
                <c:pt idx="1">
                  <c:v>2.15</c:v>
                </c:pt>
                <c:pt idx="2">
                  <c:v>1.55</c:v>
                </c:pt>
                <c:pt idx="3">
                  <c:v>1.7749999999999999</c:v>
                </c:pt>
                <c:pt idx="4">
                  <c:v>2.3333333333333335</c:v>
                </c:pt>
                <c:pt idx="5">
                  <c:v>2.7875000000000001</c:v>
                </c:pt>
                <c:pt idx="6">
                  <c:v>2.46875</c:v>
                </c:pt>
              </c:numCache>
            </c:numRef>
          </c:val>
          <c:smooth val="0"/>
          <c:extLst>
            <c:ext xmlns:c16="http://schemas.microsoft.com/office/drawing/2014/chart" uri="{C3380CC4-5D6E-409C-BE32-E72D297353CC}">
              <c16:uniqueId val="{00000001-5FCC-4E43-AC3B-46C19C2CADB4}"/>
            </c:ext>
          </c:extLst>
        </c:ser>
        <c:ser>
          <c:idx val="2"/>
          <c:order val="2"/>
          <c:tx>
            <c:v>MO</c:v>
          </c:tx>
          <c:spPr>
            <a:ln w="28575" cap="rnd">
              <a:solidFill>
                <a:schemeClr val="accent3"/>
              </a:solidFill>
              <a:round/>
            </a:ln>
            <a:effectLst/>
          </c:spPr>
          <c:marker>
            <c:symbol val="none"/>
          </c:marker>
          <c:val>
            <c:numRef>
              <c:f>'Rate of gas'!$M$5:$M$11</c:f>
              <c:numCache>
                <c:formatCode>General</c:formatCode>
                <c:ptCount val="7"/>
                <c:pt idx="0">
                  <c:v>0</c:v>
                </c:pt>
                <c:pt idx="1">
                  <c:v>1.8</c:v>
                </c:pt>
                <c:pt idx="2">
                  <c:v>1.3</c:v>
                </c:pt>
                <c:pt idx="3">
                  <c:v>1.6625000000000001</c:v>
                </c:pt>
                <c:pt idx="4">
                  <c:v>2.1666666666666665</c:v>
                </c:pt>
                <c:pt idx="5">
                  <c:v>2.8083333333333336</c:v>
                </c:pt>
                <c:pt idx="6">
                  <c:v>2.4395833333333332</c:v>
                </c:pt>
              </c:numCache>
            </c:numRef>
          </c:val>
          <c:smooth val="0"/>
          <c:extLst>
            <c:ext xmlns:c16="http://schemas.microsoft.com/office/drawing/2014/chart" uri="{C3380CC4-5D6E-409C-BE32-E72D297353CC}">
              <c16:uniqueId val="{00000002-5FCC-4E43-AC3B-46C19C2CADB4}"/>
            </c:ext>
          </c:extLst>
        </c:ser>
        <c:ser>
          <c:idx val="3"/>
          <c:order val="3"/>
          <c:tx>
            <c:v>CE</c:v>
          </c:tx>
          <c:spPr>
            <a:ln w="28575" cap="rnd">
              <a:solidFill>
                <a:srgbClr val="0070C0"/>
              </a:solidFill>
              <a:prstDash val="sysDash"/>
              <a:round/>
            </a:ln>
            <a:effectLst/>
          </c:spPr>
          <c:marker>
            <c:symbol val="none"/>
          </c:marker>
          <c:val>
            <c:numRef>
              <c:f>'Rate of gas'!$N$5:$N$11</c:f>
              <c:numCache>
                <c:formatCode>General</c:formatCode>
                <c:ptCount val="7"/>
                <c:pt idx="0">
                  <c:v>0</c:v>
                </c:pt>
                <c:pt idx="1">
                  <c:v>2.1</c:v>
                </c:pt>
                <c:pt idx="2">
                  <c:v>1.875</c:v>
                </c:pt>
                <c:pt idx="3">
                  <c:v>1.9624999999999999</c:v>
                </c:pt>
                <c:pt idx="4">
                  <c:v>2.5249999999999999</c:v>
                </c:pt>
                <c:pt idx="5">
                  <c:v>2.9333333333333336</c:v>
                </c:pt>
                <c:pt idx="6">
                  <c:v>2.5249999999999999</c:v>
                </c:pt>
              </c:numCache>
            </c:numRef>
          </c:val>
          <c:smooth val="0"/>
          <c:extLst>
            <c:ext xmlns:c16="http://schemas.microsoft.com/office/drawing/2014/chart" uri="{C3380CC4-5D6E-409C-BE32-E72D297353CC}">
              <c16:uniqueId val="{00000003-5FCC-4E43-AC3B-46C19C2CADB4}"/>
            </c:ext>
          </c:extLst>
        </c:ser>
        <c:ser>
          <c:idx val="4"/>
          <c:order val="4"/>
          <c:tx>
            <c:v>DV</c:v>
          </c:tx>
          <c:spPr>
            <a:ln w="28575" cap="rnd">
              <a:solidFill>
                <a:schemeClr val="accent5"/>
              </a:solidFill>
              <a:round/>
            </a:ln>
            <a:effectLst/>
          </c:spPr>
          <c:marker>
            <c:symbol val="none"/>
          </c:marker>
          <c:val>
            <c:numRef>
              <c:f>'Rate of gas'!$O$5:$O$11</c:f>
              <c:numCache>
                <c:formatCode>General</c:formatCode>
                <c:ptCount val="7"/>
                <c:pt idx="0">
                  <c:v>0</c:v>
                </c:pt>
                <c:pt idx="1">
                  <c:v>2.0499999999999998</c:v>
                </c:pt>
                <c:pt idx="2">
                  <c:v>1.425</c:v>
                </c:pt>
                <c:pt idx="3">
                  <c:v>1.75</c:v>
                </c:pt>
                <c:pt idx="4">
                  <c:v>2.3333333333333335</c:v>
                </c:pt>
                <c:pt idx="5">
                  <c:v>2.8458333333333332</c:v>
                </c:pt>
                <c:pt idx="6">
                  <c:v>2.5437499999999997</c:v>
                </c:pt>
              </c:numCache>
            </c:numRef>
          </c:val>
          <c:smooth val="0"/>
          <c:extLst>
            <c:ext xmlns:c16="http://schemas.microsoft.com/office/drawing/2014/chart" uri="{C3380CC4-5D6E-409C-BE32-E72D297353CC}">
              <c16:uniqueId val="{00000004-5FCC-4E43-AC3B-46C19C2CADB4}"/>
            </c:ext>
          </c:extLst>
        </c:ser>
        <c:ser>
          <c:idx val="5"/>
          <c:order val="5"/>
          <c:tx>
            <c:v>HN</c:v>
          </c:tx>
          <c:spPr>
            <a:ln w="28575" cap="rnd">
              <a:solidFill>
                <a:srgbClr val="936194"/>
              </a:solidFill>
              <a:prstDash val="lgDashDotDot"/>
              <a:round/>
            </a:ln>
            <a:effectLst/>
          </c:spPr>
          <c:marker>
            <c:symbol val="none"/>
          </c:marker>
          <c:val>
            <c:numRef>
              <c:f>'Rate of gas'!$P$5:$P$11</c:f>
              <c:numCache>
                <c:formatCode>General</c:formatCode>
                <c:ptCount val="7"/>
                <c:pt idx="0">
                  <c:v>0</c:v>
                </c:pt>
                <c:pt idx="1">
                  <c:v>1.85</c:v>
                </c:pt>
                <c:pt idx="2">
                  <c:v>1.3</c:v>
                </c:pt>
                <c:pt idx="3">
                  <c:v>1.5249999999999999</c:v>
                </c:pt>
                <c:pt idx="4">
                  <c:v>2.2416666666666667</c:v>
                </c:pt>
                <c:pt idx="5">
                  <c:v>2.8125</c:v>
                </c:pt>
                <c:pt idx="6">
                  <c:v>2.4541666666666666</c:v>
                </c:pt>
              </c:numCache>
            </c:numRef>
          </c:val>
          <c:smooth val="0"/>
          <c:extLst>
            <c:ext xmlns:c16="http://schemas.microsoft.com/office/drawing/2014/chart" uri="{C3380CC4-5D6E-409C-BE32-E72D297353CC}">
              <c16:uniqueId val="{00000005-5FCC-4E43-AC3B-46C19C2CADB4}"/>
            </c:ext>
          </c:extLst>
        </c:ser>
        <c:ser>
          <c:idx val="6"/>
          <c:order val="6"/>
          <c:tx>
            <c:v>SB</c:v>
          </c:tx>
          <c:spPr>
            <a:ln w="28575" cap="rnd">
              <a:solidFill>
                <a:srgbClr val="FFC000"/>
              </a:solidFill>
              <a:prstDash val="sysDot"/>
              <a:round/>
            </a:ln>
            <a:effectLst/>
          </c:spPr>
          <c:marker>
            <c:symbol val="none"/>
          </c:marker>
          <c:val>
            <c:numRef>
              <c:f>'Rate of gas'!$Q$5:$Q$11</c:f>
              <c:numCache>
                <c:formatCode>General</c:formatCode>
                <c:ptCount val="7"/>
                <c:pt idx="0">
                  <c:v>0</c:v>
                </c:pt>
                <c:pt idx="1">
                  <c:v>1.95</c:v>
                </c:pt>
                <c:pt idx="2">
                  <c:v>1.425</c:v>
                </c:pt>
                <c:pt idx="3">
                  <c:v>1.675</c:v>
                </c:pt>
                <c:pt idx="4">
                  <c:v>2.25</c:v>
                </c:pt>
                <c:pt idx="5">
                  <c:v>2.8166666666666664</c:v>
                </c:pt>
                <c:pt idx="6">
                  <c:v>2.4312499999999999</c:v>
                </c:pt>
              </c:numCache>
            </c:numRef>
          </c:val>
          <c:smooth val="0"/>
          <c:extLst>
            <c:ext xmlns:c16="http://schemas.microsoft.com/office/drawing/2014/chart" uri="{C3380CC4-5D6E-409C-BE32-E72D297353CC}">
              <c16:uniqueId val="{00000006-5FCC-4E43-AC3B-46C19C2CADB4}"/>
            </c:ext>
          </c:extLst>
        </c:ser>
        <c:ser>
          <c:idx val="7"/>
          <c:order val="7"/>
          <c:tx>
            <c:v>EL</c:v>
          </c:tx>
          <c:spPr>
            <a:ln w="28575" cap="rnd">
              <a:solidFill>
                <a:srgbClr val="A18C0B"/>
              </a:solidFill>
              <a:prstDash val="lgDash"/>
              <a:round/>
            </a:ln>
            <a:effectLst/>
          </c:spPr>
          <c:marker>
            <c:symbol val="none"/>
          </c:marker>
          <c:dPt>
            <c:idx val="5"/>
            <c:marker>
              <c:symbol val="none"/>
            </c:marker>
            <c:bubble3D val="0"/>
            <c:spPr>
              <a:ln w="28575" cap="rnd">
                <a:solidFill>
                  <a:srgbClr val="A18C0B"/>
                </a:solidFill>
                <a:prstDash val="lgDash"/>
                <a:round/>
              </a:ln>
              <a:effectLst/>
            </c:spPr>
            <c:extLst>
              <c:ext xmlns:c16="http://schemas.microsoft.com/office/drawing/2014/chart" uri="{C3380CC4-5D6E-409C-BE32-E72D297353CC}">
                <c16:uniqueId val="{00000008-5FCC-4E43-AC3B-46C19C2CADB4}"/>
              </c:ext>
            </c:extLst>
          </c:dPt>
          <c:val>
            <c:numRef>
              <c:f>'Rate of gas'!$R$5:$R$11</c:f>
              <c:numCache>
                <c:formatCode>General</c:formatCode>
                <c:ptCount val="7"/>
                <c:pt idx="0">
                  <c:v>0</c:v>
                </c:pt>
                <c:pt idx="1">
                  <c:v>1.65</c:v>
                </c:pt>
                <c:pt idx="2">
                  <c:v>1.45</c:v>
                </c:pt>
                <c:pt idx="3">
                  <c:v>1.7124999999999999</c:v>
                </c:pt>
                <c:pt idx="4">
                  <c:v>2.3249999999999997</c:v>
                </c:pt>
                <c:pt idx="5">
                  <c:v>2.8666666666666667</c:v>
                </c:pt>
                <c:pt idx="6">
                  <c:v>2.5041666666666669</c:v>
                </c:pt>
              </c:numCache>
            </c:numRef>
          </c:val>
          <c:smooth val="0"/>
          <c:extLst>
            <c:ext xmlns:c16="http://schemas.microsoft.com/office/drawing/2014/chart" uri="{C3380CC4-5D6E-409C-BE32-E72D297353CC}">
              <c16:uniqueId val="{00000009-5FCC-4E43-AC3B-46C19C2CADB4}"/>
            </c:ext>
          </c:extLst>
        </c:ser>
        <c:ser>
          <c:idx val="8"/>
          <c:order val="8"/>
          <c:tx>
            <c:v>SC</c:v>
          </c:tx>
          <c:spPr>
            <a:ln w="28575" cap="rnd">
              <a:solidFill>
                <a:srgbClr val="FF0000"/>
              </a:solidFill>
              <a:prstDash val="lgDashDot"/>
              <a:round/>
            </a:ln>
            <a:effectLst/>
          </c:spPr>
          <c:marker>
            <c:symbol val="none"/>
          </c:marker>
          <c:val>
            <c:numRef>
              <c:f>'Rate of gas'!$S$5:$S$11</c:f>
              <c:numCache>
                <c:formatCode>General</c:formatCode>
                <c:ptCount val="7"/>
                <c:pt idx="0">
                  <c:v>0</c:v>
                </c:pt>
                <c:pt idx="1">
                  <c:v>2</c:v>
                </c:pt>
                <c:pt idx="2">
                  <c:v>1.7749999999999999</c:v>
                </c:pt>
                <c:pt idx="3">
                  <c:v>1.9375</c:v>
                </c:pt>
                <c:pt idx="4">
                  <c:v>2.4666666666666668</c:v>
                </c:pt>
                <c:pt idx="5">
                  <c:v>2.9666666666666668</c:v>
                </c:pt>
                <c:pt idx="6">
                  <c:v>2.5770833333333334</c:v>
                </c:pt>
              </c:numCache>
            </c:numRef>
          </c:val>
          <c:smooth val="0"/>
          <c:extLst>
            <c:ext xmlns:c16="http://schemas.microsoft.com/office/drawing/2014/chart" uri="{C3380CC4-5D6E-409C-BE32-E72D297353CC}">
              <c16:uniqueId val="{0000000A-5FCC-4E43-AC3B-46C19C2CADB4}"/>
            </c:ext>
          </c:extLst>
        </c:ser>
        <c:ser>
          <c:idx val="9"/>
          <c:order val="9"/>
          <c:tx>
            <c:v>HL</c:v>
          </c:tx>
          <c:spPr>
            <a:ln w="28575" cap="rnd">
              <a:solidFill>
                <a:srgbClr val="FC1CDC"/>
              </a:solidFill>
              <a:prstDash val="sysDot"/>
              <a:round/>
            </a:ln>
            <a:effectLst/>
          </c:spPr>
          <c:marker>
            <c:symbol val="none"/>
          </c:marker>
          <c:val>
            <c:numRef>
              <c:f>'Rate of gas'!$T$5:$T$11</c:f>
              <c:numCache>
                <c:formatCode>General</c:formatCode>
                <c:ptCount val="7"/>
                <c:pt idx="0">
                  <c:v>0</c:v>
                </c:pt>
                <c:pt idx="1">
                  <c:v>2.5499999999999998</c:v>
                </c:pt>
                <c:pt idx="2">
                  <c:v>2.15</c:v>
                </c:pt>
                <c:pt idx="3">
                  <c:v>2.15</c:v>
                </c:pt>
                <c:pt idx="4">
                  <c:v>2.65</c:v>
                </c:pt>
                <c:pt idx="5">
                  <c:v>3.0249999999999999</c:v>
                </c:pt>
                <c:pt idx="6">
                  <c:v>2.5708333333333333</c:v>
                </c:pt>
              </c:numCache>
            </c:numRef>
          </c:val>
          <c:smooth val="0"/>
          <c:extLst>
            <c:ext xmlns:c16="http://schemas.microsoft.com/office/drawing/2014/chart" uri="{C3380CC4-5D6E-409C-BE32-E72D297353CC}">
              <c16:uniqueId val="{0000000B-5FCC-4E43-AC3B-46C19C2CADB4}"/>
            </c:ext>
          </c:extLst>
        </c:ser>
        <c:dLbls>
          <c:showLegendKey val="0"/>
          <c:showVal val="0"/>
          <c:showCatName val="0"/>
          <c:showSerName val="0"/>
          <c:showPercent val="0"/>
          <c:showBubbleSize val="0"/>
        </c:dLbls>
        <c:smooth val="0"/>
        <c:axId val="635169912"/>
        <c:axId val="638332680"/>
      </c:lineChart>
      <c:catAx>
        <c:axId val="635169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Time of incubation (h)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38332680"/>
        <c:crosses val="autoZero"/>
        <c:auto val="1"/>
        <c:lblAlgn val="ctr"/>
        <c:lblOffset val="100"/>
        <c:noMultiLvlLbl val="0"/>
      </c:catAx>
      <c:valAx>
        <c:axId val="638332680"/>
        <c:scaling>
          <c:orientation val="minMax"/>
          <c:max val="3.25"/>
          <c:min val="0"/>
        </c:scaling>
        <c:delete val="0"/>
        <c:axPos val="l"/>
        <c:title>
          <c:tx>
            <c:rich>
              <a:bodyPr rot="-5400000" spcFirstLastPara="1" vertOverflow="ellipsis" vert="horz" wrap="square" anchor="b" anchorCtr="1"/>
              <a:lstStyle/>
              <a:p>
                <a:pPr>
                  <a:defRPr sz="1000" b="0" i="0" u="none" strike="noStrike" kern="1200" baseline="0">
                    <a:solidFill>
                      <a:schemeClr val="tx1">
                        <a:lumMod val="65000"/>
                        <a:lumOff val="35000"/>
                      </a:schemeClr>
                    </a:solidFill>
                    <a:latin typeface="+mn-lt"/>
                    <a:ea typeface="+mn-ea"/>
                    <a:cs typeface="+mn-cs"/>
                  </a:defRPr>
                </a:pPr>
                <a:r>
                  <a:rPr lang="en-US">
                    <a:latin typeface="Arial" panose="020B0604020202020204" pitchFamily="34" charset="0"/>
                    <a:cs typeface="Arial" panose="020B0604020202020204" pitchFamily="34" charset="0"/>
                  </a:rPr>
                  <a:t>ml gas//h</a:t>
                </a:r>
              </a:p>
            </c:rich>
          </c:tx>
          <c:layout>
            <c:manualLayout>
              <c:xMode val="edge"/>
              <c:yMode val="edge"/>
              <c:x val="2.1566759659790609E-2"/>
              <c:y val="0.42258725692446547"/>
            </c:manualLayout>
          </c:layout>
          <c:overlay val="0"/>
          <c:spPr>
            <a:noFill/>
            <a:ln>
              <a:noFill/>
            </a:ln>
            <a:effectLst/>
          </c:spPr>
          <c:txPr>
            <a:bodyPr rot="-5400000" spcFirstLastPara="1" vertOverflow="ellipsis" vert="horz" wrap="square" anchor="b"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35169912"/>
        <c:crosses val="autoZero"/>
        <c:crossBetween val="between"/>
        <c:majorUnit val="0.25"/>
      </c:valAx>
      <c:spPr>
        <a:noFill/>
        <a:ln>
          <a:noFill/>
        </a:ln>
        <a:effectLst/>
      </c:spPr>
    </c:plotArea>
    <c:legend>
      <c:legendPos val="r"/>
      <c:layout>
        <c:manualLayout>
          <c:xMode val="edge"/>
          <c:yMode val="edge"/>
          <c:x val="0.82156627425726603"/>
          <c:y val="0.3353655246830321"/>
          <c:w val="0.154389481109307"/>
          <c:h val="0.47691067548307203"/>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dPt>
            <c:idx val="0"/>
            <c:marker>
              <c:symbol val="circle"/>
              <c:size val="5"/>
              <c:spPr>
                <a:solidFill>
                  <a:schemeClr val="accent2"/>
                </a:solidFill>
                <a:ln w="9525">
                  <a:solidFill>
                    <a:schemeClr val="accent1"/>
                  </a:solidFill>
                </a:ln>
                <a:effectLst/>
              </c:spPr>
            </c:marker>
            <c:bubble3D val="0"/>
            <c:extLst>
              <c:ext xmlns:c16="http://schemas.microsoft.com/office/drawing/2014/chart" uri="{C3380CC4-5D6E-409C-BE32-E72D297353CC}">
                <c16:uniqueId val="{00000000-0E40-475A-965F-5D79348FABCB}"/>
              </c:ext>
            </c:extLst>
          </c:dPt>
          <c:dLbls>
            <c:dLbl>
              <c:idx val="0"/>
              <c:tx>
                <c:rich>
                  <a:bodyPr/>
                  <a:lstStyle/>
                  <a:p>
                    <a:fld id="{0A6ABAF1-66AD-4255-BE15-EEF914A3372F}" type="CELLRANGE">
                      <a:rPr lang="en-US"/>
                      <a:pPr/>
                      <a:t>[CELLRANGE]</a:t>
                    </a:fld>
                    <a:endParaRPr lang="en-ZA"/>
                  </a:p>
                </c:rich>
              </c:tx>
              <c:dLblPos val="b"/>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0-0E40-475A-965F-5D79348FABCB}"/>
                </c:ext>
              </c:extLst>
            </c:dLbl>
            <c:dLbl>
              <c:idx val="1"/>
              <c:tx>
                <c:rich>
                  <a:bodyPr/>
                  <a:lstStyle/>
                  <a:p>
                    <a:r>
                      <a:rPr lang="en-US"/>
                      <a:t>RUM</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E40-475A-965F-5D79348FABCB}"/>
                </c:ext>
              </c:extLst>
            </c:dLbl>
            <c:dLbl>
              <c:idx val="2"/>
              <c:tx>
                <c:rich>
                  <a:bodyPr/>
                  <a:lstStyle/>
                  <a:p>
                    <a:r>
                      <a:rPr lang="en-US"/>
                      <a:t>MO</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E40-475A-965F-5D79348FABCB}"/>
                </c:ext>
              </c:extLst>
            </c:dLbl>
            <c:dLbl>
              <c:idx val="3"/>
              <c:tx>
                <c:rich>
                  <a:bodyPr/>
                  <a:lstStyle/>
                  <a:p>
                    <a:r>
                      <a:rPr lang="en-US"/>
                      <a:t>CE</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E40-475A-965F-5D79348FABCB}"/>
                </c:ext>
              </c:extLst>
            </c:dLbl>
            <c:dLbl>
              <c:idx val="4"/>
              <c:tx>
                <c:rich>
                  <a:bodyPr/>
                  <a:lstStyle/>
                  <a:p>
                    <a:r>
                      <a:rPr lang="en-US"/>
                      <a:t>DV</a:t>
                    </a:r>
                  </a:p>
                </c:rich>
              </c:tx>
              <c:dLblPos val="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E40-475A-965F-5D79348FABCB}"/>
                </c:ext>
              </c:extLst>
            </c:dLbl>
            <c:dLbl>
              <c:idx val="5"/>
              <c:tx>
                <c:rich>
                  <a:bodyPr/>
                  <a:lstStyle/>
                  <a:p>
                    <a:r>
                      <a:rPr lang="en-US"/>
                      <a:t>HN</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E40-475A-965F-5D79348FABCB}"/>
                </c:ext>
              </c:extLst>
            </c:dLbl>
            <c:dLbl>
              <c:idx val="6"/>
              <c:tx>
                <c:rich>
                  <a:bodyPr/>
                  <a:lstStyle/>
                  <a:p>
                    <a:r>
                      <a:rPr lang="en-US"/>
                      <a:t>SB</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E40-475A-965F-5D79348FABCB}"/>
                </c:ext>
              </c:extLst>
            </c:dLbl>
            <c:dLbl>
              <c:idx val="7"/>
              <c:tx>
                <c:rich>
                  <a:bodyPr/>
                  <a:lstStyle/>
                  <a:p>
                    <a:r>
                      <a:rPr lang="en-US"/>
                      <a:t>EL</a:t>
                    </a:r>
                  </a:p>
                </c:rich>
              </c:tx>
              <c:dLblPos val="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E40-475A-965F-5D79348FABCB}"/>
                </c:ext>
              </c:extLst>
            </c:dLbl>
            <c:dLbl>
              <c:idx val="8"/>
              <c:tx>
                <c:rich>
                  <a:bodyPr/>
                  <a:lstStyle/>
                  <a:p>
                    <a:r>
                      <a:rPr lang="en-US"/>
                      <a:t>SC</a:t>
                    </a:r>
                  </a:p>
                </c:rich>
              </c:tx>
              <c:dLblPos val="l"/>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E40-475A-965F-5D79348FABCB}"/>
                </c:ext>
              </c:extLst>
            </c:dLbl>
            <c:dLbl>
              <c:idx val="9"/>
              <c:tx>
                <c:rich>
                  <a:bodyPr/>
                  <a:lstStyle/>
                  <a:p>
                    <a:r>
                      <a:rPr lang="en-US"/>
                      <a:t>HL</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E40-475A-965F-5D79348FABC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borderCallout1">
                    <a:avLst/>
                  </a:prstGeom>
                  <a:noFill/>
                  <a:ln>
                    <a:noFill/>
                  </a:ln>
                </c15:spPr>
                <c15:showDataLabelsRange val="1"/>
                <c15:showLeaderLines val="0"/>
              </c:ext>
            </c:extLst>
          </c:dLbls>
          <c:xVal>
            <c:numRef>
              <c:f>'Graph 4.1 (2)'!$D$2:$D$11</c:f>
              <c:numCache>
                <c:formatCode>General</c:formatCode>
                <c:ptCount val="10"/>
                <c:pt idx="0">
                  <c:v>562.33756135751594</c:v>
                </c:pt>
                <c:pt idx="1">
                  <c:v>542.20660748635441</c:v>
                </c:pt>
                <c:pt idx="2">
                  <c:v>559.37686740909271</c:v>
                </c:pt>
                <c:pt idx="3">
                  <c:v>560.10249823628351</c:v>
                </c:pt>
                <c:pt idx="4">
                  <c:v>558.32736145201739</c:v>
                </c:pt>
                <c:pt idx="5">
                  <c:v>553.79216513218375</c:v>
                </c:pt>
                <c:pt idx="6">
                  <c:v>571.10904030684947</c:v>
                </c:pt>
                <c:pt idx="7">
                  <c:v>556.76180834075512</c:v>
                </c:pt>
                <c:pt idx="8">
                  <c:v>558.08680155922207</c:v>
                </c:pt>
                <c:pt idx="9">
                  <c:v>557.35558582562794</c:v>
                </c:pt>
              </c:numCache>
            </c:numRef>
          </c:xVal>
          <c:yVal>
            <c:numRef>
              <c:f>'Graph 4.1 (2)'!$C$2:$C$11</c:f>
              <c:numCache>
                <c:formatCode>0.00</c:formatCode>
                <c:ptCount val="10"/>
                <c:pt idx="0">
                  <c:v>5.26</c:v>
                </c:pt>
                <c:pt idx="1">
                  <c:v>5.66</c:v>
                </c:pt>
                <c:pt idx="2">
                  <c:v>5.78</c:v>
                </c:pt>
                <c:pt idx="3">
                  <c:v>6.45</c:v>
                </c:pt>
                <c:pt idx="4">
                  <c:v>6.01</c:v>
                </c:pt>
                <c:pt idx="5">
                  <c:v>5.87</c:v>
                </c:pt>
                <c:pt idx="6">
                  <c:v>5.33</c:v>
                </c:pt>
                <c:pt idx="7">
                  <c:v>6.34</c:v>
                </c:pt>
                <c:pt idx="8">
                  <c:v>5.58</c:v>
                </c:pt>
                <c:pt idx="9">
                  <c:v>4.42</c:v>
                </c:pt>
              </c:numCache>
            </c:numRef>
          </c:yVal>
          <c:smooth val="0"/>
          <c:extLst>
            <c:ext xmlns:c15="http://schemas.microsoft.com/office/drawing/2012/chart" uri="{02D57815-91ED-43cb-92C2-25804820EDAC}">
              <c15:datalabelsRange>
                <c15:f>'Graph 4.1 (2)'!$B$2:$B$11</c15:f>
                <c15:dlblRangeCache>
                  <c:ptCount val="10"/>
                  <c:pt idx="0">
                    <c:v>EC</c:v>
                  </c:pt>
                  <c:pt idx="1">
                    <c:v>75Rum</c:v>
                  </c:pt>
                  <c:pt idx="2">
                    <c:v>50MO</c:v>
                  </c:pt>
                  <c:pt idx="3">
                    <c:v>50CE</c:v>
                  </c:pt>
                  <c:pt idx="4">
                    <c:v>50DV</c:v>
                  </c:pt>
                  <c:pt idx="5">
                    <c:v>50HN</c:v>
                  </c:pt>
                  <c:pt idx="6">
                    <c:v>50SB</c:v>
                  </c:pt>
                  <c:pt idx="7">
                    <c:v>50EL</c:v>
                  </c:pt>
                  <c:pt idx="8">
                    <c:v>50SC</c:v>
                  </c:pt>
                  <c:pt idx="9">
                    <c:v>50HL</c:v>
                  </c:pt>
                </c15:dlblRangeCache>
              </c15:datalabelsRange>
            </c:ext>
            <c:ext xmlns:c16="http://schemas.microsoft.com/office/drawing/2014/chart" uri="{C3380CC4-5D6E-409C-BE32-E72D297353CC}">
              <c16:uniqueId val="{0000000A-0E40-475A-965F-5D79348FABCB}"/>
            </c:ext>
          </c:extLst>
        </c:ser>
        <c:dLbls>
          <c:showLegendKey val="0"/>
          <c:showVal val="1"/>
          <c:showCatName val="0"/>
          <c:showSerName val="0"/>
          <c:showPercent val="0"/>
          <c:showBubbleSize val="0"/>
        </c:dLbls>
        <c:axId val="638333464"/>
        <c:axId val="638333856"/>
      </c:scatterChart>
      <c:valAx>
        <c:axId val="6383334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IVOMD (g/kg DM)</a:t>
                </a:r>
              </a:p>
            </c:rich>
          </c:tx>
          <c:layout>
            <c:manualLayout>
              <c:xMode val="edge"/>
              <c:yMode val="edge"/>
              <c:x val="0.43400401420410684"/>
              <c:y val="0.9032131509877054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333856"/>
        <c:crosses val="autoZero"/>
        <c:crossBetween val="midCat"/>
      </c:valAx>
      <c:valAx>
        <c:axId val="6383338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CH4: TGP(%)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833346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'Graph 3.3'!$B$2:$B$19</c:f>
              <c:strCache>
                <c:ptCount val="18"/>
                <c:pt idx="0">
                  <c:v>EC</c:v>
                </c:pt>
                <c:pt idx="1">
                  <c:v>50Mon</c:v>
                </c:pt>
                <c:pt idx="2">
                  <c:v>300MO</c:v>
                </c:pt>
                <c:pt idx="3">
                  <c:v>600MO</c:v>
                </c:pt>
                <c:pt idx="4">
                  <c:v>300CE</c:v>
                </c:pt>
                <c:pt idx="5">
                  <c:v>600CE</c:v>
                </c:pt>
                <c:pt idx="6">
                  <c:v>300DV</c:v>
                </c:pt>
                <c:pt idx="7">
                  <c:v>600DV</c:v>
                </c:pt>
                <c:pt idx="8">
                  <c:v>300HN</c:v>
                </c:pt>
                <c:pt idx="9">
                  <c:v>600HN</c:v>
                </c:pt>
                <c:pt idx="10">
                  <c:v>300SB</c:v>
                </c:pt>
                <c:pt idx="11">
                  <c:v>600SB</c:v>
                </c:pt>
                <c:pt idx="12">
                  <c:v>300EL</c:v>
                </c:pt>
                <c:pt idx="13">
                  <c:v>600EL</c:v>
                </c:pt>
                <c:pt idx="14">
                  <c:v>300SC</c:v>
                </c:pt>
                <c:pt idx="15">
                  <c:v>600SC</c:v>
                </c:pt>
                <c:pt idx="16">
                  <c:v>300HL</c:v>
                </c:pt>
                <c:pt idx="17">
                  <c:v>600HL</c:v>
                </c:pt>
              </c:strCache>
            </c:strRef>
          </c:cat>
          <c:val>
            <c:numRef>
              <c:f>'Graph 3.3'!$C$2:$C$19</c:f>
              <c:numCache>
                <c:formatCode>0.0</c:formatCode>
                <c:ptCount val="18"/>
                <c:pt idx="0">
                  <c:v>4.178983128205175</c:v>
                </c:pt>
                <c:pt idx="1">
                  <c:v>4.186855784341275</c:v>
                </c:pt>
                <c:pt idx="2">
                  <c:v>4.4084552345343946</c:v>
                </c:pt>
                <c:pt idx="3">
                  <c:v>3.9475719310691417</c:v>
                </c:pt>
                <c:pt idx="4">
                  <c:v>4.5943123020487029</c:v>
                </c:pt>
                <c:pt idx="5">
                  <c:v>5.548968934843761</c:v>
                </c:pt>
                <c:pt idx="6">
                  <c:v>3.98658436443008</c:v>
                </c:pt>
                <c:pt idx="7">
                  <c:v>4.9911295771000992</c:v>
                </c:pt>
                <c:pt idx="8">
                  <c:v>4.5985046639656728</c:v>
                </c:pt>
                <c:pt idx="9">
                  <c:v>3.8906148651315235</c:v>
                </c:pt>
                <c:pt idx="10">
                  <c:v>4.7588228898957423</c:v>
                </c:pt>
                <c:pt idx="11">
                  <c:v>4.0352562704687402</c:v>
                </c:pt>
                <c:pt idx="12">
                  <c:v>4.2052471901552622</c:v>
                </c:pt>
                <c:pt idx="13">
                  <c:v>4.3218760744663607</c:v>
                </c:pt>
                <c:pt idx="14">
                  <c:v>4.3615257998523402</c:v>
                </c:pt>
                <c:pt idx="15">
                  <c:v>3.7381096071323792</c:v>
                </c:pt>
                <c:pt idx="16">
                  <c:v>3.9722271600469234</c:v>
                </c:pt>
                <c:pt idx="17">
                  <c:v>4.5278910270561168</c:v>
                </c:pt>
              </c:numCache>
            </c:numRef>
          </c:val>
          <c:extLst>
            <c:ext xmlns:c16="http://schemas.microsoft.com/office/drawing/2014/chart" uri="{C3380CC4-5D6E-409C-BE32-E72D297353CC}">
              <c16:uniqueId val="{00000000-650F-4746-98E1-0AFCBC23E55D}"/>
            </c:ext>
          </c:extLst>
        </c:ser>
        <c:dLbls>
          <c:showLegendKey val="0"/>
          <c:showVal val="0"/>
          <c:showCatName val="0"/>
          <c:showSerName val="0"/>
          <c:showPercent val="0"/>
          <c:showBubbleSize val="0"/>
        </c:dLbls>
        <c:gapWidth val="219"/>
        <c:overlap val="-27"/>
        <c:axId val="854220368"/>
        <c:axId val="854220760"/>
      </c:barChart>
      <c:catAx>
        <c:axId val="854220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Treatment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4220760"/>
        <c:crosses val="autoZero"/>
        <c:auto val="1"/>
        <c:lblAlgn val="ctr"/>
        <c:lblOffset val="100"/>
        <c:noMultiLvlLbl val="0"/>
      </c:catAx>
      <c:valAx>
        <c:axId val="854220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CH4: TGP(%)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4220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046122870710973E-2"/>
          <c:y val="3.8495188101487311E-2"/>
          <c:w val="0.84713616285769178"/>
          <c:h val="0.80611266111421109"/>
        </c:manualLayout>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Pt>
            <c:idx val="3"/>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0-7982-4FAD-A0C9-7EC2E393EFDD}"/>
              </c:ext>
            </c:extLst>
          </c:dPt>
          <c:dPt>
            <c:idx val="5"/>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1-7982-4FAD-A0C9-7EC2E393EFDD}"/>
              </c:ext>
            </c:extLst>
          </c:dPt>
          <c:dPt>
            <c:idx val="7"/>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2-7982-4FAD-A0C9-7EC2E393EFDD}"/>
              </c:ext>
            </c:extLst>
          </c:dPt>
          <c:dPt>
            <c:idx val="9"/>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3-7982-4FAD-A0C9-7EC2E393EFDD}"/>
              </c:ext>
            </c:extLst>
          </c:dPt>
          <c:dPt>
            <c:idx val="11"/>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4-7982-4FAD-A0C9-7EC2E393EFDD}"/>
              </c:ext>
            </c:extLst>
          </c:dPt>
          <c:dPt>
            <c:idx val="13"/>
            <c:marker>
              <c:symbol val="circle"/>
              <c:size val="5"/>
              <c:spPr>
                <a:solidFill>
                  <a:srgbClr val="C00000"/>
                </a:solidFill>
                <a:ln w="9525">
                  <a:solidFill>
                    <a:schemeClr val="accent1"/>
                  </a:solidFill>
                </a:ln>
                <a:effectLst/>
              </c:spPr>
            </c:marker>
            <c:bubble3D val="0"/>
            <c:spPr>
              <a:ln w="19050" cap="rnd">
                <a:noFill/>
                <a:round/>
              </a:ln>
              <a:effectLst/>
            </c:spPr>
            <c:extLst>
              <c:ext xmlns:c16="http://schemas.microsoft.com/office/drawing/2014/chart" uri="{C3380CC4-5D6E-409C-BE32-E72D297353CC}">
                <c16:uniqueId val="{00000006-7982-4FAD-A0C9-7EC2E393EFDD}"/>
              </c:ext>
            </c:extLst>
          </c:dPt>
          <c:dPt>
            <c:idx val="15"/>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7-7982-4FAD-A0C9-7EC2E393EFDD}"/>
              </c:ext>
            </c:extLst>
          </c:dPt>
          <c:dPt>
            <c:idx val="17"/>
            <c:marker>
              <c:symbol val="circle"/>
              <c:size val="5"/>
              <c:spPr>
                <a:solidFill>
                  <a:srgbClr val="C00000"/>
                </a:solidFill>
                <a:ln w="9525">
                  <a:solidFill>
                    <a:schemeClr val="accent1"/>
                  </a:solidFill>
                </a:ln>
                <a:effectLst/>
              </c:spPr>
            </c:marker>
            <c:bubble3D val="0"/>
            <c:extLst>
              <c:ext xmlns:c16="http://schemas.microsoft.com/office/drawing/2014/chart" uri="{C3380CC4-5D6E-409C-BE32-E72D297353CC}">
                <c16:uniqueId val="{00000008-7982-4FAD-A0C9-7EC2E393EFDD}"/>
              </c:ext>
            </c:extLst>
          </c:dPt>
          <c:dLbls>
            <c:dLbl>
              <c:idx val="0"/>
              <c:tx>
                <c:rich>
                  <a:bodyPr rot="0" spcFirstLastPara="1" vertOverflow="clip" horzOverflow="clip" vert="horz" wrap="square" lIns="36576" tIns="18288" rIns="36576" bIns="18288" anchor="ctr" anchorCtr="1">
                    <a:spAutoFit/>
                  </a:bodyPr>
                  <a:lstStyle/>
                  <a:p>
                    <a:pPr>
                      <a:defRPr sz="900" b="0" i="0" u="none" strike="noStrike" kern="1200" baseline="0">
                        <a:solidFill>
                          <a:schemeClr val="dk1"/>
                        </a:solidFill>
                        <a:latin typeface="+mn-lt"/>
                        <a:ea typeface="+mn-ea"/>
                        <a:cs typeface="+mn-cs"/>
                      </a:defRPr>
                    </a:pPr>
                    <a:fld id="{061825A9-73C1-41D1-8299-85B6D140E7C0}" type="CELLRANGE">
                      <a:rPr lang="en-US"/>
                      <a:pPr>
                        <a:defRPr>
                          <a:solidFill>
                            <a:schemeClr val="dk1"/>
                          </a:solidFill>
                        </a:defRPr>
                      </a:pPr>
                      <a:t>[CELLRANGE]</a:t>
                    </a:fld>
                    <a:endParaRPr lang="en-ZA"/>
                  </a:p>
                </c:rich>
              </c:tx>
              <c:spPr>
                <a:solidFill>
                  <a:sysClr val="window" lastClr="FFFFFF"/>
                </a:solidFill>
                <a:ln w="12700" cap="flat" cmpd="sng" algn="ctr">
                  <a:solidFill>
                    <a:sysClr val="windowText" lastClr="000000"/>
                  </a:solidFill>
                  <a:prstDash val="solid"/>
                  <a:miter lim="800000"/>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solidFill>
                      <a:latin typeface="+mn-lt"/>
                      <a:ea typeface="+mn-ea"/>
                      <a:cs typeface="+mn-cs"/>
                    </a:defRPr>
                  </a:pPr>
                  <a:endParaRPr lang="en-US"/>
                </a:p>
              </c:txPr>
              <c:dLblPos val="l"/>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15:dlblFieldTable/>
                  <c15:showDataLabelsRange val="1"/>
                </c:ext>
                <c:ext xmlns:c16="http://schemas.microsoft.com/office/drawing/2014/chart" uri="{C3380CC4-5D6E-409C-BE32-E72D297353CC}">
                  <c16:uniqueId val="{00000009-7982-4FAD-A0C9-7EC2E393EFDD}"/>
                </c:ext>
              </c:extLst>
            </c:dLbl>
            <c:dLbl>
              <c:idx val="1"/>
              <c:tx>
                <c:rich>
                  <a:bodyPr/>
                  <a:lstStyle/>
                  <a:p>
                    <a:fld id="{66F6E745-8CF7-44FD-8658-AEAAF81420F8}" type="CELLRANGE">
                      <a:rPr lang="en-US"/>
                      <a:pPr/>
                      <a:t>[CELLRANGE]</a:t>
                    </a:fld>
                    <a:endParaRPr lang="en-ZA"/>
                  </a:p>
                </c:rich>
              </c:tx>
              <c:dLblPos val="b"/>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A-7982-4FAD-A0C9-7EC2E393EFDD}"/>
                </c:ext>
              </c:extLst>
            </c:dLbl>
            <c:dLbl>
              <c:idx val="2"/>
              <c:tx>
                <c:rich>
                  <a:bodyPr/>
                  <a:lstStyle/>
                  <a:p>
                    <a:fld id="{A59EEDF3-AF66-47D5-813D-BF51B2D13B3C}"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2AFF-4BB4-9D47-6C8D442955EB}"/>
                </c:ext>
              </c:extLst>
            </c:dLbl>
            <c:dLbl>
              <c:idx val="3"/>
              <c:tx>
                <c:rich>
                  <a:bodyPr/>
                  <a:lstStyle/>
                  <a:p>
                    <a:fld id="{DB9EDA56-8419-4E39-AD27-6BDF64020411}"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0-7982-4FAD-A0C9-7EC2E393EFDD}"/>
                </c:ext>
              </c:extLst>
            </c:dLbl>
            <c:dLbl>
              <c:idx val="4"/>
              <c:tx>
                <c:rich>
                  <a:bodyPr/>
                  <a:lstStyle/>
                  <a:p>
                    <a:fld id="{61F39367-1512-4F2C-97E9-9538474C23BC}" type="CELLRANGE">
                      <a:rPr lang="en-US"/>
                      <a:pPr/>
                      <a:t>[CELLRANGE]</a:t>
                    </a:fld>
                    <a:endParaRPr lang="en-ZA"/>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C-7982-4FAD-A0C9-7EC2E393EFDD}"/>
                </c:ext>
              </c:extLst>
            </c:dLbl>
            <c:dLbl>
              <c:idx val="5"/>
              <c:tx>
                <c:rich>
                  <a:bodyPr/>
                  <a:lstStyle/>
                  <a:p>
                    <a:fld id="{DD0B4449-045A-43EE-9E6D-1F49DD1D6585}"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7982-4FAD-A0C9-7EC2E393EFDD}"/>
                </c:ext>
              </c:extLst>
            </c:dLbl>
            <c:dLbl>
              <c:idx val="6"/>
              <c:tx>
                <c:rich>
                  <a:bodyPr/>
                  <a:lstStyle/>
                  <a:p>
                    <a:fld id="{ABAC795A-959B-4104-9825-31F76BD8103F}" type="CELLRANGE">
                      <a:rPr lang="en-US"/>
                      <a:pPr/>
                      <a:t>[CELLRANGE]</a:t>
                    </a:fld>
                    <a:endParaRPr lang="en-ZA"/>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D-7982-4FAD-A0C9-7EC2E393EFDD}"/>
                </c:ext>
              </c:extLst>
            </c:dLbl>
            <c:dLbl>
              <c:idx val="7"/>
              <c:tx>
                <c:rich>
                  <a:bodyPr/>
                  <a:lstStyle/>
                  <a:p>
                    <a:fld id="{C7916A19-CA61-4255-907E-F15258D4D0DB}" type="CELLRANGE">
                      <a:rPr lang="en-US"/>
                      <a:pPr/>
                      <a:t>[CELLRANGE]</a:t>
                    </a:fld>
                    <a:endParaRPr lang="en-ZA"/>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2-7982-4FAD-A0C9-7EC2E393EFDD}"/>
                </c:ext>
              </c:extLst>
            </c:dLbl>
            <c:dLbl>
              <c:idx val="8"/>
              <c:tx>
                <c:rich>
                  <a:bodyPr/>
                  <a:lstStyle/>
                  <a:p>
                    <a:fld id="{B3480A99-1866-44A0-9F2A-8EC3BBE9373F}" type="CELLRANGE">
                      <a:rPr lang="en-US"/>
                      <a:pPr/>
                      <a:t>[CELLRANGE]</a:t>
                    </a:fld>
                    <a:endParaRPr lang="en-ZA"/>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E-7982-4FAD-A0C9-7EC2E393EFDD}"/>
                </c:ext>
              </c:extLst>
            </c:dLbl>
            <c:dLbl>
              <c:idx val="9"/>
              <c:tx>
                <c:rich>
                  <a:bodyPr/>
                  <a:lstStyle/>
                  <a:p>
                    <a:fld id="{6418CB54-DDA9-4D99-89B8-FA7074FD1023}" type="CELLRANGE">
                      <a:rPr lang="en-US"/>
                      <a:pPr/>
                      <a:t>[CELLRANGE]</a:t>
                    </a:fld>
                    <a:endParaRPr lang="en-ZA"/>
                  </a:p>
                </c:rich>
              </c:tx>
              <c:dLblPos val="b"/>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7982-4FAD-A0C9-7EC2E393EFDD}"/>
                </c:ext>
              </c:extLst>
            </c:dLbl>
            <c:dLbl>
              <c:idx val="10"/>
              <c:tx>
                <c:rich>
                  <a:bodyPr/>
                  <a:lstStyle/>
                  <a:p>
                    <a:fld id="{769F0FF8-8F0D-4C0F-B595-F81CC1C05FB5}"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2AFF-4BB4-9D47-6C8D442955EB}"/>
                </c:ext>
              </c:extLst>
            </c:dLbl>
            <c:dLbl>
              <c:idx val="11"/>
              <c:tx>
                <c:rich>
                  <a:bodyPr/>
                  <a:lstStyle/>
                  <a:p>
                    <a:fld id="{D9DA17E5-9AD3-4129-A333-FADD8302C3CE}"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7982-4FAD-A0C9-7EC2E393EFDD}"/>
                </c:ext>
              </c:extLst>
            </c:dLbl>
            <c:dLbl>
              <c:idx val="12"/>
              <c:tx>
                <c:rich>
                  <a:bodyPr/>
                  <a:lstStyle/>
                  <a:p>
                    <a:fld id="{99303871-7B9A-4643-BFF1-69E480DECCDF}"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2AFF-4BB4-9D47-6C8D442955EB}"/>
                </c:ext>
              </c:extLst>
            </c:dLbl>
            <c:dLbl>
              <c:idx val="13"/>
              <c:tx>
                <c:rich>
                  <a:bodyPr/>
                  <a:lstStyle/>
                  <a:p>
                    <a:fld id="{DBB3649A-B6BC-470C-B554-51BCEDB73D65}" type="CELLRANGE">
                      <a:rPr lang="en-ZA"/>
                      <a:pPr/>
                      <a:t>[CELLRANGE]</a:t>
                    </a:fld>
                    <a:endParaRPr lang="en-ZA"/>
                  </a:p>
                </c:rich>
              </c:tx>
              <c:dLblPos val="l"/>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7982-4FAD-A0C9-7EC2E393EFDD}"/>
                </c:ext>
              </c:extLst>
            </c:dLbl>
            <c:dLbl>
              <c:idx val="14"/>
              <c:tx>
                <c:rich>
                  <a:bodyPr/>
                  <a:lstStyle/>
                  <a:p>
                    <a:fld id="{50370BF3-19CE-40CF-AE64-811FC8881B0C}" type="CELLRANGE">
                      <a:rPr lang="en-US"/>
                      <a:pPr/>
                      <a:t>[CELLRANGE]</a:t>
                    </a:fld>
                    <a:endParaRPr lang="en-ZA"/>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1-7982-4FAD-A0C9-7EC2E393EFDD}"/>
                </c:ext>
              </c:extLst>
            </c:dLbl>
            <c:dLbl>
              <c:idx val="15"/>
              <c:tx>
                <c:rich>
                  <a:bodyPr/>
                  <a:lstStyle/>
                  <a:p>
                    <a:fld id="{C9E1623F-3286-43F9-B4D4-618CA1F0B4F2}" type="CELLRANGE">
                      <a:rPr lang="en-US"/>
                      <a:pPr/>
                      <a:t>[CELLRANGE]</a:t>
                    </a:fld>
                    <a:endParaRPr lang="en-ZA"/>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7982-4FAD-A0C9-7EC2E393EFDD}"/>
                </c:ext>
              </c:extLst>
            </c:dLbl>
            <c:dLbl>
              <c:idx val="16"/>
              <c:tx>
                <c:rich>
                  <a:bodyPr/>
                  <a:lstStyle/>
                  <a:p>
                    <a:fld id="{84181A1E-164B-49AC-9BBC-AF20A02CBE64}" type="CELLRANGE">
                      <a:rPr lang="en-US"/>
                      <a:pPr/>
                      <a:t>[CELLRANGE]</a:t>
                    </a:fld>
                    <a:endParaRPr lang="en-ZA"/>
                  </a:p>
                </c:rich>
              </c:tx>
              <c:dLblPos val="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2-7982-4FAD-A0C9-7EC2E393EFDD}"/>
                </c:ext>
              </c:extLst>
            </c:dLbl>
            <c:dLbl>
              <c:idx val="17"/>
              <c:tx>
                <c:rich>
                  <a:bodyPr/>
                  <a:lstStyle/>
                  <a:p>
                    <a:fld id="{1A53F217-01AF-41B2-8C40-132EAA1E413A}" type="CELLRANGE">
                      <a:rPr lang="en-US"/>
                      <a:pPr/>
                      <a:t>[CELLRANGE]</a:t>
                    </a:fld>
                    <a:endParaRPr lang="en-ZA"/>
                  </a:p>
                </c:rich>
              </c:tx>
              <c:dLblPos val="t"/>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8-7982-4FAD-A0C9-7EC2E393EFDD}"/>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800" b="0" i="0" u="none" strike="noStrike" kern="1200" baseline="0">
                    <a:solidFill>
                      <a:schemeClr val="dk1">
                        <a:lumMod val="65000"/>
                        <a:lumOff val="35000"/>
                      </a:schemeClr>
                    </a:solidFill>
                    <a:latin typeface="+mn-lt"/>
                    <a:ea typeface="+mn-ea"/>
                    <a:cs typeface="+mn-cs"/>
                  </a:defRPr>
                </a:pPr>
                <a:endParaRPr lang="en-US"/>
              </a:p>
            </c:txPr>
            <c:dLblPos val="l"/>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DataLabelsRange val="1"/>
                <c15:showLeaderLines val="1"/>
                <c15:leaderLines>
                  <c:spPr>
                    <a:ln w="9525" cap="flat" cmpd="sng" algn="ctr">
                      <a:solidFill>
                        <a:schemeClr val="tx1">
                          <a:lumMod val="35000"/>
                          <a:lumOff val="65000"/>
                        </a:schemeClr>
                      </a:solidFill>
                      <a:round/>
                    </a:ln>
                    <a:effectLst/>
                  </c:spPr>
                </c15:leaderLines>
              </c:ext>
            </c:extLst>
          </c:dLbls>
          <c:xVal>
            <c:numRef>
              <c:f>'Graph 3.1'!$C$2:$C$19</c:f>
              <c:numCache>
                <c:formatCode>0.00</c:formatCode>
                <c:ptCount val="18"/>
                <c:pt idx="0">
                  <c:v>499.96466360001955</c:v>
                </c:pt>
                <c:pt idx="1">
                  <c:v>490.22025444202131</c:v>
                </c:pt>
                <c:pt idx="2">
                  <c:v>490.19419153580361</c:v>
                </c:pt>
                <c:pt idx="3">
                  <c:v>484.94863202432191</c:v>
                </c:pt>
                <c:pt idx="4">
                  <c:v>519.13702312599378</c:v>
                </c:pt>
                <c:pt idx="5">
                  <c:v>521.38973819084504</c:v>
                </c:pt>
                <c:pt idx="6">
                  <c:v>502.6123193552653</c:v>
                </c:pt>
                <c:pt idx="7">
                  <c:v>492.967038665921</c:v>
                </c:pt>
                <c:pt idx="8">
                  <c:v>504.03972611810661</c:v>
                </c:pt>
                <c:pt idx="9">
                  <c:v>502.10435667426947</c:v>
                </c:pt>
                <c:pt idx="10">
                  <c:v>480.79182066415621</c:v>
                </c:pt>
                <c:pt idx="11">
                  <c:v>464.80782154005294</c:v>
                </c:pt>
                <c:pt idx="12">
                  <c:v>476.4543758224915</c:v>
                </c:pt>
                <c:pt idx="13">
                  <c:v>483.08873847729228</c:v>
                </c:pt>
                <c:pt idx="14">
                  <c:v>512.99487413684415</c:v>
                </c:pt>
                <c:pt idx="15">
                  <c:v>507.95542629143279</c:v>
                </c:pt>
                <c:pt idx="16">
                  <c:v>502.26067654989038</c:v>
                </c:pt>
                <c:pt idx="17">
                  <c:v>490.39382093433574</c:v>
                </c:pt>
              </c:numCache>
            </c:numRef>
          </c:xVal>
          <c:yVal>
            <c:numRef>
              <c:f>'Graph 3.1'!$D$2:$D$19</c:f>
              <c:numCache>
                <c:formatCode>0.00</c:formatCode>
                <c:ptCount val="18"/>
                <c:pt idx="0">
                  <c:v>4.6605301802454164</c:v>
                </c:pt>
                <c:pt idx="1">
                  <c:v>4.4754252926939104</c:v>
                </c:pt>
                <c:pt idx="2">
                  <c:v>4.9704410169611384</c:v>
                </c:pt>
                <c:pt idx="3">
                  <c:v>4.4731045196738899</c:v>
                </c:pt>
                <c:pt idx="4">
                  <c:v>5.1412925471079527</c:v>
                </c:pt>
                <c:pt idx="5">
                  <c:v>6.0001512474004572</c:v>
                </c:pt>
                <c:pt idx="6">
                  <c:v>4.5316595320893773</c:v>
                </c:pt>
                <c:pt idx="7">
                  <c:v>5.5297201774996791</c:v>
                </c:pt>
                <c:pt idx="8">
                  <c:v>5.1187516648110263</c:v>
                </c:pt>
                <c:pt idx="9">
                  <c:v>4.3732470583044014</c:v>
                </c:pt>
                <c:pt idx="10">
                  <c:v>5.260788053848759</c:v>
                </c:pt>
                <c:pt idx="11">
                  <c:v>4.5200437235048234</c:v>
                </c:pt>
                <c:pt idx="12">
                  <c:v>4.635826933981968</c:v>
                </c:pt>
                <c:pt idx="13">
                  <c:v>4.7982262995901932</c:v>
                </c:pt>
                <c:pt idx="14">
                  <c:v>4.8171834826388293</c:v>
                </c:pt>
                <c:pt idx="15">
                  <c:v>4.1502289059294384</c:v>
                </c:pt>
                <c:pt idx="16">
                  <c:v>4.419052752579856</c:v>
                </c:pt>
                <c:pt idx="17">
                  <c:v>5.0084976782854538</c:v>
                </c:pt>
              </c:numCache>
            </c:numRef>
          </c:yVal>
          <c:smooth val="0"/>
          <c:extLst>
            <c:ext xmlns:c15="http://schemas.microsoft.com/office/drawing/2012/chart" uri="{02D57815-91ED-43cb-92C2-25804820EDAC}">
              <c15:datalabelsRange>
                <c15:f>'Graph 3.1'!$B$2:$B$19</c15:f>
                <c15:dlblRangeCache>
                  <c:ptCount val="18"/>
                  <c:pt idx="0">
                    <c:v>EC</c:v>
                  </c:pt>
                  <c:pt idx="1">
                    <c:v>MON</c:v>
                  </c:pt>
                  <c:pt idx="2">
                    <c:v>3MO</c:v>
                  </c:pt>
                  <c:pt idx="3">
                    <c:v>6MO</c:v>
                  </c:pt>
                  <c:pt idx="4">
                    <c:v>3CE</c:v>
                  </c:pt>
                  <c:pt idx="5">
                    <c:v>6CE</c:v>
                  </c:pt>
                  <c:pt idx="6">
                    <c:v>3DV</c:v>
                  </c:pt>
                  <c:pt idx="7">
                    <c:v>6DV</c:v>
                  </c:pt>
                  <c:pt idx="8">
                    <c:v>3HN</c:v>
                  </c:pt>
                  <c:pt idx="9">
                    <c:v>6HN</c:v>
                  </c:pt>
                  <c:pt idx="10">
                    <c:v>3SB</c:v>
                  </c:pt>
                  <c:pt idx="11">
                    <c:v>6SB</c:v>
                  </c:pt>
                  <c:pt idx="12">
                    <c:v>3EL</c:v>
                  </c:pt>
                  <c:pt idx="13">
                    <c:v>6EL</c:v>
                  </c:pt>
                  <c:pt idx="14">
                    <c:v>3SC</c:v>
                  </c:pt>
                  <c:pt idx="15">
                    <c:v>6SC</c:v>
                  </c:pt>
                  <c:pt idx="16">
                    <c:v>3HL</c:v>
                  </c:pt>
                  <c:pt idx="17">
                    <c:v>6HL</c:v>
                  </c:pt>
                </c15:dlblRangeCache>
              </c15:datalabelsRange>
            </c:ext>
            <c:ext xmlns:c16="http://schemas.microsoft.com/office/drawing/2014/chart" uri="{C3380CC4-5D6E-409C-BE32-E72D297353CC}">
              <c16:uniqueId val="{00000013-7982-4FAD-A0C9-7EC2E393EFDD}"/>
            </c:ext>
          </c:extLst>
        </c:ser>
        <c:dLbls>
          <c:showLegendKey val="0"/>
          <c:showVal val="0"/>
          <c:showCatName val="0"/>
          <c:showSerName val="0"/>
          <c:showPercent val="0"/>
          <c:showBubbleSize val="0"/>
        </c:dLbls>
        <c:axId val="854221544"/>
        <c:axId val="854221936"/>
      </c:scatterChart>
      <c:valAx>
        <c:axId val="8542215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IVOMD</a:t>
                </a:r>
                <a:r>
                  <a:rPr lang="en-ZA" baseline="0"/>
                  <a:t> (g/kg DM)</a:t>
                </a:r>
                <a:endParaRPr lang="en-Z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4221936"/>
        <c:crosses val="autoZero"/>
        <c:crossBetween val="midCat"/>
      </c:valAx>
      <c:valAx>
        <c:axId val="8542219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t>
                </a:r>
                <a:r>
                  <a:rPr lang="en-US" baseline="-25000"/>
                  <a:t>4</a:t>
                </a:r>
                <a:r>
                  <a:rPr lang="en-US" baseline="0"/>
                  <a:t> (ml CH</a:t>
                </a:r>
                <a:r>
                  <a:rPr lang="en-US" baseline="-25000"/>
                  <a:t>4</a:t>
                </a:r>
                <a:r>
                  <a:rPr lang="en-US" baseline="0"/>
                  <a:t>/g DM)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4221544"/>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247589267829598E-2"/>
          <c:y val="0.12456759026028548"/>
          <c:w val="0.88038613039103775"/>
          <c:h val="0.77803526448362725"/>
        </c:manualLayout>
      </c:layout>
      <c:scatterChart>
        <c:scatterStyle val="lineMarker"/>
        <c:varyColors val="0"/>
        <c:ser>
          <c:idx val="0"/>
          <c:order val="0"/>
          <c:tx>
            <c:strRef>
              <c:f>'Lower Curve'!$A$4</c:f>
              <c:strCache>
                <c:ptCount val="1"/>
                <c:pt idx="0">
                  <c:v>GC Area</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1.0831146106736658E-3"/>
                  <c:y val="-0.1665503791192767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rendlineLbl>
          </c:trendline>
          <c:xVal>
            <c:numRef>
              <c:f>'Lower Curve'!$B$2:$AD$2</c:f>
              <c:numCache>
                <c:formatCode>General</c:formatCode>
                <c:ptCount val="29"/>
                <c:pt idx="0">
                  <c:v>100</c:v>
                </c:pt>
                <c:pt idx="1">
                  <c:v>500</c:v>
                </c:pt>
                <c:pt idx="2">
                  <c:v>1000</c:v>
                </c:pt>
                <c:pt idx="3">
                  <c:v>1429</c:v>
                </c:pt>
                <c:pt idx="4">
                  <c:v>3929</c:v>
                </c:pt>
                <c:pt idx="5">
                  <c:v>6429</c:v>
                </c:pt>
                <c:pt idx="6">
                  <c:v>7150</c:v>
                </c:pt>
                <c:pt idx="7">
                  <c:v>8100</c:v>
                </c:pt>
                <c:pt idx="8">
                  <c:v>10000</c:v>
                </c:pt>
                <c:pt idx="9">
                  <c:v>11429</c:v>
                </c:pt>
              </c:numCache>
            </c:numRef>
          </c:xVal>
          <c:yVal>
            <c:numRef>
              <c:f>'Lower Curve'!$B$4:$AD$4</c:f>
              <c:numCache>
                <c:formatCode>General</c:formatCode>
                <c:ptCount val="29"/>
                <c:pt idx="0">
                  <c:v>367.30145249999993</c:v>
                </c:pt>
                <c:pt idx="1">
                  <c:v>1934.536205882353</c:v>
                </c:pt>
                <c:pt idx="2">
                  <c:v>3870.6380718390797</c:v>
                </c:pt>
                <c:pt idx="3">
                  <c:v>5517.1037000000006</c:v>
                </c:pt>
                <c:pt idx="4">
                  <c:v>9569.7718999999979</c:v>
                </c:pt>
                <c:pt idx="5">
                  <c:v>14415.809026666664</c:v>
                </c:pt>
                <c:pt idx="6">
                  <c:v>15431.81936</c:v>
                </c:pt>
                <c:pt idx="7">
                  <c:v>16522.962193333333</c:v>
                </c:pt>
                <c:pt idx="8">
                  <c:v>21279.878913333334</c:v>
                </c:pt>
                <c:pt idx="9" formatCode="0">
                  <c:v>22650.212366666667</c:v>
                </c:pt>
                <c:pt idx="18">
                  <c:v>0</c:v>
                </c:pt>
                <c:pt idx="19">
                  <c:v>0</c:v>
                </c:pt>
                <c:pt idx="20">
                  <c:v>4.0209999999999999</c:v>
                </c:pt>
                <c:pt idx="21">
                  <c:v>75.593999999999994</c:v>
                </c:pt>
              </c:numCache>
            </c:numRef>
          </c:yVal>
          <c:smooth val="0"/>
          <c:extLst>
            <c:ext xmlns:c16="http://schemas.microsoft.com/office/drawing/2014/chart" uri="{C3380CC4-5D6E-409C-BE32-E72D297353CC}">
              <c16:uniqueId val="{00000001-ED1A-40AA-B711-EB1AC5D73061}"/>
            </c:ext>
          </c:extLst>
        </c:ser>
        <c:dLbls>
          <c:showLegendKey val="0"/>
          <c:showVal val="0"/>
          <c:showCatName val="0"/>
          <c:showSerName val="0"/>
          <c:showPercent val="0"/>
          <c:showBubbleSize val="0"/>
        </c:dLbls>
        <c:axId val="846398704"/>
        <c:axId val="846399096"/>
      </c:scatterChart>
      <c:valAx>
        <c:axId val="8463987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r>
                  <a:rPr lang="en-ZA" sz="1400"/>
                  <a:t>PPM</a:t>
                </a:r>
              </a:p>
            </c:rich>
          </c:tx>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6399096"/>
        <c:crosses val="autoZero"/>
        <c:crossBetween val="midCat"/>
      </c:valAx>
      <c:valAx>
        <c:axId val="846399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sz="1400"/>
                  <a:t>AREA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63987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3537564324018168E-2"/>
          <c:y val="0.12729425695677915"/>
          <c:w val="0.8845810773151852"/>
          <c:h val="0.74405952364302597"/>
        </c:manualLayout>
      </c:layout>
      <c:scatterChart>
        <c:scatterStyle val="lineMarker"/>
        <c:varyColors val="0"/>
        <c:ser>
          <c:idx val="0"/>
          <c:order val="0"/>
          <c:tx>
            <c:strRef>
              <c:f>'Upper Curve'!$A$4</c:f>
              <c:strCache>
                <c:ptCount val="1"/>
                <c:pt idx="0">
                  <c:v>GC Area</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layout>
                <c:manualLayout>
                  <c:x val="-1.0831146106736658E-3"/>
                  <c:y val="-0.16655037911927675"/>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rendlineLbl>
          </c:trendline>
          <c:xVal>
            <c:numRef>
              <c:f>'Upper Curve'!$B$2:$AD$2</c:f>
              <c:numCache>
                <c:formatCode>General</c:formatCode>
                <c:ptCount val="29"/>
                <c:pt idx="0">
                  <c:v>100</c:v>
                </c:pt>
                <c:pt idx="1">
                  <c:v>500</c:v>
                </c:pt>
                <c:pt idx="2">
                  <c:v>1000</c:v>
                </c:pt>
                <c:pt idx="3">
                  <c:v>1429</c:v>
                </c:pt>
                <c:pt idx="4">
                  <c:v>3929</c:v>
                </c:pt>
                <c:pt idx="5">
                  <c:v>6429</c:v>
                </c:pt>
                <c:pt idx="6">
                  <c:v>7150</c:v>
                </c:pt>
                <c:pt idx="7">
                  <c:v>8100</c:v>
                </c:pt>
                <c:pt idx="8">
                  <c:v>10000</c:v>
                </c:pt>
                <c:pt idx="9">
                  <c:v>11429</c:v>
                </c:pt>
                <c:pt idx="10">
                  <c:v>27500</c:v>
                </c:pt>
                <c:pt idx="11">
                  <c:v>31000</c:v>
                </c:pt>
                <c:pt idx="12">
                  <c:v>45000</c:v>
                </c:pt>
                <c:pt idx="13">
                  <c:v>52000</c:v>
                </c:pt>
                <c:pt idx="14">
                  <c:v>59000</c:v>
                </c:pt>
              </c:numCache>
            </c:numRef>
          </c:xVal>
          <c:yVal>
            <c:numRef>
              <c:f>'Upper Curve'!$B$4:$AD$4</c:f>
              <c:numCache>
                <c:formatCode>General</c:formatCode>
                <c:ptCount val="29"/>
                <c:pt idx="8">
                  <c:v>21279.878913333334</c:v>
                </c:pt>
                <c:pt idx="9" formatCode="0">
                  <c:v>22650.212366666667</c:v>
                </c:pt>
                <c:pt idx="10">
                  <c:v>30012.728750000002</c:v>
                </c:pt>
                <c:pt idx="11">
                  <c:v>31580.27375</c:v>
                </c:pt>
                <c:pt idx="12">
                  <c:v>35514.914478571431</c:v>
                </c:pt>
                <c:pt idx="13">
                  <c:v>35528.27444444444</c:v>
                </c:pt>
                <c:pt idx="14">
                  <c:v>38100.950769230774</c:v>
                </c:pt>
                <c:pt idx="18">
                  <c:v>0</c:v>
                </c:pt>
                <c:pt idx="19">
                  <c:v>0</c:v>
                </c:pt>
                <c:pt idx="20">
                  <c:v>4.0209999999999999</c:v>
                </c:pt>
                <c:pt idx="21">
                  <c:v>75.593999999999994</c:v>
                </c:pt>
              </c:numCache>
            </c:numRef>
          </c:yVal>
          <c:smooth val="0"/>
          <c:extLst>
            <c:ext xmlns:c16="http://schemas.microsoft.com/office/drawing/2014/chart" uri="{C3380CC4-5D6E-409C-BE32-E72D297353CC}">
              <c16:uniqueId val="{00000001-4C3A-4918-8A9F-7C468B45EB10}"/>
            </c:ext>
          </c:extLst>
        </c:ser>
        <c:dLbls>
          <c:showLegendKey val="0"/>
          <c:showVal val="0"/>
          <c:showCatName val="0"/>
          <c:showSerName val="0"/>
          <c:showPercent val="0"/>
          <c:showBubbleSize val="0"/>
        </c:dLbls>
        <c:axId val="846399880"/>
        <c:axId val="912895816"/>
      </c:scatterChart>
      <c:valAx>
        <c:axId val="84639988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sz="1100">
                    <a:latin typeface="Times New Roman" panose="02020603050405020304" pitchFamily="18" charset="0"/>
                    <a:cs typeface="Times New Roman" panose="02020603050405020304" pitchFamily="18" charset="0"/>
                  </a:rPr>
                  <a:t>PPM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12895816"/>
        <c:crosses val="autoZero"/>
        <c:crossBetween val="midCat"/>
      </c:valAx>
      <c:valAx>
        <c:axId val="912895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sz="1100">
                    <a:latin typeface="Times New Roman" panose="02020603050405020304" pitchFamily="18" charset="0"/>
                    <a:cs typeface="Times New Roman" panose="02020603050405020304" pitchFamily="18" charset="0"/>
                  </a:rPr>
                  <a:t>AREA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63998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6D3D5-072C-4364-A331-65EC6BEBD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Pages>
  <Words>31517</Words>
  <Characters>179650</Characters>
  <Application>Microsoft Office Word</Application>
  <DocSecurity>0</DocSecurity>
  <Lines>1497</Lines>
  <Paragraphs>421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Miss. JM Davis</dc:creator>
  <cp:keywords/>
  <dc:description/>
  <cp:lastModifiedBy>Jenna May Davis</cp:lastModifiedBy>
  <cp:revision>6</cp:revision>
  <cp:lastPrinted>2019-03-05T13:13:00Z</cp:lastPrinted>
  <dcterms:created xsi:type="dcterms:W3CDTF">2019-03-05T11:08:00Z</dcterms:created>
  <dcterms:modified xsi:type="dcterms:W3CDTF">2019-03-05T13:17:00Z</dcterms:modified>
</cp:coreProperties>
</file>