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drawings/drawing1.xml" ContentType="application/vnd.openxmlformats-officedocument.drawingml.chartshap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0F55" w:rsidRDefault="005E303D">
      <w:bookmarkStart w:id="0" w:name="_GoBack"/>
      <w:r w:rsidRPr="005E303D">
        <w:rPr>
          <w:noProof/>
          <w:lang w:val="en-GB" w:eastAsia="en-GB"/>
        </w:rPr>
        <w:drawing>
          <wp:inline distT="0" distB="0" distL="0" distR="0">
            <wp:extent cx="8763000" cy="5704114"/>
            <wp:effectExtent l="0" t="0" r="0" b="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  <w:bookmarkEnd w:id="0"/>
    </w:p>
    <w:p w:rsidR="00BE3F71" w:rsidRPr="00BE3F71" w:rsidRDefault="00BE3F71" w:rsidP="00BE3F71">
      <w:pPr>
        <w:spacing w:line="240" w:lineRule="auto"/>
        <w:jc w:val="both"/>
        <w:rPr>
          <w:rFonts w:ascii="Times New Roman" w:hAnsi="Times New Roman" w:cs="Times New Roman"/>
        </w:rPr>
      </w:pPr>
      <w:r w:rsidRPr="00BE3F71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 xml:space="preserve">Supplementary </w:t>
      </w:r>
      <w:r w:rsidR="00D37D5A">
        <w:rPr>
          <w:rFonts w:ascii="Times New Roman" w:hAnsi="Times New Roman" w:cs="Times New Roman"/>
          <w:b/>
          <w:bCs/>
          <w:color w:val="000000"/>
          <w:sz w:val="24"/>
          <w:szCs w:val="24"/>
        </w:rPr>
        <w:t>Data Sheet</w:t>
      </w:r>
      <w:r w:rsidRPr="00BE3F71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S2. </w:t>
      </w:r>
      <w:proofErr w:type="gramStart"/>
      <w:r w:rsidRPr="00BE3F71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The effect of different concentrations of iron on the outcome of bacteria competition between </w:t>
      </w:r>
      <w:proofErr w:type="spellStart"/>
      <w:r w:rsidRPr="00BE3F71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Pectobacterium</w:t>
      </w:r>
      <w:proofErr w:type="spellEnd"/>
      <w:r w:rsidRPr="00BE3F71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proofErr w:type="spellStart"/>
      <w:r w:rsidRPr="00BE3F71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carotovorum</w:t>
      </w:r>
      <w:proofErr w:type="spellEnd"/>
      <w:r w:rsidRPr="00BE3F71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r w:rsidRPr="00BE3F71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subsp. </w:t>
      </w:r>
      <w:proofErr w:type="spellStart"/>
      <w:r w:rsidRPr="00BE3F71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brasiliense</w:t>
      </w:r>
      <w:proofErr w:type="spellEnd"/>
      <w:r w:rsidRPr="00BE3F71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r w:rsidRPr="00BE3F71">
        <w:rPr>
          <w:rFonts w:ascii="Times New Roman" w:hAnsi="Times New Roman" w:cs="Times New Roman"/>
          <w:b/>
          <w:bCs/>
          <w:color w:val="000000"/>
          <w:sz w:val="24"/>
          <w:szCs w:val="24"/>
        </w:rPr>
        <w:t>1692 and targeted bacteria.</w:t>
      </w:r>
      <w:proofErr w:type="gramEnd"/>
      <w:r w:rsidRPr="00BE3F71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Pcb</w:t>
      </w:r>
      <w:r w:rsidRPr="00BE3F71">
        <w:rPr>
          <w:rFonts w:ascii="Times New Roman" w:hAnsi="Times New Roman" w:cs="Times New Roman"/>
          <w:color w:val="000000"/>
          <w:sz w:val="24"/>
          <w:szCs w:val="24"/>
        </w:rPr>
        <w:t>1692 and targeted bacteria were co-cultured in a 1:1 ratio on M9 minimal media supplement with different concentrations of iron. Survival of targeted bacteria was determined by 10 fold serial dilutions and the log</w:t>
      </w:r>
      <w:r w:rsidRPr="00BE3F71">
        <w:rPr>
          <w:rFonts w:ascii="Times New Roman" w:hAnsi="Times New Roman" w:cs="Times New Roman"/>
          <w:color w:val="000000"/>
          <w:sz w:val="24"/>
          <w:szCs w:val="24"/>
          <w:vertAlign w:val="subscript"/>
        </w:rPr>
        <w:t>10</w:t>
      </w:r>
      <w:r w:rsidRPr="00BE3F71">
        <w:rPr>
          <w:rFonts w:ascii="Times New Roman" w:hAnsi="Times New Roman" w:cs="Times New Roman"/>
          <w:color w:val="000000"/>
          <w:sz w:val="24"/>
          <w:szCs w:val="24"/>
        </w:rPr>
        <w:t xml:space="preserve">CFU/ml of surviving targeted bacteria determined 24hrs post incubation. Experiments were performed in triplicates and repeated three independent times. </w:t>
      </w:r>
      <w:r w:rsidRPr="00BE3F71">
        <w:rPr>
          <w:rFonts w:ascii="Times New Roman" w:eastAsia="Times New Roman" w:hAnsi="Times New Roman" w:cs="Times New Roman"/>
          <w:sz w:val="24"/>
          <w:szCs w:val="24"/>
        </w:rPr>
        <w:t xml:space="preserve">Bars represent mean values, error bars represent one standard deviation and </w:t>
      </w:r>
      <w:r w:rsidRPr="00BE3F71">
        <w:rPr>
          <w:rStyle w:val="Emphasis"/>
          <w:rFonts w:ascii="Times New Roman" w:hAnsi="Times New Roman" w:cs="Times New Roman"/>
          <w:sz w:val="24"/>
          <w:szCs w:val="24"/>
        </w:rPr>
        <w:t>P</w:t>
      </w:r>
      <w:r w:rsidRPr="00BE3F71">
        <w:rPr>
          <w:rFonts w:ascii="Times New Roman" w:hAnsi="Times New Roman" w:cs="Times New Roman"/>
          <w:sz w:val="24"/>
          <w:szCs w:val="24"/>
        </w:rPr>
        <w:t xml:space="preserve"> values for the differences in </w:t>
      </w:r>
      <w:r w:rsidRPr="00BE3F71">
        <w:rPr>
          <w:rFonts w:ascii="Times New Roman" w:hAnsi="Times New Roman" w:cs="Times New Roman"/>
          <w:color w:val="000000"/>
          <w:sz w:val="24"/>
          <w:szCs w:val="24"/>
        </w:rPr>
        <w:t>log</w:t>
      </w:r>
      <w:r w:rsidRPr="00BE3F71">
        <w:rPr>
          <w:rFonts w:ascii="Times New Roman" w:hAnsi="Times New Roman" w:cs="Times New Roman"/>
          <w:color w:val="000000"/>
          <w:sz w:val="24"/>
          <w:szCs w:val="24"/>
          <w:vertAlign w:val="subscript"/>
        </w:rPr>
        <w:t>10</w:t>
      </w:r>
      <w:r w:rsidRPr="00BE3F71">
        <w:rPr>
          <w:rFonts w:ascii="Times New Roman" w:hAnsi="Times New Roman" w:cs="Times New Roman"/>
          <w:sz w:val="24"/>
          <w:szCs w:val="24"/>
        </w:rPr>
        <w:t>CFU/ml of recovered target bacteria have been provided as</w:t>
      </w:r>
      <w:r w:rsidRPr="00BE3F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determined by</w:t>
      </w:r>
      <w:r w:rsidRPr="00BE3F71">
        <w:rPr>
          <w:rFonts w:ascii="Times New Roman" w:hAnsi="Times New Roman" w:cs="Times New Roman"/>
          <w:sz w:val="24"/>
          <w:szCs w:val="24"/>
        </w:rPr>
        <w:t xml:space="preserve"> the two-tailed Student’s </w:t>
      </w:r>
      <w:r w:rsidRPr="00BE3F71">
        <w:rPr>
          <w:rFonts w:ascii="Times New Roman" w:hAnsi="Times New Roman" w:cs="Times New Roman"/>
          <w:i/>
          <w:sz w:val="24"/>
          <w:szCs w:val="24"/>
        </w:rPr>
        <w:t>t</w:t>
      </w:r>
      <w:r w:rsidRPr="00BE3F71">
        <w:rPr>
          <w:rFonts w:ascii="Times New Roman" w:hAnsi="Times New Roman" w:cs="Times New Roman"/>
          <w:sz w:val="24"/>
          <w:szCs w:val="24"/>
        </w:rPr>
        <w:t xml:space="preserve">-test. </w:t>
      </w:r>
      <w:r w:rsidRPr="00BE3F71">
        <w:rPr>
          <w:rFonts w:ascii="Times New Roman" w:hAnsi="Times New Roman" w:cs="Times New Roman"/>
          <w:i/>
          <w:iCs/>
          <w:color w:val="000000"/>
          <w:sz w:val="24"/>
          <w:szCs w:val="24"/>
        </w:rPr>
        <w:t>P</w:t>
      </w:r>
      <w:r w:rsidRPr="00BE3F71">
        <w:rPr>
          <w:rFonts w:ascii="Times New Roman" w:hAnsi="Times New Roman" w:cs="Times New Roman"/>
          <w:color w:val="000000"/>
          <w:sz w:val="24"/>
          <w:szCs w:val="24"/>
        </w:rPr>
        <w:t xml:space="preserve">&lt;0.05 was considered to be statistically significant. </w:t>
      </w:r>
      <w:proofErr w:type="spellStart"/>
      <w:r w:rsidRPr="00BE3F71">
        <w:rPr>
          <w:rFonts w:ascii="Times New Roman" w:hAnsi="Times New Roman" w:cs="Times New Roman"/>
          <w:color w:val="000000"/>
          <w:sz w:val="24"/>
          <w:szCs w:val="24"/>
        </w:rPr>
        <w:t>Pcc</w:t>
      </w:r>
      <w:proofErr w:type="spellEnd"/>
      <w:r w:rsidRPr="00BE3F71">
        <w:rPr>
          <w:rFonts w:ascii="Times New Roman" w:hAnsi="Times New Roman" w:cs="Times New Roman"/>
          <w:color w:val="000000"/>
          <w:sz w:val="24"/>
          <w:szCs w:val="24"/>
        </w:rPr>
        <w:t xml:space="preserve"> = </w:t>
      </w:r>
      <w:proofErr w:type="spellStart"/>
      <w:r w:rsidRPr="00BE3F71">
        <w:rPr>
          <w:rFonts w:ascii="Times New Roman" w:hAnsi="Times New Roman" w:cs="Times New Roman"/>
          <w:i/>
          <w:color w:val="000000"/>
          <w:sz w:val="24"/>
          <w:szCs w:val="24"/>
        </w:rPr>
        <w:t>Pectobacterium</w:t>
      </w:r>
      <w:proofErr w:type="spellEnd"/>
      <w:r w:rsidRPr="00BE3F71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BE3F71">
        <w:rPr>
          <w:rFonts w:ascii="Times New Roman" w:hAnsi="Times New Roman" w:cs="Times New Roman"/>
          <w:i/>
          <w:color w:val="000000"/>
          <w:sz w:val="24"/>
          <w:szCs w:val="24"/>
        </w:rPr>
        <w:t>carotovorum</w:t>
      </w:r>
      <w:proofErr w:type="spellEnd"/>
      <w:r w:rsidRPr="00BE3F71">
        <w:rPr>
          <w:rFonts w:ascii="Times New Roman" w:hAnsi="Times New Roman" w:cs="Times New Roman"/>
          <w:color w:val="000000"/>
          <w:sz w:val="24"/>
          <w:szCs w:val="24"/>
        </w:rPr>
        <w:t xml:space="preserve"> subsp. </w:t>
      </w:r>
      <w:proofErr w:type="spellStart"/>
      <w:r w:rsidRPr="00BE3F71">
        <w:rPr>
          <w:rFonts w:ascii="Times New Roman" w:hAnsi="Times New Roman" w:cs="Times New Roman"/>
          <w:i/>
          <w:color w:val="000000"/>
          <w:sz w:val="24"/>
          <w:szCs w:val="24"/>
        </w:rPr>
        <w:t>carotovorum</w:t>
      </w:r>
      <w:proofErr w:type="spellEnd"/>
      <w:r w:rsidRPr="00BE3F71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BE3F71">
        <w:rPr>
          <w:rFonts w:ascii="Times New Roman" w:hAnsi="Times New Roman" w:cs="Times New Roman"/>
          <w:color w:val="000000"/>
          <w:sz w:val="24"/>
          <w:szCs w:val="24"/>
        </w:rPr>
        <w:t>Pco</w:t>
      </w:r>
      <w:proofErr w:type="spellEnd"/>
      <w:r w:rsidRPr="00BE3F71">
        <w:rPr>
          <w:rFonts w:ascii="Times New Roman" w:hAnsi="Times New Roman" w:cs="Times New Roman"/>
          <w:color w:val="000000"/>
          <w:sz w:val="24"/>
          <w:szCs w:val="24"/>
        </w:rPr>
        <w:t xml:space="preserve"> = </w:t>
      </w:r>
      <w:proofErr w:type="spellStart"/>
      <w:r w:rsidRPr="00BE3F71">
        <w:rPr>
          <w:rFonts w:ascii="Times New Roman" w:hAnsi="Times New Roman" w:cs="Times New Roman"/>
          <w:i/>
          <w:color w:val="000000"/>
          <w:sz w:val="24"/>
          <w:szCs w:val="24"/>
        </w:rPr>
        <w:t>Pectobacterium</w:t>
      </w:r>
      <w:proofErr w:type="spellEnd"/>
      <w:r w:rsidRPr="00BE3F71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BE3F71">
        <w:rPr>
          <w:rFonts w:ascii="Times New Roman" w:hAnsi="Times New Roman" w:cs="Times New Roman"/>
          <w:i/>
          <w:color w:val="000000"/>
          <w:sz w:val="24"/>
          <w:szCs w:val="24"/>
        </w:rPr>
        <w:t>carotovorum</w:t>
      </w:r>
      <w:proofErr w:type="spellEnd"/>
      <w:r w:rsidRPr="00BE3F71">
        <w:rPr>
          <w:rFonts w:ascii="Times New Roman" w:hAnsi="Times New Roman" w:cs="Times New Roman"/>
          <w:color w:val="000000"/>
          <w:sz w:val="24"/>
          <w:szCs w:val="24"/>
        </w:rPr>
        <w:t xml:space="preserve"> subsp. </w:t>
      </w:r>
      <w:proofErr w:type="spellStart"/>
      <w:r w:rsidRPr="00BE3F71">
        <w:rPr>
          <w:rFonts w:ascii="Times New Roman" w:hAnsi="Times New Roman" w:cs="Times New Roman"/>
          <w:i/>
          <w:color w:val="000000"/>
          <w:sz w:val="24"/>
          <w:szCs w:val="24"/>
        </w:rPr>
        <w:t>odoriferum</w:t>
      </w:r>
      <w:proofErr w:type="spellEnd"/>
      <w:r w:rsidRPr="00BE3F71">
        <w:rPr>
          <w:rFonts w:ascii="Times New Roman" w:hAnsi="Times New Roman" w:cs="Times New Roman"/>
          <w:color w:val="000000"/>
          <w:sz w:val="24"/>
          <w:szCs w:val="24"/>
        </w:rPr>
        <w:t xml:space="preserve">, Dada = </w:t>
      </w:r>
      <w:proofErr w:type="spellStart"/>
      <w:r w:rsidRPr="00BE3F71">
        <w:rPr>
          <w:rFonts w:ascii="Times New Roman" w:hAnsi="Times New Roman" w:cs="Times New Roman"/>
          <w:i/>
          <w:color w:val="000000"/>
          <w:sz w:val="24"/>
          <w:szCs w:val="24"/>
        </w:rPr>
        <w:t>Dickeya</w:t>
      </w:r>
      <w:proofErr w:type="spellEnd"/>
      <w:r w:rsidRPr="00BE3F71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BE3F71">
        <w:rPr>
          <w:rFonts w:ascii="Times New Roman" w:hAnsi="Times New Roman" w:cs="Times New Roman"/>
          <w:i/>
          <w:color w:val="000000"/>
          <w:sz w:val="24"/>
          <w:szCs w:val="24"/>
        </w:rPr>
        <w:t>dadantii</w:t>
      </w:r>
      <w:proofErr w:type="spellEnd"/>
      <w:r w:rsidRPr="00BE3F7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BE3F71" w:rsidRPr="00BE3F71" w:rsidSect="005E303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144417"/>
    <w:multiLevelType w:val="multilevel"/>
    <w:tmpl w:val="627A6AC8"/>
    <w:lvl w:ilvl="0">
      <w:start w:val="1"/>
      <w:numFmt w:val="upperRoman"/>
      <w:pStyle w:val="Heading1"/>
      <w:lvlText w:val="%1."/>
      <w:lvlJc w:val="left"/>
      <w:pPr>
        <w:ind w:left="0" w:firstLine="0"/>
      </w:pPr>
    </w:lvl>
    <w:lvl w:ilvl="1">
      <w:start w:val="1"/>
      <w:numFmt w:val="upperLetter"/>
      <w:pStyle w:val="Heading2"/>
      <w:lvlText w:val="%2."/>
      <w:lvlJc w:val="left"/>
      <w:pPr>
        <w:ind w:left="720" w:firstLine="0"/>
      </w:pPr>
    </w:lvl>
    <w:lvl w:ilvl="2">
      <w:start w:val="1"/>
      <w:numFmt w:val="decimal"/>
      <w:pStyle w:val="Heading3"/>
      <w:lvlText w:val="%3."/>
      <w:lvlJc w:val="left"/>
      <w:pPr>
        <w:ind w:left="1440" w:firstLine="0"/>
      </w:pPr>
    </w:lvl>
    <w:lvl w:ilvl="3">
      <w:start w:val="1"/>
      <w:numFmt w:val="lowerLetter"/>
      <w:pStyle w:val="Heading4"/>
      <w:lvlText w:val="%4)"/>
      <w:lvlJc w:val="left"/>
      <w:pPr>
        <w:ind w:left="2160" w:firstLine="0"/>
      </w:pPr>
    </w:lvl>
    <w:lvl w:ilvl="4">
      <w:start w:val="1"/>
      <w:numFmt w:val="decimal"/>
      <w:pStyle w:val="Heading5"/>
      <w:lvlText w:val="(%5)"/>
      <w:lvlJc w:val="left"/>
      <w:pPr>
        <w:ind w:left="2880" w:firstLine="0"/>
      </w:pPr>
    </w:lvl>
    <w:lvl w:ilvl="5">
      <w:start w:val="1"/>
      <w:numFmt w:val="lowerLetter"/>
      <w:pStyle w:val="Heading6"/>
      <w:lvlText w:val="(%6)"/>
      <w:lvlJc w:val="left"/>
      <w:pPr>
        <w:ind w:left="3600" w:firstLine="0"/>
      </w:pPr>
    </w:lvl>
    <w:lvl w:ilvl="6">
      <w:start w:val="1"/>
      <w:numFmt w:val="lowerRoman"/>
      <w:pStyle w:val="Heading7"/>
      <w:lvlText w:val="(%7)"/>
      <w:lvlJc w:val="left"/>
      <w:pPr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ind w:left="5760" w:firstLine="0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20"/>
  <w:characterSpacingControl w:val="doNotCompress"/>
  <w:compat/>
  <w:rsids>
    <w:rsidRoot w:val="005E303D"/>
    <w:rsid w:val="00212342"/>
    <w:rsid w:val="0023558A"/>
    <w:rsid w:val="00300F55"/>
    <w:rsid w:val="00315254"/>
    <w:rsid w:val="0038283D"/>
    <w:rsid w:val="00585736"/>
    <w:rsid w:val="005E303D"/>
    <w:rsid w:val="007D1445"/>
    <w:rsid w:val="00936DCD"/>
    <w:rsid w:val="0095138B"/>
    <w:rsid w:val="009F3098"/>
    <w:rsid w:val="00A361FF"/>
    <w:rsid w:val="00BE3F71"/>
    <w:rsid w:val="00D37D5A"/>
    <w:rsid w:val="00EB1A5A"/>
    <w:rsid w:val="00F051F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2342"/>
  </w:style>
  <w:style w:type="paragraph" w:styleId="Heading1">
    <w:name w:val="heading 1"/>
    <w:basedOn w:val="Normal"/>
    <w:next w:val="Normal"/>
    <w:link w:val="Heading1Char1"/>
    <w:uiPriority w:val="9"/>
    <w:qFormat/>
    <w:rsid w:val="0038283D"/>
    <w:pPr>
      <w:keepNext/>
      <w:keepLines/>
      <w:numPr>
        <w:numId w:val="10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8283D"/>
    <w:pPr>
      <w:keepNext/>
      <w:numPr>
        <w:ilvl w:val="1"/>
        <w:numId w:val="10"/>
      </w:numPr>
      <w:spacing w:before="240" w:after="60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en-ZA"/>
    </w:rPr>
  </w:style>
  <w:style w:type="paragraph" w:styleId="Heading3">
    <w:name w:val="heading 3"/>
    <w:basedOn w:val="Normal"/>
    <w:link w:val="Heading3Char"/>
    <w:uiPriority w:val="9"/>
    <w:qFormat/>
    <w:rsid w:val="0038283D"/>
    <w:pPr>
      <w:numPr>
        <w:ilvl w:val="2"/>
        <w:numId w:val="10"/>
      </w:num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8283D"/>
    <w:pPr>
      <w:keepNext/>
      <w:keepLines/>
      <w:numPr>
        <w:ilvl w:val="3"/>
        <w:numId w:val="10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8283D"/>
    <w:pPr>
      <w:keepNext/>
      <w:keepLines/>
      <w:numPr>
        <w:ilvl w:val="4"/>
        <w:numId w:val="10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8283D"/>
    <w:pPr>
      <w:keepNext/>
      <w:keepLines/>
      <w:numPr>
        <w:ilvl w:val="5"/>
        <w:numId w:val="10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8283D"/>
    <w:pPr>
      <w:keepNext/>
      <w:keepLines/>
      <w:numPr>
        <w:ilvl w:val="6"/>
        <w:numId w:val="10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8283D"/>
    <w:pPr>
      <w:keepNext/>
      <w:keepLines/>
      <w:numPr>
        <w:ilvl w:val="7"/>
        <w:numId w:val="10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8283D"/>
    <w:pPr>
      <w:keepNext/>
      <w:keepLines/>
      <w:numPr>
        <w:ilvl w:val="8"/>
        <w:numId w:val="10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11">
    <w:name w:val="Heading 11"/>
    <w:basedOn w:val="Normal"/>
    <w:next w:val="Normal"/>
    <w:link w:val="Heading1Char"/>
    <w:uiPriority w:val="9"/>
    <w:qFormat/>
    <w:rsid w:val="003828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1Char">
    <w:name w:val="Heading 1 Char"/>
    <w:basedOn w:val="DefaultParagraphFont"/>
    <w:link w:val="Heading11"/>
    <w:uiPriority w:val="9"/>
    <w:rsid w:val="003828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TOC21">
    <w:name w:val="TOC 21"/>
    <w:basedOn w:val="Normal"/>
    <w:next w:val="Normal"/>
    <w:autoRedefine/>
    <w:uiPriority w:val="39"/>
    <w:semiHidden/>
    <w:unhideWhenUsed/>
    <w:qFormat/>
    <w:rsid w:val="0038283D"/>
    <w:pPr>
      <w:spacing w:after="100"/>
      <w:ind w:left="220"/>
    </w:pPr>
    <w:rPr>
      <w:rFonts w:eastAsia="Times New Roman"/>
      <w:lang w:val="en-US"/>
    </w:rPr>
  </w:style>
  <w:style w:type="paragraph" w:customStyle="1" w:styleId="TOC11">
    <w:name w:val="TOC 11"/>
    <w:basedOn w:val="Normal"/>
    <w:next w:val="Normal"/>
    <w:autoRedefine/>
    <w:uiPriority w:val="39"/>
    <w:semiHidden/>
    <w:unhideWhenUsed/>
    <w:qFormat/>
    <w:rsid w:val="0038283D"/>
    <w:pPr>
      <w:spacing w:after="100"/>
    </w:pPr>
    <w:rPr>
      <w:rFonts w:eastAsia="Times New Roman"/>
      <w:lang w:val="en-US"/>
    </w:rPr>
  </w:style>
  <w:style w:type="paragraph" w:customStyle="1" w:styleId="TOC31">
    <w:name w:val="TOC 31"/>
    <w:basedOn w:val="Normal"/>
    <w:next w:val="Normal"/>
    <w:autoRedefine/>
    <w:uiPriority w:val="39"/>
    <w:unhideWhenUsed/>
    <w:qFormat/>
    <w:rsid w:val="0038283D"/>
    <w:pPr>
      <w:spacing w:after="100"/>
      <w:ind w:left="440"/>
    </w:pPr>
    <w:rPr>
      <w:rFonts w:eastAsia="Times New Roman"/>
      <w:lang w:val="en-US"/>
    </w:rPr>
  </w:style>
  <w:style w:type="character" w:customStyle="1" w:styleId="Heading1Char1">
    <w:name w:val="Heading 1 Char1"/>
    <w:basedOn w:val="DefaultParagraphFont"/>
    <w:link w:val="Heading1"/>
    <w:uiPriority w:val="9"/>
    <w:rsid w:val="003828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8283D"/>
    <w:rPr>
      <w:rFonts w:ascii="Cambria" w:eastAsia="Times New Roman" w:hAnsi="Cambria" w:cs="Times New Roman"/>
      <w:b/>
      <w:bCs/>
      <w:i/>
      <w:iCs/>
      <w:sz w:val="28"/>
      <w:szCs w:val="28"/>
      <w:lang w:eastAsia="en-ZA"/>
    </w:rPr>
  </w:style>
  <w:style w:type="character" w:customStyle="1" w:styleId="Heading3Char">
    <w:name w:val="Heading 3 Char"/>
    <w:basedOn w:val="DefaultParagraphFont"/>
    <w:link w:val="Heading3"/>
    <w:uiPriority w:val="9"/>
    <w:rsid w:val="0038283D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8283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8283D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8283D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8283D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8283D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8283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38283D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qFormat/>
    <w:rsid w:val="0038283D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38283D"/>
    <w:pPr>
      <w:spacing w:after="100"/>
      <w:ind w:left="440"/>
    </w:pPr>
    <w:rPr>
      <w:rFonts w:eastAsiaTheme="minorEastAsia"/>
      <w:lang w:val="en-US" w:eastAsia="ja-JP"/>
    </w:rPr>
  </w:style>
  <w:style w:type="character" w:styleId="Emphasis">
    <w:name w:val="Emphasis"/>
    <w:basedOn w:val="DefaultParagraphFont"/>
    <w:uiPriority w:val="20"/>
    <w:qFormat/>
    <w:rsid w:val="0038283D"/>
    <w:rPr>
      <w:i/>
      <w:iCs/>
    </w:rPr>
  </w:style>
  <w:style w:type="paragraph" w:styleId="ListParagraph">
    <w:name w:val="List Paragraph"/>
    <w:basedOn w:val="Normal"/>
    <w:uiPriority w:val="34"/>
    <w:qFormat/>
    <w:rsid w:val="0038283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 w:eastAsia="en-ZA"/>
    </w:rPr>
  </w:style>
  <w:style w:type="paragraph" w:styleId="TOCHeading">
    <w:name w:val="TOC Heading"/>
    <w:basedOn w:val="Heading1"/>
    <w:next w:val="Normal"/>
    <w:uiPriority w:val="39"/>
    <w:unhideWhenUsed/>
    <w:qFormat/>
    <w:rsid w:val="0038283D"/>
    <w:pPr>
      <w:numPr>
        <w:numId w:val="0"/>
      </w:numPr>
      <w:outlineLvl w:val="9"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30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303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1"/>
    <w:uiPriority w:val="9"/>
    <w:qFormat/>
    <w:rsid w:val="0038283D"/>
    <w:pPr>
      <w:keepNext/>
      <w:keepLines/>
      <w:numPr>
        <w:numId w:val="10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8283D"/>
    <w:pPr>
      <w:keepNext/>
      <w:numPr>
        <w:ilvl w:val="1"/>
        <w:numId w:val="10"/>
      </w:numPr>
      <w:spacing w:before="240" w:after="60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en-ZA"/>
    </w:rPr>
  </w:style>
  <w:style w:type="paragraph" w:styleId="Heading3">
    <w:name w:val="heading 3"/>
    <w:basedOn w:val="Normal"/>
    <w:link w:val="Heading3Char"/>
    <w:uiPriority w:val="9"/>
    <w:qFormat/>
    <w:rsid w:val="0038283D"/>
    <w:pPr>
      <w:numPr>
        <w:ilvl w:val="2"/>
        <w:numId w:val="10"/>
      </w:num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8283D"/>
    <w:pPr>
      <w:keepNext/>
      <w:keepLines/>
      <w:numPr>
        <w:ilvl w:val="3"/>
        <w:numId w:val="10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8283D"/>
    <w:pPr>
      <w:keepNext/>
      <w:keepLines/>
      <w:numPr>
        <w:ilvl w:val="4"/>
        <w:numId w:val="10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8283D"/>
    <w:pPr>
      <w:keepNext/>
      <w:keepLines/>
      <w:numPr>
        <w:ilvl w:val="5"/>
        <w:numId w:val="10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8283D"/>
    <w:pPr>
      <w:keepNext/>
      <w:keepLines/>
      <w:numPr>
        <w:ilvl w:val="6"/>
        <w:numId w:val="10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8283D"/>
    <w:pPr>
      <w:keepNext/>
      <w:keepLines/>
      <w:numPr>
        <w:ilvl w:val="7"/>
        <w:numId w:val="10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8283D"/>
    <w:pPr>
      <w:keepNext/>
      <w:keepLines/>
      <w:numPr>
        <w:ilvl w:val="8"/>
        <w:numId w:val="10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11">
    <w:name w:val="Heading 11"/>
    <w:basedOn w:val="Normal"/>
    <w:next w:val="Normal"/>
    <w:link w:val="Heading1Char"/>
    <w:uiPriority w:val="9"/>
    <w:qFormat/>
    <w:rsid w:val="003828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1Char">
    <w:name w:val="Heading 1 Char"/>
    <w:basedOn w:val="DefaultParagraphFont"/>
    <w:link w:val="Heading11"/>
    <w:uiPriority w:val="9"/>
    <w:rsid w:val="003828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TOC21">
    <w:name w:val="TOC 21"/>
    <w:basedOn w:val="Normal"/>
    <w:next w:val="Normal"/>
    <w:autoRedefine/>
    <w:uiPriority w:val="39"/>
    <w:semiHidden/>
    <w:unhideWhenUsed/>
    <w:qFormat/>
    <w:rsid w:val="0038283D"/>
    <w:pPr>
      <w:spacing w:after="100"/>
      <w:ind w:left="220"/>
    </w:pPr>
    <w:rPr>
      <w:rFonts w:eastAsia="Times New Roman"/>
      <w:lang w:val="en-US"/>
    </w:rPr>
  </w:style>
  <w:style w:type="paragraph" w:customStyle="1" w:styleId="TOC11">
    <w:name w:val="TOC 11"/>
    <w:basedOn w:val="Normal"/>
    <w:next w:val="Normal"/>
    <w:autoRedefine/>
    <w:uiPriority w:val="39"/>
    <w:semiHidden/>
    <w:unhideWhenUsed/>
    <w:qFormat/>
    <w:rsid w:val="0038283D"/>
    <w:pPr>
      <w:spacing w:after="100"/>
    </w:pPr>
    <w:rPr>
      <w:rFonts w:eastAsia="Times New Roman"/>
      <w:lang w:val="en-US"/>
    </w:rPr>
  </w:style>
  <w:style w:type="paragraph" w:customStyle="1" w:styleId="TOC31">
    <w:name w:val="TOC 31"/>
    <w:basedOn w:val="Normal"/>
    <w:next w:val="Normal"/>
    <w:autoRedefine/>
    <w:uiPriority w:val="39"/>
    <w:unhideWhenUsed/>
    <w:qFormat/>
    <w:rsid w:val="0038283D"/>
    <w:pPr>
      <w:spacing w:after="100"/>
      <w:ind w:left="440"/>
    </w:pPr>
    <w:rPr>
      <w:rFonts w:eastAsia="Times New Roman"/>
      <w:lang w:val="en-US"/>
    </w:rPr>
  </w:style>
  <w:style w:type="character" w:customStyle="1" w:styleId="Heading1Char1">
    <w:name w:val="Heading 1 Char1"/>
    <w:basedOn w:val="DefaultParagraphFont"/>
    <w:link w:val="Heading1"/>
    <w:uiPriority w:val="9"/>
    <w:rsid w:val="003828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8283D"/>
    <w:rPr>
      <w:rFonts w:ascii="Cambria" w:eastAsia="Times New Roman" w:hAnsi="Cambria" w:cs="Times New Roman"/>
      <w:b/>
      <w:bCs/>
      <w:i/>
      <w:iCs/>
      <w:sz w:val="28"/>
      <w:szCs w:val="28"/>
      <w:lang w:eastAsia="en-ZA"/>
    </w:rPr>
  </w:style>
  <w:style w:type="character" w:customStyle="1" w:styleId="Heading3Char">
    <w:name w:val="Heading 3 Char"/>
    <w:basedOn w:val="DefaultParagraphFont"/>
    <w:link w:val="Heading3"/>
    <w:uiPriority w:val="9"/>
    <w:rsid w:val="0038283D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8283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8283D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8283D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8283D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8283D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8283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38283D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qFormat/>
    <w:rsid w:val="0038283D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38283D"/>
    <w:pPr>
      <w:spacing w:after="100"/>
      <w:ind w:left="440"/>
    </w:pPr>
    <w:rPr>
      <w:rFonts w:eastAsiaTheme="minorEastAsia"/>
      <w:lang w:val="en-US" w:eastAsia="ja-JP"/>
    </w:rPr>
  </w:style>
  <w:style w:type="character" w:styleId="Emphasis">
    <w:name w:val="Emphasis"/>
    <w:basedOn w:val="DefaultParagraphFont"/>
    <w:uiPriority w:val="20"/>
    <w:qFormat/>
    <w:rsid w:val="0038283D"/>
    <w:rPr>
      <w:i/>
      <w:iCs/>
    </w:rPr>
  </w:style>
  <w:style w:type="paragraph" w:styleId="ListParagraph">
    <w:name w:val="List Paragraph"/>
    <w:basedOn w:val="Normal"/>
    <w:uiPriority w:val="34"/>
    <w:qFormat/>
    <w:rsid w:val="0038283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 w:eastAsia="en-ZA"/>
    </w:rPr>
  </w:style>
  <w:style w:type="paragraph" w:styleId="TOCHeading">
    <w:name w:val="TOC Heading"/>
    <w:basedOn w:val="Heading1"/>
    <w:next w:val="Normal"/>
    <w:uiPriority w:val="39"/>
    <w:unhideWhenUsed/>
    <w:qFormat/>
    <w:rsid w:val="0038283D"/>
    <w:pPr>
      <w:numPr>
        <w:numId w:val="0"/>
      </w:numPr>
      <w:outlineLvl w:val="9"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30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303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C:\Users\user\Desktop\Book1%20(version%201)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GB"/>
  <c:chart>
    <c:plotArea>
      <c:layout>
        <c:manualLayout>
          <c:layoutTarget val="inner"/>
          <c:xMode val="edge"/>
          <c:yMode val="edge"/>
          <c:x val="5.9437814043558891E-2"/>
          <c:y val="4.5838332708411492E-2"/>
          <c:w val="0.79341949536914602"/>
          <c:h val="0.75453521434820781"/>
        </c:manualLayout>
      </c:layout>
      <c:barChart>
        <c:barDir val="col"/>
        <c:grouping val="clustered"/>
        <c:ser>
          <c:idx val="0"/>
          <c:order val="0"/>
          <c:tx>
            <c:strRef>
              <c:f>'[Book1 (version 1).xls]Sheet2'!$B$14</c:f>
              <c:strCache>
                <c:ptCount val="1"/>
                <c:pt idx="0">
                  <c:v>0 µM Fe</c:v>
                </c:pt>
              </c:strCache>
            </c:strRef>
          </c:tx>
          <c:spPr>
            <a:pattFill prst="pct50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errBars>
            <c:errBarType val="both"/>
            <c:errValType val="percentage"/>
            <c:val val="5"/>
          </c:errBars>
          <c:cat>
            <c:multiLvlStrRef>
              <c:f>'[Book1 (version 1).xls]Sheet2'!$C$12:$H$13</c:f>
              <c:multiLvlStrCache>
                <c:ptCount val="6"/>
                <c:lvl>
                  <c:pt idx="0">
                    <c:v>water</c:v>
                  </c:pt>
                  <c:pt idx="1">
                    <c:v>Pcb1692</c:v>
                  </c:pt>
                  <c:pt idx="2">
                    <c:v>water</c:v>
                  </c:pt>
                  <c:pt idx="3">
                    <c:v>Pcb1692</c:v>
                  </c:pt>
                  <c:pt idx="4">
                    <c:v>water</c:v>
                  </c:pt>
                  <c:pt idx="5">
                    <c:v>Pcb1692</c:v>
                  </c:pt>
                </c:lvl>
                <c:lvl>
                  <c:pt idx="0">
                    <c:v>Pcc</c:v>
                  </c:pt>
                  <c:pt idx="2">
                    <c:v>Pco</c:v>
                  </c:pt>
                  <c:pt idx="4">
                    <c:v>Dada</c:v>
                  </c:pt>
                </c:lvl>
              </c:multiLvlStrCache>
            </c:multiLvlStrRef>
          </c:cat>
          <c:val>
            <c:numRef>
              <c:f>'[Book1 (version 1).xls]Sheet2'!$C$14:$H$14</c:f>
              <c:numCache>
                <c:formatCode>General</c:formatCode>
                <c:ptCount val="6"/>
                <c:pt idx="0">
                  <c:v>7</c:v>
                </c:pt>
                <c:pt idx="1">
                  <c:v>4</c:v>
                </c:pt>
                <c:pt idx="2">
                  <c:v>7</c:v>
                </c:pt>
                <c:pt idx="3">
                  <c:v>4</c:v>
                </c:pt>
                <c:pt idx="4">
                  <c:v>7</c:v>
                </c:pt>
                <c:pt idx="5">
                  <c:v>4</c:v>
                </c:pt>
              </c:numCache>
            </c:numRef>
          </c:val>
        </c:ser>
        <c:ser>
          <c:idx val="1"/>
          <c:order val="1"/>
          <c:tx>
            <c:strRef>
              <c:f>'[Book1 (version 1).xls]Sheet2'!$B$15</c:f>
              <c:strCache>
                <c:ptCount val="1"/>
                <c:pt idx="0">
                  <c:v>0.01 µM Fe</c:v>
                </c:pt>
              </c:strCache>
            </c:strRef>
          </c:tx>
          <c:spPr>
            <a:pattFill prst="ltDnDiag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errBars>
            <c:errBarType val="both"/>
            <c:errValType val="percentage"/>
            <c:val val="5"/>
          </c:errBars>
          <c:cat>
            <c:multiLvlStrRef>
              <c:f>'[Book1 (version 1).xls]Sheet2'!$C$12:$H$13</c:f>
              <c:multiLvlStrCache>
                <c:ptCount val="6"/>
                <c:lvl>
                  <c:pt idx="0">
                    <c:v>water</c:v>
                  </c:pt>
                  <c:pt idx="1">
                    <c:v>Pcb1692</c:v>
                  </c:pt>
                  <c:pt idx="2">
                    <c:v>water</c:v>
                  </c:pt>
                  <c:pt idx="3">
                    <c:v>Pcb1692</c:v>
                  </c:pt>
                  <c:pt idx="4">
                    <c:v>water</c:v>
                  </c:pt>
                  <c:pt idx="5">
                    <c:v>Pcb1692</c:v>
                  </c:pt>
                </c:lvl>
                <c:lvl>
                  <c:pt idx="0">
                    <c:v>Pcc</c:v>
                  </c:pt>
                  <c:pt idx="2">
                    <c:v>Pco</c:v>
                  </c:pt>
                  <c:pt idx="4">
                    <c:v>Dada</c:v>
                  </c:pt>
                </c:lvl>
              </c:multiLvlStrCache>
            </c:multiLvlStrRef>
          </c:cat>
          <c:val>
            <c:numRef>
              <c:f>'[Book1 (version 1).xls]Sheet2'!$C$15:$H$15</c:f>
              <c:numCache>
                <c:formatCode>General</c:formatCode>
                <c:ptCount val="6"/>
                <c:pt idx="0">
                  <c:v>7</c:v>
                </c:pt>
                <c:pt idx="1">
                  <c:v>4</c:v>
                </c:pt>
                <c:pt idx="2">
                  <c:v>7</c:v>
                </c:pt>
                <c:pt idx="3">
                  <c:v>4</c:v>
                </c:pt>
                <c:pt idx="4">
                  <c:v>7</c:v>
                </c:pt>
                <c:pt idx="5">
                  <c:v>4</c:v>
                </c:pt>
              </c:numCache>
            </c:numRef>
          </c:val>
        </c:ser>
        <c:ser>
          <c:idx val="2"/>
          <c:order val="2"/>
          <c:tx>
            <c:strRef>
              <c:f>'[Book1 (version 1).xls]Sheet2'!$B$16</c:f>
              <c:strCache>
                <c:ptCount val="1"/>
                <c:pt idx="0">
                  <c:v>1 µM Fe</c:v>
                </c:pt>
              </c:strCache>
            </c:strRef>
          </c:tx>
          <c:spPr>
            <a:pattFill prst="lgCheck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errBars>
            <c:errBarType val="both"/>
            <c:errValType val="percentage"/>
            <c:val val="5"/>
          </c:errBars>
          <c:cat>
            <c:multiLvlStrRef>
              <c:f>'[Book1 (version 1).xls]Sheet2'!$C$12:$H$13</c:f>
              <c:multiLvlStrCache>
                <c:ptCount val="6"/>
                <c:lvl>
                  <c:pt idx="0">
                    <c:v>water</c:v>
                  </c:pt>
                  <c:pt idx="1">
                    <c:v>Pcb1692</c:v>
                  </c:pt>
                  <c:pt idx="2">
                    <c:v>water</c:v>
                  </c:pt>
                  <c:pt idx="3">
                    <c:v>Pcb1692</c:v>
                  </c:pt>
                  <c:pt idx="4">
                    <c:v>water</c:v>
                  </c:pt>
                  <c:pt idx="5">
                    <c:v>Pcb1692</c:v>
                  </c:pt>
                </c:lvl>
                <c:lvl>
                  <c:pt idx="0">
                    <c:v>Pcc</c:v>
                  </c:pt>
                  <c:pt idx="2">
                    <c:v>Pco</c:v>
                  </c:pt>
                  <c:pt idx="4">
                    <c:v>Dada</c:v>
                  </c:pt>
                </c:lvl>
              </c:multiLvlStrCache>
            </c:multiLvlStrRef>
          </c:cat>
          <c:val>
            <c:numRef>
              <c:f>'[Book1 (version 1).xls]Sheet2'!$C$16:$H$16</c:f>
              <c:numCache>
                <c:formatCode>General</c:formatCode>
                <c:ptCount val="6"/>
                <c:pt idx="0">
                  <c:v>7</c:v>
                </c:pt>
                <c:pt idx="1">
                  <c:v>4</c:v>
                </c:pt>
                <c:pt idx="2">
                  <c:v>7</c:v>
                </c:pt>
                <c:pt idx="3">
                  <c:v>4</c:v>
                </c:pt>
                <c:pt idx="4">
                  <c:v>7</c:v>
                </c:pt>
                <c:pt idx="5">
                  <c:v>4</c:v>
                </c:pt>
              </c:numCache>
            </c:numRef>
          </c:val>
        </c:ser>
        <c:ser>
          <c:idx val="3"/>
          <c:order val="3"/>
          <c:tx>
            <c:strRef>
              <c:f>'[Book1 (version 1).xls]Sheet2'!$B$17</c:f>
              <c:strCache>
                <c:ptCount val="1"/>
                <c:pt idx="0">
                  <c:v>10 µM Fe</c:v>
                </c:pt>
              </c:strCache>
            </c:strRef>
          </c:tx>
          <c:spPr>
            <a:pattFill prst="pct75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errBars>
            <c:errBarType val="both"/>
            <c:errValType val="percentage"/>
            <c:val val="5"/>
          </c:errBars>
          <c:cat>
            <c:multiLvlStrRef>
              <c:f>'[Book1 (version 1).xls]Sheet2'!$C$12:$H$13</c:f>
              <c:multiLvlStrCache>
                <c:ptCount val="6"/>
                <c:lvl>
                  <c:pt idx="0">
                    <c:v>water</c:v>
                  </c:pt>
                  <c:pt idx="1">
                    <c:v>Pcb1692</c:v>
                  </c:pt>
                  <c:pt idx="2">
                    <c:v>water</c:v>
                  </c:pt>
                  <c:pt idx="3">
                    <c:v>Pcb1692</c:v>
                  </c:pt>
                  <c:pt idx="4">
                    <c:v>water</c:v>
                  </c:pt>
                  <c:pt idx="5">
                    <c:v>Pcb1692</c:v>
                  </c:pt>
                </c:lvl>
                <c:lvl>
                  <c:pt idx="0">
                    <c:v>Pcc</c:v>
                  </c:pt>
                  <c:pt idx="2">
                    <c:v>Pco</c:v>
                  </c:pt>
                  <c:pt idx="4">
                    <c:v>Dada</c:v>
                  </c:pt>
                </c:lvl>
              </c:multiLvlStrCache>
            </c:multiLvlStrRef>
          </c:cat>
          <c:val>
            <c:numRef>
              <c:f>'[Book1 (version 1).xls]Sheet2'!$C$17:$H$17</c:f>
              <c:numCache>
                <c:formatCode>General</c:formatCode>
                <c:ptCount val="6"/>
                <c:pt idx="0">
                  <c:v>7</c:v>
                </c:pt>
                <c:pt idx="1">
                  <c:v>1</c:v>
                </c:pt>
                <c:pt idx="2">
                  <c:v>7</c:v>
                </c:pt>
                <c:pt idx="3">
                  <c:v>1</c:v>
                </c:pt>
                <c:pt idx="4">
                  <c:v>7</c:v>
                </c:pt>
                <c:pt idx="5">
                  <c:v>1</c:v>
                </c:pt>
              </c:numCache>
            </c:numRef>
          </c:val>
        </c:ser>
        <c:ser>
          <c:idx val="4"/>
          <c:order val="4"/>
          <c:tx>
            <c:strRef>
              <c:f>'[Book1 (version 1).xls]Sheet2'!$B$18</c:f>
              <c:strCache>
                <c:ptCount val="1"/>
                <c:pt idx="0">
                  <c:v>50 µM Fe</c:v>
                </c:pt>
              </c:strCache>
            </c:strRef>
          </c:tx>
          <c:spPr>
            <a:pattFill prst="narHorz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errBars>
            <c:errBarType val="both"/>
            <c:errValType val="percentage"/>
            <c:val val="5"/>
          </c:errBars>
          <c:cat>
            <c:multiLvlStrRef>
              <c:f>'[Book1 (version 1).xls]Sheet2'!$C$12:$H$13</c:f>
              <c:multiLvlStrCache>
                <c:ptCount val="6"/>
                <c:lvl>
                  <c:pt idx="0">
                    <c:v>water</c:v>
                  </c:pt>
                  <c:pt idx="1">
                    <c:v>Pcb1692</c:v>
                  </c:pt>
                  <c:pt idx="2">
                    <c:v>water</c:v>
                  </c:pt>
                  <c:pt idx="3">
                    <c:v>Pcb1692</c:v>
                  </c:pt>
                  <c:pt idx="4">
                    <c:v>water</c:v>
                  </c:pt>
                  <c:pt idx="5">
                    <c:v>Pcb1692</c:v>
                  </c:pt>
                </c:lvl>
                <c:lvl>
                  <c:pt idx="0">
                    <c:v>Pcc</c:v>
                  </c:pt>
                  <c:pt idx="2">
                    <c:v>Pco</c:v>
                  </c:pt>
                  <c:pt idx="4">
                    <c:v>Dada</c:v>
                  </c:pt>
                </c:lvl>
              </c:multiLvlStrCache>
            </c:multiLvlStrRef>
          </c:cat>
          <c:val>
            <c:numRef>
              <c:f>'[Book1 (version 1).xls]Sheet2'!$C$18:$H$18</c:f>
              <c:numCache>
                <c:formatCode>General</c:formatCode>
                <c:ptCount val="6"/>
                <c:pt idx="0">
                  <c:v>7</c:v>
                </c:pt>
                <c:pt idx="1">
                  <c:v>1</c:v>
                </c:pt>
                <c:pt idx="2">
                  <c:v>7</c:v>
                </c:pt>
                <c:pt idx="3">
                  <c:v>1</c:v>
                </c:pt>
                <c:pt idx="4">
                  <c:v>7</c:v>
                </c:pt>
                <c:pt idx="5">
                  <c:v>1</c:v>
                </c:pt>
              </c:numCache>
            </c:numRef>
          </c:val>
        </c:ser>
        <c:axId val="99497472"/>
        <c:axId val="99499392"/>
      </c:barChart>
      <c:catAx>
        <c:axId val="99497472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lang="en-ZA" sz="1200"/>
                </a:pPr>
                <a:r>
                  <a:rPr lang="en-ZA" sz="1200" dirty="0"/>
                  <a:t>Target bacteria </a:t>
                </a:r>
                <a:r>
                  <a:rPr lang="en-ZA" sz="1200" dirty="0" smtClean="0"/>
                  <a:t>co-cultured</a:t>
                </a:r>
                <a:r>
                  <a:rPr lang="en-ZA" sz="1200" baseline="0" dirty="0" smtClean="0"/>
                  <a:t> </a:t>
                </a:r>
                <a:r>
                  <a:rPr lang="en-ZA" sz="1200" baseline="0" dirty="0"/>
                  <a:t>with water or </a:t>
                </a:r>
                <a:r>
                  <a:rPr lang="en-ZA" sz="1200" i="1" baseline="0" dirty="0"/>
                  <a:t>Pcb</a:t>
                </a:r>
                <a:r>
                  <a:rPr lang="en-ZA" sz="1200" baseline="0" dirty="0"/>
                  <a:t>1692 in M9 supplemented with different concentrations of iron</a:t>
                </a:r>
                <a:endParaRPr lang="en-ZA" sz="1200" dirty="0"/>
              </a:p>
            </c:rich>
          </c:tx>
          <c:layout>
            <c:manualLayout>
              <c:xMode val="edge"/>
              <c:yMode val="edge"/>
              <c:x val="7.4791780876806213E-2"/>
              <c:y val="0.90057423412050674"/>
            </c:manualLayout>
          </c:layout>
        </c:title>
        <c:numFmt formatCode="General" sourceLinked="1"/>
        <c:tickLblPos val="nextTo"/>
        <c:spPr>
          <a:ln>
            <a:solidFill>
              <a:sysClr val="windowText" lastClr="000000"/>
            </a:solidFill>
          </a:ln>
        </c:spPr>
        <c:txPr>
          <a:bodyPr/>
          <a:lstStyle/>
          <a:p>
            <a:pPr>
              <a:defRPr lang="en-ZA"/>
            </a:pPr>
            <a:endParaRPr lang="en-US"/>
          </a:p>
        </c:txPr>
        <c:crossAx val="99499392"/>
        <c:crosses val="autoZero"/>
        <c:auto val="1"/>
        <c:lblAlgn val="ctr"/>
        <c:lblOffset val="100"/>
      </c:catAx>
      <c:valAx>
        <c:axId val="99499392"/>
        <c:scaling>
          <c:orientation val="minMax"/>
        </c:scaling>
        <c:axPos val="l"/>
        <c:title>
          <c:tx>
            <c:rich>
              <a:bodyPr rot="-5400000" vert="horz"/>
              <a:lstStyle/>
              <a:p>
                <a:pPr>
                  <a:defRPr lang="en-ZA"/>
                </a:pPr>
                <a:r>
                  <a:rPr lang="en-US" sz="1200" b="1" i="0" u="none" strike="noStrike" baseline="0" dirty="0">
                    <a:latin typeface="Times New Roman" pitchFamily="18" charset="0"/>
                    <a:cs typeface="Times New Roman" pitchFamily="18" charset="0"/>
                  </a:rPr>
                  <a:t>Survival of targeted bacteria (Log</a:t>
                </a:r>
                <a:r>
                  <a:rPr lang="en-US" sz="1200" b="1" i="0" u="none" strike="noStrike" baseline="-25000" dirty="0">
                    <a:latin typeface="Times New Roman" pitchFamily="18" charset="0"/>
                    <a:cs typeface="Times New Roman" pitchFamily="18" charset="0"/>
                  </a:rPr>
                  <a:t>10</a:t>
                </a:r>
                <a:r>
                  <a:rPr lang="en-US" sz="1200" b="1" i="0" u="none" strike="noStrike" baseline="0" dirty="0">
                    <a:latin typeface="Times New Roman" pitchFamily="18" charset="0"/>
                    <a:cs typeface="Times New Roman" pitchFamily="18" charset="0"/>
                  </a:rPr>
                  <a:t> of </a:t>
                </a:r>
                <a:r>
                  <a:rPr lang="en-US" sz="1200" b="1" i="0" u="none" strike="noStrike" baseline="0" dirty="0" smtClean="0">
                    <a:latin typeface="Times New Roman" pitchFamily="18" charset="0"/>
                    <a:cs typeface="Times New Roman" pitchFamily="18" charset="0"/>
                  </a:rPr>
                  <a:t>CFU/ml)</a:t>
                </a:r>
                <a:endParaRPr lang="en-ZA" sz="1200" dirty="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>
            <c:manualLayout>
              <c:xMode val="edge"/>
              <c:yMode val="edge"/>
              <c:x val="0"/>
              <c:y val="0.1458428280618603"/>
            </c:manualLayout>
          </c:layout>
        </c:title>
        <c:numFmt formatCode="General" sourceLinked="1"/>
        <c:tickLblPos val="nextTo"/>
        <c:spPr>
          <a:ln>
            <a:solidFill>
              <a:schemeClr val="tx1"/>
            </a:solidFill>
          </a:ln>
        </c:spPr>
        <c:txPr>
          <a:bodyPr/>
          <a:lstStyle/>
          <a:p>
            <a:pPr>
              <a:defRPr lang="en-ZA"/>
            </a:pPr>
            <a:endParaRPr lang="en-US"/>
          </a:p>
        </c:txPr>
        <c:crossAx val="99497472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0.21686661404992177"/>
          <c:y val="0.95596983645589284"/>
          <c:w val="0.5075112328138407"/>
          <c:h val="3.9738411238800078E-2"/>
        </c:manualLayout>
      </c:layout>
      <c:txPr>
        <a:bodyPr/>
        <a:lstStyle/>
        <a:p>
          <a:pPr>
            <a:defRPr lang="en-ZA" sz="1200"/>
          </a:pPr>
          <a:endParaRPr lang="en-US"/>
        </a:p>
      </c:txPr>
    </c:legend>
    <c:plotVisOnly val="1"/>
    <c:dispBlanksAs val="gap"/>
  </c:chart>
  <c:externalData r:id="rId1"/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0.47494</cdr:x>
      <cdr:y>0.38267</cdr:y>
    </cdr:from>
    <cdr:to>
      <cdr:x>0.53226</cdr:x>
      <cdr:y>0.38295</cdr:y>
    </cdr:to>
    <cdr:sp macro="" textlink="">
      <cdr:nvSpPr>
        <cdr:cNvPr id="11" name="Straight Connector 10"/>
        <cdr:cNvSpPr/>
      </cdr:nvSpPr>
      <cdr:spPr>
        <a:xfrm xmlns:a="http://schemas.openxmlformats.org/drawingml/2006/main">
          <a:off x="4175470" y="2449375"/>
          <a:ext cx="503907" cy="1805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/>
          </a:solidFill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/>
        <a:lstStyle xmlns:a="http://schemas.openxmlformats.org/drawingml/2006/main"/>
        <a:p xmlns:a="http://schemas.openxmlformats.org/drawingml/2006/main">
          <a:endParaRPr lang="en-US"/>
        </a:p>
      </cdr:txBody>
    </cdr:sp>
  </cdr:relSizeAnchor>
  <cdr:relSizeAnchor xmlns:cdr="http://schemas.openxmlformats.org/drawingml/2006/chartDrawing">
    <cdr:from>
      <cdr:x>0.08145</cdr:x>
      <cdr:y>0.08642</cdr:y>
    </cdr:from>
    <cdr:to>
      <cdr:x>0.18145</cdr:x>
      <cdr:y>0.0867</cdr:y>
    </cdr:to>
    <cdr:sp macro="" textlink="">
      <cdr:nvSpPr>
        <cdr:cNvPr id="13" name="Straight Connector 12"/>
        <cdr:cNvSpPr/>
      </cdr:nvSpPr>
      <cdr:spPr>
        <a:xfrm xmlns:a="http://schemas.openxmlformats.org/drawingml/2006/main">
          <a:off x="716036" y="553126"/>
          <a:ext cx="879158" cy="1805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/>
          </a:solidFill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/>
        <a:lstStyle xmlns:a="http://schemas.openxmlformats.org/drawingml/2006/main"/>
        <a:p xmlns:a="http://schemas.openxmlformats.org/drawingml/2006/main">
          <a:endParaRPr lang="en-US"/>
        </a:p>
      </cdr:txBody>
    </cdr:sp>
  </cdr:relSizeAnchor>
  <cdr:relSizeAnchor xmlns:cdr="http://schemas.openxmlformats.org/drawingml/2006/chartDrawing">
    <cdr:from>
      <cdr:x>0.34567</cdr:x>
      <cdr:y>0.08297</cdr:y>
    </cdr:from>
    <cdr:to>
      <cdr:x>0.44689</cdr:x>
      <cdr:y>0.08325</cdr:y>
    </cdr:to>
    <cdr:sp macro="" textlink="">
      <cdr:nvSpPr>
        <cdr:cNvPr id="16" name="Straight Connector 15"/>
        <cdr:cNvSpPr/>
      </cdr:nvSpPr>
      <cdr:spPr>
        <a:xfrm xmlns:a="http://schemas.openxmlformats.org/drawingml/2006/main">
          <a:off x="3038998" y="531078"/>
          <a:ext cx="889879" cy="1806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/>
          </a:solidFill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/>
        <a:lstStyle xmlns:a="http://schemas.openxmlformats.org/drawingml/2006/main"/>
        <a:p xmlns:a="http://schemas.openxmlformats.org/drawingml/2006/main">
          <a:endParaRPr lang="en-US"/>
        </a:p>
      </cdr:txBody>
    </cdr:sp>
  </cdr:relSizeAnchor>
  <cdr:relSizeAnchor xmlns:cdr="http://schemas.openxmlformats.org/drawingml/2006/chartDrawing">
    <cdr:from>
      <cdr:x>0.20693</cdr:x>
      <cdr:y>0.38988</cdr:y>
    </cdr:from>
    <cdr:to>
      <cdr:x>0.28169</cdr:x>
      <cdr:y>0.39013</cdr:y>
    </cdr:to>
    <cdr:sp macro="" textlink="">
      <cdr:nvSpPr>
        <cdr:cNvPr id="20" name="Straight Connector 19"/>
        <cdr:cNvSpPr/>
      </cdr:nvSpPr>
      <cdr:spPr>
        <a:xfrm xmlns:a="http://schemas.openxmlformats.org/drawingml/2006/main">
          <a:off x="1819276" y="2495550"/>
          <a:ext cx="657225" cy="1588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/>
          </a:solidFill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/>
        <a:lstStyle xmlns:a="http://schemas.openxmlformats.org/drawingml/2006/main"/>
        <a:p xmlns:a="http://schemas.openxmlformats.org/drawingml/2006/main">
          <a:endParaRPr lang="en-US"/>
        </a:p>
      </cdr:txBody>
    </cdr:sp>
  </cdr:relSizeAnchor>
  <cdr:relSizeAnchor xmlns:cdr="http://schemas.openxmlformats.org/drawingml/2006/chartDrawing">
    <cdr:from>
      <cdr:x>0.26977</cdr:x>
      <cdr:y>0.68155</cdr:y>
    </cdr:from>
    <cdr:to>
      <cdr:x>0.31203</cdr:x>
      <cdr:y>0.6818</cdr:y>
    </cdr:to>
    <cdr:sp macro="" textlink="">
      <cdr:nvSpPr>
        <cdr:cNvPr id="22" name="Straight Connector 21"/>
        <cdr:cNvSpPr/>
      </cdr:nvSpPr>
      <cdr:spPr>
        <a:xfrm xmlns:a="http://schemas.openxmlformats.org/drawingml/2006/main">
          <a:off x="2371726" y="4362450"/>
          <a:ext cx="371475" cy="1588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/>
          </a:solidFill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/>
        <a:lstStyle xmlns:a="http://schemas.openxmlformats.org/drawingml/2006/main"/>
        <a:p xmlns:a="http://schemas.openxmlformats.org/drawingml/2006/main">
          <a:endParaRPr lang="en-US"/>
        </a:p>
      </cdr:txBody>
    </cdr:sp>
  </cdr:relSizeAnchor>
  <cdr:relSizeAnchor xmlns:cdr="http://schemas.openxmlformats.org/drawingml/2006/chartDrawing">
    <cdr:from>
      <cdr:x>0.53413</cdr:x>
      <cdr:y>0.67708</cdr:y>
    </cdr:from>
    <cdr:to>
      <cdr:x>0.5688</cdr:x>
      <cdr:y>0.67733</cdr:y>
    </cdr:to>
    <cdr:sp macro="" textlink="">
      <cdr:nvSpPr>
        <cdr:cNvPr id="24" name="Straight Connector 23"/>
        <cdr:cNvSpPr/>
      </cdr:nvSpPr>
      <cdr:spPr>
        <a:xfrm xmlns:a="http://schemas.openxmlformats.org/drawingml/2006/main">
          <a:off x="4695826" y="4333875"/>
          <a:ext cx="304800" cy="1588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/>
          </a:solidFill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/>
        <a:lstStyle xmlns:a="http://schemas.openxmlformats.org/drawingml/2006/main"/>
        <a:p xmlns:a="http://schemas.openxmlformats.org/drawingml/2006/main">
          <a:endParaRPr lang="en-US"/>
        </a:p>
      </cdr:txBody>
    </cdr:sp>
  </cdr:relSizeAnchor>
  <cdr:relSizeAnchor xmlns:cdr="http://schemas.openxmlformats.org/drawingml/2006/chartDrawing">
    <cdr:from>
      <cdr:x>0.7389</cdr:x>
      <cdr:y>0.38988</cdr:y>
    </cdr:from>
    <cdr:to>
      <cdr:x>0.79523</cdr:x>
      <cdr:y>0.39013</cdr:y>
    </cdr:to>
    <cdr:sp macro="" textlink="">
      <cdr:nvSpPr>
        <cdr:cNvPr id="26" name="Straight Connector 25"/>
        <cdr:cNvSpPr/>
      </cdr:nvSpPr>
      <cdr:spPr>
        <a:xfrm xmlns:a="http://schemas.openxmlformats.org/drawingml/2006/main">
          <a:off x="6496051" y="2495550"/>
          <a:ext cx="495300" cy="1588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/>
          </a:solidFill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/>
        <a:lstStyle xmlns:a="http://schemas.openxmlformats.org/drawingml/2006/main"/>
        <a:p xmlns:a="http://schemas.openxmlformats.org/drawingml/2006/main">
          <a:endParaRPr lang="en-US"/>
        </a:p>
      </cdr:txBody>
    </cdr:sp>
  </cdr:relSizeAnchor>
  <cdr:relSizeAnchor xmlns:cdr="http://schemas.openxmlformats.org/drawingml/2006/chartDrawing">
    <cdr:from>
      <cdr:x>0.11159</cdr:x>
      <cdr:y>0.04911</cdr:y>
    </cdr:from>
    <cdr:to>
      <cdr:x>0.14843</cdr:x>
      <cdr:y>0.08631</cdr:y>
    </cdr:to>
    <cdr:sp macro="" textlink="">
      <cdr:nvSpPr>
        <cdr:cNvPr id="33" name="TextBox 32"/>
        <cdr:cNvSpPr txBox="1"/>
      </cdr:nvSpPr>
      <cdr:spPr>
        <a:xfrm xmlns:a="http://schemas.openxmlformats.org/drawingml/2006/main">
          <a:off x="981076" y="314324"/>
          <a:ext cx="323850" cy="23812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/>
        <a:p xmlns:a="http://schemas.openxmlformats.org/drawingml/2006/main">
          <a:r>
            <a:rPr lang="en-ZA" sz="1100"/>
            <a:t>a</a:t>
          </a:r>
        </a:p>
      </cdr:txBody>
    </cdr:sp>
  </cdr:relSizeAnchor>
  <cdr:relSizeAnchor xmlns:cdr="http://schemas.openxmlformats.org/drawingml/2006/chartDrawing">
    <cdr:from>
      <cdr:x>0.2221</cdr:x>
      <cdr:y>0.34375</cdr:y>
    </cdr:from>
    <cdr:to>
      <cdr:x>0.25894</cdr:x>
      <cdr:y>0.38095</cdr:y>
    </cdr:to>
    <cdr:sp macro="" textlink="">
      <cdr:nvSpPr>
        <cdr:cNvPr id="34" name="TextBox 1"/>
        <cdr:cNvSpPr txBox="1"/>
      </cdr:nvSpPr>
      <cdr:spPr>
        <a:xfrm xmlns:a="http://schemas.openxmlformats.org/drawingml/2006/main">
          <a:off x="1952625" y="2200275"/>
          <a:ext cx="323850" cy="23812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lang="en-ZA" sz="1100" dirty="0"/>
            <a:t>b</a:t>
          </a:r>
        </a:p>
      </cdr:txBody>
    </cdr:sp>
  </cdr:relSizeAnchor>
  <cdr:relSizeAnchor xmlns:cdr="http://schemas.openxmlformats.org/drawingml/2006/chartDrawing">
    <cdr:from>
      <cdr:x>0.27086</cdr:x>
      <cdr:y>0.63839</cdr:y>
    </cdr:from>
    <cdr:to>
      <cdr:x>0.30769</cdr:x>
      <cdr:y>0.6756</cdr:y>
    </cdr:to>
    <cdr:sp macro="" textlink="">
      <cdr:nvSpPr>
        <cdr:cNvPr id="35" name="TextBox 1"/>
        <cdr:cNvSpPr txBox="1"/>
      </cdr:nvSpPr>
      <cdr:spPr>
        <a:xfrm xmlns:a="http://schemas.openxmlformats.org/drawingml/2006/main">
          <a:off x="2381250" y="4086225"/>
          <a:ext cx="323850" cy="23812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lang="en-ZA" sz="1100"/>
            <a:t>c</a:t>
          </a:r>
        </a:p>
      </cdr:txBody>
    </cdr:sp>
  </cdr:relSizeAnchor>
  <cdr:relSizeAnchor xmlns:cdr="http://schemas.openxmlformats.org/drawingml/2006/chartDrawing">
    <cdr:from>
      <cdr:x>0.37811</cdr:x>
      <cdr:y>0.04167</cdr:y>
    </cdr:from>
    <cdr:to>
      <cdr:x>0.41495</cdr:x>
      <cdr:y>0.07887</cdr:y>
    </cdr:to>
    <cdr:sp macro="" textlink="">
      <cdr:nvSpPr>
        <cdr:cNvPr id="36" name="TextBox 1"/>
        <cdr:cNvSpPr txBox="1"/>
      </cdr:nvSpPr>
      <cdr:spPr>
        <a:xfrm xmlns:a="http://schemas.openxmlformats.org/drawingml/2006/main">
          <a:off x="3324225" y="266700"/>
          <a:ext cx="323850" cy="23812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lang="en-ZA" sz="1100"/>
            <a:t>d</a:t>
          </a:r>
        </a:p>
      </cdr:txBody>
    </cdr:sp>
  </cdr:relSizeAnchor>
  <cdr:relSizeAnchor xmlns:cdr="http://schemas.openxmlformats.org/drawingml/2006/chartDrawing">
    <cdr:from>
      <cdr:x>0.48646</cdr:x>
      <cdr:y>0.33929</cdr:y>
    </cdr:from>
    <cdr:to>
      <cdr:x>0.52329</cdr:x>
      <cdr:y>0.37649</cdr:y>
    </cdr:to>
    <cdr:sp macro="" textlink="">
      <cdr:nvSpPr>
        <cdr:cNvPr id="37" name="TextBox 1"/>
        <cdr:cNvSpPr txBox="1"/>
      </cdr:nvSpPr>
      <cdr:spPr>
        <a:xfrm xmlns:a="http://schemas.openxmlformats.org/drawingml/2006/main">
          <a:off x="4276725" y="2171700"/>
          <a:ext cx="323850" cy="23812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lang="en-ZA" sz="1100"/>
            <a:t>e</a:t>
          </a:r>
        </a:p>
      </cdr:txBody>
    </cdr:sp>
  </cdr:relSizeAnchor>
  <cdr:relSizeAnchor xmlns:cdr="http://schemas.openxmlformats.org/drawingml/2006/chartDrawing">
    <cdr:from>
      <cdr:x>0.53196</cdr:x>
      <cdr:y>0.63244</cdr:y>
    </cdr:from>
    <cdr:to>
      <cdr:x>0.5688</cdr:x>
      <cdr:y>0.66964</cdr:y>
    </cdr:to>
    <cdr:sp macro="" textlink="">
      <cdr:nvSpPr>
        <cdr:cNvPr id="38" name="TextBox 1"/>
        <cdr:cNvSpPr txBox="1"/>
      </cdr:nvSpPr>
      <cdr:spPr>
        <a:xfrm xmlns:a="http://schemas.openxmlformats.org/drawingml/2006/main">
          <a:off x="4676775" y="4048125"/>
          <a:ext cx="323850" cy="23812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en-ZA" sz="1100"/>
            <a:t>f</a:t>
          </a:r>
        </a:p>
      </cdr:txBody>
    </cdr:sp>
  </cdr:relSizeAnchor>
  <cdr:relSizeAnchor xmlns:cdr="http://schemas.openxmlformats.org/drawingml/2006/chartDrawing">
    <cdr:from>
      <cdr:x>0.63597</cdr:x>
      <cdr:y>0.04911</cdr:y>
    </cdr:from>
    <cdr:to>
      <cdr:x>0.67281</cdr:x>
      <cdr:y>0.08631</cdr:y>
    </cdr:to>
    <cdr:sp macro="" textlink="">
      <cdr:nvSpPr>
        <cdr:cNvPr id="39" name="TextBox 1"/>
        <cdr:cNvSpPr txBox="1"/>
      </cdr:nvSpPr>
      <cdr:spPr>
        <a:xfrm xmlns:a="http://schemas.openxmlformats.org/drawingml/2006/main">
          <a:off x="5591175" y="314325"/>
          <a:ext cx="323850" cy="23812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lang="en-ZA" sz="1100"/>
            <a:t>g</a:t>
          </a:r>
        </a:p>
      </cdr:txBody>
    </cdr:sp>
  </cdr:relSizeAnchor>
  <cdr:relSizeAnchor xmlns:cdr="http://schemas.openxmlformats.org/drawingml/2006/chartDrawing">
    <cdr:from>
      <cdr:x>0.74756</cdr:x>
      <cdr:y>0.34077</cdr:y>
    </cdr:from>
    <cdr:to>
      <cdr:x>0.7844</cdr:x>
      <cdr:y>0.37798</cdr:y>
    </cdr:to>
    <cdr:sp macro="" textlink="">
      <cdr:nvSpPr>
        <cdr:cNvPr id="41" name="TextBox 1"/>
        <cdr:cNvSpPr txBox="1"/>
      </cdr:nvSpPr>
      <cdr:spPr>
        <a:xfrm xmlns:a="http://schemas.openxmlformats.org/drawingml/2006/main">
          <a:off x="6572250" y="2181225"/>
          <a:ext cx="323850" cy="23812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en-ZA" sz="1100"/>
            <a:t>h</a:t>
          </a:r>
        </a:p>
      </cdr:txBody>
    </cdr:sp>
  </cdr:relSizeAnchor>
  <cdr:relSizeAnchor xmlns:cdr="http://schemas.openxmlformats.org/drawingml/2006/chartDrawing">
    <cdr:from>
      <cdr:x>0.80173</cdr:x>
      <cdr:y>0.63542</cdr:y>
    </cdr:from>
    <cdr:to>
      <cdr:x>0.83857</cdr:x>
      <cdr:y>0.67262</cdr:y>
    </cdr:to>
    <cdr:sp macro="" textlink="">
      <cdr:nvSpPr>
        <cdr:cNvPr id="42" name="TextBox 1"/>
        <cdr:cNvSpPr txBox="1"/>
      </cdr:nvSpPr>
      <cdr:spPr>
        <a:xfrm xmlns:a="http://schemas.openxmlformats.org/drawingml/2006/main">
          <a:off x="7048500" y="4067175"/>
          <a:ext cx="323850" cy="23812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en-ZA" sz="1100"/>
            <a:t>i</a:t>
          </a:r>
        </a:p>
      </cdr:txBody>
    </cdr:sp>
  </cdr:relSizeAnchor>
  <cdr:relSizeAnchor xmlns:cdr="http://schemas.openxmlformats.org/drawingml/2006/chartDrawing">
    <cdr:from>
      <cdr:x>0.61277</cdr:x>
      <cdr:y>0.08702</cdr:y>
    </cdr:from>
    <cdr:to>
      <cdr:x>0.70283</cdr:x>
      <cdr:y>0.08702</cdr:y>
    </cdr:to>
    <cdr:cxnSp macro="">
      <cdr:nvCxnSpPr>
        <cdr:cNvPr id="3" name="Straight Connector 2"/>
        <cdr:cNvCxnSpPr/>
      </cdr:nvCxnSpPr>
      <cdr:spPr>
        <a:xfrm xmlns:a="http://schemas.openxmlformats.org/drawingml/2006/main">
          <a:off x="4899843" y="504056"/>
          <a:ext cx="720080" cy="0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/>
          </a:solidFill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0.80172</cdr:x>
      <cdr:y>0.68132</cdr:y>
    </cdr:from>
    <cdr:to>
      <cdr:x>0.83621</cdr:x>
      <cdr:y>0.68132</cdr:y>
    </cdr:to>
    <cdr:cxnSp macro="">
      <cdr:nvCxnSpPr>
        <cdr:cNvPr id="8" name="Straight Connector 7"/>
        <cdr:cNvCxnSpPr/>
      </cdr:nvCxnSpPr>
      <cdr:spPr>
        <a:xfrm xmlns:a="http://schemas.openxmlformats.org/drawingml/2006/main">
          <a:off x="6696744" y="4464496"/>
          <a:ext cx="288032" cy="0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/>
          </a:solidFill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0.87931</cdr:x>
      <cdr:y>0.13187</cdr:y>
    </cdr:from>
    <cdr:to>
      <cdr:x>0.98276</cdr:x>
      <cdr:y>0.17582</cdr:y>
    </cdr:to>
    <cdr:sp macro="" textlink="">
      <cdr:nvSpPr>
        <cdr:cNvPr id="9" name="TextBox 8"/>
        <cdr:cNvSpPr txBox="1"/>
      </cdr:nvSpPr>
      <cdr:spPr>
        <a:xfrm xmlns:a="http://schemas.openxmlformats.org/drawingml/2006/main">
          <a:off x="7344816" y="864096"/>
          <a:ext cx="864096" cy="288032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ZA" sz="1100" i="1" dirty="0" smtClean="0"/>
            <a:t>p</a:t>
          </a:r>
          <a:r>
            <a:rPr lang="en-ZA" sz="1100" dirty="0" smtClean="0"/>
            <a:t>-values</a:t>
          </a:r>
        </a:p>
        <a:p xmlns:a="http://schemas.openxmlformats.org/drawingml/2006/main">
          <a:endParaRPr lang="en-ZA" sz="1100" dirty="0"/>
        </a:p>
      </cdr:txBody>
    </cdr:sp>
  </cdr:relSizeAnchor>
  <cdr:relSizeAnchor xmlns:cdr="http://schemas.openxmlformats.org/drawingml/2006/chartDrawing">
    <cdr:from>
      <cdr:x>0.85246</cdr:x>
      <cdr:y>0.17582</cdr:y>
    </cdr:from>
    <cdr:to>
      <cdr:x>0.99138</cdr:x>
      <cdr:y>0.48352</cdr:y>
    </cdr:to>
    <cdr:sp macro="" textlink="">
      <cdr:nvSpPr>
        <cdr:cNvPr id="10" name="TextBox 9"/>
        <cdr:cNvSpPr txBox="1"/>
      </cdr:nvSpPr>
      <cdr:spPr>
        <a:xfrm xmlns:a="http://schemas.openxmlformats.org/drawingml/2006/main">
          <a:off x="7488832" y="1152128"/>
          <a:ext cx="1220411" cy="2016224"/>
        </a:xfrm>
        <a:prstGeom xmlns:a="http://schemas.openxmlformats.org/drawingml/2006/main" prst="rect">
          <a:avLst/>
        </a:prstGeom>
        <a:ln xmlns:a="http://schemas.openxmlformats.org/drawingml/2006/main">
          <a:solidFill>
            <a:schemeClr val="tx1"/>
          </a:solidFill>
        </a:ln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ZA" sz="1100" dirty="0" smtClean="0"/>
            <a:t>a + b = </a:t>
          </a:r>
          <a:r>
            <a:rPr lang="en-ZA" sz="1100" i="1" dirty="0" smtClean="0"/>
            <a:t>p</a:t>
          </a:r>
          <a:r>
            <a:rPr lang="en-ZA" sz="1100" dirty="0" smtClean="0"/>
            <a:t>&lt;0.05</a:t>
          </a:r>
        </a:p>
        <a:p xmlns:a="http://schemas.openxmlformats.org/drawingml/2006/main">
          <a:r>
            <a:rPr lang="en-ZA" dirty="0" smtClean="0"/>
            <a:t>b + c  = </a:t>
          </a:r>
          <a:r>
            <a:rPr lang="en-ZA" i="1" dirty="0" smtClean="0"/>
            <a:t>p</a:t>
          </a:r>
          <a:r>
            <a:rPr lang="en-ZA" dirty="0" smtClean="0"/>
            <a:t>&lt;0.05</a:t>
          </a:r>
          <a:endParaRPr lang="en-ZA" dirty="0"/>
        </a:p>
        <a:p xmlns:a="http://schemas.openxmlformats.org/drawingml/2006/main">
          <a:r>
            <a:rPr lang="en-ZA" sz="1100" dirty="0" smtClean="0"/>
            <a:t>a + c  = </a:t>
          </a:r>
          <a:r>
            <a:rPr lang="en-ZA" sz="1100" i="1" dirty="0" smtClean="0"/>
            <a:t>p</a:t>
          </a:r>
          <a:r>
            <a:rPr lang="en-ZA" sz="1100" dirty="0" smtClean="0"/>
            <a:t>&lt;0.0001</a:t>
          </a:r>
        </a:p>
        <a:p xmlns:a="http://schemas.openxmlformats.org/drawingml/2006/main">
          <a:endParaRPr lang="en-ZA" sz="1100" dirty="0" smtClean="0"/>
        </a:p>
        <a:p xmlns:a="http://schemas.openxmlformats.org/drawingml/2006/main">
          <a:r>
            <a:rPr lang="en-ZA" dirty="0" smtClean="0"/>
            <a:t>d </a:t>
          </a:r>
          <a:r>
            <a:rPr lang="en-ZA" dirty="0"/>
            <a:t>+ </a:t>
          </a:r>
          <a:r>
            <a:rPr lang="en-ZA" dirty="0" smtClean="0"/>
            <a:t>e = </a:t>
          </a:r>
          <a:r>
            <a:rPr lang="en-ZA" i="1" dirty="0" smtClean="0"/>
            <a:t>p</a:t>
          </a:r>
          <a:r>
            <a:rPr lang="en-ZA" dirty="0" smtClean="0"/>
            <a:t>&lt;0.05</a:t>
          </a:r>
          <a:endParaRPr lang="en-ZA" dirty="0"/>
        </a:p>
        <a:p xmlns:a="http://schemas.openxmlformats.org/drawingml/2006/main">
          <a:r>
            <a:rPr lang="en-ZA" dirty="0" smtClean="0"/>
            <a:t>e + f = </a:t>
          </a:r>
          <a:r>
            <a:rPr lang="en-ZA" i="1" dirty="0" smtClean="0"/>
            <a:t>p</a:t>
          </a:r>
          <a:r>
            <a:rPr lang="en-ZA" dirty="0" smtClean="0"/>
            <a:t>&lt;0.05</a:t>
          </a:r>
        </a:p>
        <a:p xmlns:a="http://schemas.openxmlformats.org/drawingml/2006/main">
          <a:r>
            <a:rPr lang="en-ZA" dirty="0" smtClean="0"/>
            <a:t>d + f = </a:t>
          </a:r>
          <a:r>
            <a:rPr lang="en-ZA" i="1" dirty="0" smtClean="0"/>
            <a:t>p</a:t>
          </a:r>
          <a:r>
            <a:rPr lang="en-ZA" dirty="0" smtClean="0"/>
            <a:t>&lt;0.0001</a:t>
          </a:r>
        </a:p>
        <a:p xmlns:a="http://schemas.openxmlformats.org/drawingml/2006/main">
          <a:endParaRPr lang="en-ZA" dirty="0"/>
        </a:p>
        <a:p xmlns:a="http://schemas.openxmlformats.org/drawingml/2006/main">
          <a:r>
            <a:rPr lang="en-ZA" dirty="0" smtClean="0"/>
            <a:t>g </a:t>
          </a:r>
          <a:r>
            <a:rPr lang="en-ZA" dirty="0"/>
            <a:t>+ </a:t>
          </a:r>
          <a:r>
            <a:rPr lang="en-ZA" dirty="0" smtClean="0"/>
            <a:t>h = </a:t>
          </a:r>
          <a:r>
            <a:rPr lang="en-ZA" i="1" dirty="0" smtClean="0"/>
            <a:t>p</a:t>
          </a:r>
          <a:r>
            <a:rPr lang="en-ZA" dirty="0" smtClean="0"/>
            <a:t>&lt;0.05</a:t>
          </a:r>
          <a:endParaRPr lang="en-ZA" dirty="0"/>
        </a:p>
        <a:p xmlns:a="http://schemas.openxmlformats.org/drawingml/2006/main">
          <a:r>
            <a:rPr lang="en-ZA" dirty="0" smtClean="0"/>
            <a:t>h + </a:t>
          </a:r>
          <a:r>
            <a:rPr lang="en-ZA" dirty="0" err="1" smtClean="0"/>
            <a:t>i</a:t>
          </a:r>
          <a:r>
            <a:rPr lang="en-ZA" dirty="0" smtClean="0"/>
            <a:t> = </a:t>
          </a:r>
          <a:r>
            <a:rPr lang="en-ZA" i="1" dirty="0" smtClean="0"/>
            <a:t>p</a:t>
          </a:r>
          <a:r>
            <a:rPr lang="en-ZA" dirty="0" smtClean="0"/>
            <a:t>&lt;0.05</a:t>
          </a:r>
        </a:p>
        <a:p xmlns:a="http://schemas.openxmlformats.org/drawingml/2006/main">
          <a:r>
            <a:rPr lang="en-ZA" dirty="0" smtClean="0"/>
            <a:t>g + </a:t>
          </a:r>
          <a:r>
            <a:rPr lang="en-ZA" dirty="0" err="1" smtClean="0"/>
            <a:t>i</a:t>
          </a:r>
          <a:r>
            <a:rPr lang="en-ZA" dirty="0" smtClean="0"/>
            <a:t> = </a:t>
          </a:r>
          <a:r>
            <a:rPr lang="en-ZA" i="1" dirty="0" smtClean="0"/>
            <a:t>p</a:t>
          </a:r>
          <a:r>
            <a:rPr lang="en-ZA" dirty="0" smtClean="0"/>
            <a:t>&lt;0.0001</a:t>
          </a:r>
          <a:endParaRPr lang="en-ZA" dirty="0"/>
        </a:p>
        <a:p xmlns:a="http://schemas.openxmlformats.org/drawingml/2006/main">
          <a:endParaRPr lang="en-ZA" sz="1100" dirty="0"/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Vimbai Siziba</cp:lastModifiedBy>
  <cp:revision>3</cp:revision>
  <dcterms:created xsi:type="dcterms:W3CDTF">2019-10-05T13:24:00Z</dcterms:created>
  <dcterms:modified xsi:type="dcterms:W3CDTF">2019-10-07T12:04:00Z</dcterms:modified>
</cp:coreProperties>
</file>