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EDA0FA" w14:textId="77777777" w:rsidR="00AF388D" w:rsidRDefault="001C3CC1" w:rsidP="00AF388D">
      <w:pPr>
        <w:keepNext/>
        <w:spacing w:line="480" w:lineRule="auto"/>
        <w:jc w:val="center"/>
      </w:pPr>
      <w:r>
        <w:rPr>
          <w:rFonts w:ascii="Arial" w:hAnsi="Arial" w:cs="Arial"/>
          <w:noProof/>
          <w:color w:val="111111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57A1D9B" wp14:editId="58CE8D09">
                <wp:simplePos x="0" y="0"/>
                <wp:positionH relativeFrom="column">
                  <wp:posOffset>180975</wp:posOffset>
                </wp:positionH>
                <wp:positionV relativeFrom="paragraph">
                  <wp:posOffset>2571750</wp:posOffset>
                </wp:positionV>
                <wp:extent cx="676275" cy="390525"/>
                <wp:effectExtent l="0" t="0" r="0" b="28575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390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1">
                          <a:schemeClr val="dk1"/>
                        </a:lnRef>
                        <a:fillRef idx="2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57310D0" w14:textId="77777777" w:rsidR="00AA63B1" w:rsidRPr="001C3CC1" w:rsidRDefault="00AA63B1" w:rsidP="001C3CC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30"/>
                                <w:szCs w:val="30"/>
                                <w:lang w:val="en-ZA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30"/>
                                <w:szCs w:val="30"/>
                                <w:lang w:val="en-ZA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57A1D9B" id="Rectangle 12" o:spid="_x0000_s1026" style="position:absolute;left:0;text-align:left;margin-left:14.25pt;margin-top:202.5pt;width:53.25pt;height:30.7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" filled="f" stroked="f">
                <v:shadow on="t" color="black" opacity="24903f" origin=",.5" offset="0,.55556mm"/>
                <v:textbox>
                  <w:txbxContent>
                    <w:p w14:paraId="157310D0" w14:textId="77777777" w:rsidR="00AA63B1" w:rsidRPr="001C3CC1" w:rsidRDefault="00AA63B1" w:rsidP="001C3CC1">
                      <w:pPr>
                        <w:jc w:val="center"/>
                        <w:rPr>
                          <w:rFonts w:ascii="Arial" w:hAnsi="Arial" w:cs="Arial"/>
                          <w:b/>
                          <w:sz w:val="30"/>
                          <w:szCs w:val="30"/>
                          <w:lang w:val="en-ZA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30"/>
                          <w:szCs w:val="30"/>
                          <w:lang w:val="en-ZA"/>
                        </w:rPr>
                        <w:t>B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Arial" w:hAnsi="Arial" w:cs="Arial"/>
          <w:noProof/>
          <w:color w:val="111111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7058849" wp14:editId="7A4A0F37">
                <wp:simplePos x="0" y="0"/>
                <wp:positionH relativeFrom="column">
                  <wp:posOffset>114300</wp:posOffset>
                </wp:positionH>
                <wp:positionV relativeFrom="paragraph">
                  <wp:posOffset>114300</wp:posOffset>
                </wp:positionV>
                <wp:extent cx="676275" cy="390525"/>
                <wp:effectExtent l="0" t="0" r="0" b="28575"/>
                <wp:wrapNone/>
                <wp:docPr id="10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390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1">
                          <a:schemeClr val="dk1"/>
                        </a:lnRef>
                        <a:fillRef idx="2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6F247CC" w14:textId="77777777" w:rsidR="00AA63B1" w:rsidRPr="001C3CC1" w:rsidRDefault="00AA63B1" w:rsidP="001C3CC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30"/>
                                <w:szCs w:val="30"/>
                                <w:lang w:val="en-ZA"/>
                              </w:rPr>
                            </w:pPr>
                            <w:r w:rsidRPr="001C3CC1">
                              <w:rPr>
                                <w:rFonts w:ascii="Arial" w:hAnsi="Arial" w:cs="Arial"/>
                                <w:b/>
                                <w:sz w:val="30"/>
                                <w:szCs w:val="30"/>
                                <w:lang w:val="en-ZA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7058849" id="Rectangle 10" o:spid="_x0000_s1027" style="position:absolute;left:0;text-align:left;margin-left:9pt;margin-top:9pt;width:53.25pt;height:30.7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" filled="f" stroked="f">
                <v:shadow on="t" color="black" opacity="24903f" origin=",.5" offset="0,.55556mm"/>
                <v:textbox>
                  <w:txbxContent>
                    <w:p w14:paraId="36F247CC" w14:textId="77777777" w:rsidR="00AA63B1" w:rsidRPr="001C3CC1" w:rsidRDefault="00AA63B1" w:rsidP="001C3CC1">
                      <w:pPr>
                        <w:jc w:val="center"/>
                        <w:rPr>
                          <w:rFonts w:ascii="Arial" w:hAnsi="Arial" w:cs="Arial"/>
                          <w:b/>
                          <w:sz w:val="30"/>
                          <w:szCs w:val="30"/>
                          <w:lang w:val="en-ZA"/>
                        </w:rPr>
                      </w:pPr>
                      <w:r w:rsidRPr="001C3CC1">
                        <w:rPr>
                          <w:rFonts w:ascii="Arial" w:hAnsi="Arial" w:cs="Arial"/>
                          <w:b/>
                          <w:sz w:val="30"/>
                          <w:szCs w:val="30"/>
                          <w:lang w:val="en-ZA"/>
                        </w:rPr>
                        <w:t>A</w:t>
                      </w:r>
                    </w:p>
                  </w:txbxContent>
                </v:textbox>
              </v:rect>
            </w:pict>
          </mc:Fallback>
        </mc:AlternateContent>
      </w:r>
      <w:r w:rsidR="00B5346D">
        <w:rPr>
          <w:rStyle w:val="apple-converted-space"/>
          <w:rFonts w:ascii="Arial" w:hAnsi="Arial" w:cs="Arial"/>
          <w:color w:val="111111"/>
          <w:sz w:val="20"/>
          <w:szCs w:val="20"/>
          <w:shd w:val="clear" w:color="auto" w:fill="FFFFFF"/>
        </w:rPr>
        <w:t> </w:t>
      </w:r>
      <w:r w:rsidR="002A34A7">
        <w:rPr>
          <w:rFonts w:ascii="Arial" w:hAnsi="Arial" w:cs="Arial"/>
          <w:noProof/>
          <w:color w:val="111111"/>
          <w:sz w:val="20"/>
          <w:szCs w:val="20"/>
          <w:shd w:val="clear" w:color="auto" w:fill="FFFFFF"/>
        </w:rPr>
        <w:drawing>
          <wp:inline distT="0" distB="0" distL="0" distR="0" wp14:anchorId="0636A1C0" wp14:editId="78E80475">
            <wp:extent cx="5612080" cy="5696607"/>
            <wp:effectExtent l="0" t="0" r="8255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3646" cy="56981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84577B4" w14:textId="60089537" w:rsidR="00AF388D" w:rsidRPr="000E4001" w:rsidRDefault="00535604" w:rsidP="00AF388D">
      <w:pPr>
        <w:pStyle w:val="Caption"/>
        <w:spacing w:after="0" w:line="480" w:lineRule="auto"/>
        <w:jc w:val="both"/>
        <w:rPr>
          <w:rFonts w:ascii="Arial" w:hAnsi="Arial" w:cs="Arial"/>
          <w:color w:val="auto"/>
          <w:sz w:val="20"/>
          <w:szCs w:val="20"/>
        </w:rPr>
      </w:pPr>
      <w:bookmarkStart w:id="0" w:name="_Ref420439556"/>
      <w:r>
        <w:rPr>
          <w:rFonts w:ascii="Arial" w:hAnsi="Arial" w:cs="Arial"/>
          <w:color w:val="auto"/>
          <w:sz w:val="20"/>
          <w:szCs w:val="20"/>
        </w:rPr>
        <w:t xml:space="preserve">S1 </w:t>
      </w:r>
      <w:r w:rsidR="00AF388D">
        <w:rPr>
          <w:rFonts w:ascii="Arial" w:hAnsi="Arial" w:cs="Arial"/>
          <w:color w:val="auto"/>
          <w:sz w:val="20"/>
          <w:szCs w:val="20"/>
        </w:rPr>
        <w:t>Fig</w:t>
      </w:r>
      <w:bookmarkStart w:id="1" w:name="_GoBack"/>
      <w:bookmarkEnd w:id="0"/>
      <w:bookmarkEnd w:id="1"/>
      <w:r w:rsidR="00AF388D" w:rsidRPr="000E4001">
        <w:rPr>
          <w:rFonts w:ascii="Arial" w:hAnsi="Arial" w:cs="Arial"/>
          <w:color w:val="auto"/>
          <w:sz w:val="20"/>
          <w:szCs w:val="20"/>
        </w:rPr>
        <w:t xml:space="preserve">. </w:t>
      </w:r>
      <w:r w:rsidR="001C3CC1">
        <w:rPr>
          <w:rFonts w:ascii="Arial" w:hAnsi="Arial" w:cs="Arial"/>
          <w:color w:val="auto"/>
          <w:sz w:val="20"/>
          <w:szCs w:val="20"/>
        </w:rPr>
        <w:t>Comparative</w:t>
      </w:r>
      <w:r w:rsidR="00AF388D" w:rsidRPr="000E4001">
        <w:rPr>
          <w:rFonts w:ascii="Arial" w:hAnsi="Arial" w:cs="Arial"/>
          <w:color w:val="auto"/>
          <w:sz w:val="20"/>
          <w:szCs w:val="20"/>
        </w:rPr>
        <w:t xml:space="preserve"> analysis of all members of the </w:t>
      </w:r>
      <w:r w:rsidR="00AF388D" w:rsidRPr="009D6F72">
        <w:rPr>
          <w:rFonts w:ascii="Arial" w:hAnsi="Arial" w:cs="Arial"/>
          <w:i/>
          <w:color w:val="auto"/>
          <w:sz w:val="20"/>
          <w:szCs w:val="20"/>
        </w:rPr>
        <w:t>Arabidopsis</w:t>
      </w:r>
      <w:r w:rsidR="00AF388D" w:rsidRPr="000E4001">
        <w:rPr>
          <w:rFonts w:ascii="Arial" w:hAnsi="Arial" w:cs="Arial"/>
          <w:color w:val="auto"/>
          <w:sz w:val="20"/>
          <w:szCs w:val="20"/>
        </w:rPr>
        <w:t xml:space="preserve"> domain of unknown function 1218 (DUF1218) family and expression profiling of the candidate members, MODIFYING WALL LIGNIN-1 (</w:t>
      </w:r>
      <w:r w:rsidR="00AF388D" w:rsidRPr="00A061D3">
        <w:rPr>
          <w:rFonts w:ascii="Arial" w:hAnsi="Arial" w:cs="Arial"/>
          <w:i/>
          <w:color w:val="auto"/>
          <w:sz w:val="20"/>
          <w:szCs w:val="20"/>
        </w:rPr>
        <w:t>MWL-1</w:t>
      </w:r>
      <w:r w:rsidR="00AF388D" w:rsidRPr="000E4001">
        <w:rPr>
          <w:rFonts w:ascii="Arial" w:hAnsi="Arial" w:cs="Arial"/>
          <w:color w:val="auto"/>
          <w:sz w:val="20"/>
          <w:szCs w:val="20"/>
        </w:rPr>
        <w:t xml:space="preserve">, At1g31720) and </w:t>
      </w:r>
      <w:r w:rsidR="00AF388D" w:rsidRPr="00A061D3">
        <w:rPr>
          <w:rFonts w:ascii="Arial" w:hAnsi="Arial" w:cs="Arial"/>
          <w:i/>
          <w:color w:val="auto"/>
          <w:sz w:val="20"/>
          <w:szCs w:val="20"/>
        </w:rPr>
        <w:t>MWL-2</w:t>
      </w:r>
      <w:r w:rsidR="00AF388D" w:rsidRPr="000E4001">
        <w:rPr>
          <w:rFonts w:ascii="Arial" w:hAnsi="Arial" w:cs="Arial"/>
          <w:color w:val="auto"/>
          <w:sz w:val="20"/>
          <w:szCs w:val="20"/>
        </w:rPr>
        <w:t xml:space="preserve"> (At4g19370).</w:t>
      </w:r>
    </w:p>
    <w:p w14:paraId="33919705" w14:textId="1A49B164" w:rsidR="00E711F6" w:rsidRDefault="00AF388D" w:rsidP="00C74A7B">
      <w:pPr>
        <w:pStyle w:val="Caption"/>
        <w:spacing w:after="0" w:line="480" w:lineRule="auto"/>
        <w:jc w:val="both"/>
        <w:rPr>
          <w:rFonts w:ascii="Arial" w:hAnsi="Arial" w:cs="Arial"/>
          <w:sz w:val="20"/>
          <w:szCs w:val="20"/>
        </w:rPr>
      </w:pPr>
      <w:r w:rsidRPr="001E402B">
        <w:rPr>
          <w:rFonts w:ascii="Arial" w:hAnsi="Arial" w:cs="Arial"/>
          <w:b w:val="0"/>
          <w:noProof/>
          <w:color w:val="auto"/>
          <w:sz w:val="20"/>
          <w:szCs w:val="20"/>
        </w:rPr>
        <w:t xml:space="preserve">A. Neighbor-joining phylogenetic tree of </w:t>
      </w:r>
      <w:r w:rsidRPr="001E402B">
        <w:rPr>
          <w:rFonts w:ascii="Arial" w:hAnsi="Arial" w:cs="Arial"/>
          <w:b w:val="0"/>
          <w:i/>
          <w:noProof/>
          <w:color w:val="auto"/>
          <w:sz w:val="20"/>
          <w:szCs w:val="20"/>
        </w:rPr>
        <w:t>Arabdiopsis</w:t>
      </w:r>
      <w:r w:rsidRPr="001E402B">
        <w:rPr>
          <w:rFonts w:ascii="Arial" w:hAnsi="Arial" w:cs="Arial"/>
          <w:b w:val="0"/>
          <w:noProof/>
          <w:color w:val="auto"/>
          <w:sz w:val="20"/>
          <w:szCs w:val="20"/>
        </w:rPr>
        <w:t xml:space="preserve"> DUF1218-containing proteins. ClustalW was used to align protein sequences from TAIR and </w:t>
      </w:r>
      <w:r w:rsidR="00C264ED">
        <w:rPr>
          <w:rFonts w:ascii="Arial" w:hAnsi="Arial" w:cs="Arial"/>
          <w:b w:val="0"/>
          <w:noProof/>
          <w:color w:val="auto"/>
          <w:sz w:val="20"/>
          <w:szCs w:val="20"/>
        </w:rPr>
        <w:t xml:space="preserve">the alignment </w:t>
      </w:r>
      <w:r w:rsidRPr="001E402B">
        <w:rPr>
          <w:rFonts w:ascii="Arial" w:hAnsi="Arial" w:cs="Arial"/>
          <w:b w:val="0"/>
          <w:noProof/>
          <w:color w:val="auto"/>
          <w:sz w:val="20"/>
          <w:szCs w:val="20"/>
        </w:rPr>
        <w:t xml:space="preserve">thereafter used to construct the tree using p-distance and pairwise deletion with 1000 bootstrap replicates in MEGA5 </w:t>
      </w:r>
      <w:r w:rsidRPr="001E402B">
        <w:rPr>
          <w:rFonts w:ascii="Arial" w:hAnsi="Arial" w:cs="Arial"/>
          <w:b w:val="0"/>
          <w:noProof/>
          <w:color w:val="auto"/>
          <w:sz w:val="20"/>
          <w:szCs w:val="20"/>
        </w:rPr>
        <w:fldChar w:fldCharType="begin"/>
      </w:r>
      <w:r w:rsidR="00A10DA4">
        <w:rPr>
          <w:rFonts w:ascii="Arial" w:hAnsi="Arial" w:cs="Arial"/>
          <w:b w:val="0"/>
          <w:noProof/>
          <w:color w:val="auto"/>
          <w:sz w:val="20"/>
          <w:szCs w:val="20"/>
        </w:rPr>
        <w:instrText xml:space="preserve"> ADDIN EN.CITE &lt;EndNote&gt;&lt;Cite&gt;&lt;Author&gt;Tamura&lt;/Author&gt;&lt;Year&gt;2011&lt;/Year&gt;&lt;RecNum&gt;16&lt;/RecNum&gt;&lt;DisplayText&gt;[1]&lt;/DisplayText&gt;&lt;record&gt;&lt;rec-number&gt;16&lt;/rec-number&gt;&lt;foreign-keys&gt;&lt;key app="EN" db-id="0tee5xx2550tade5tsup552ms0ea9aw9edvw"&gt;16&lt;/key&gt;&lt;/foreign-keys&gt;&lt;ref-type name="Journal Article"&gt;17&lt;/ref-type&gt;&lt;contributors&gt;&lt;authors&gt;&lt;author&gt;Tamura, Koichiro&lt;/author&gt;&lt;author&gt;Peterson, Daniel&lt;/author&gt;&lt;author&gt;Peterson, Nicholas&lt;/author&gt;&lt;author&gt;Stecher, Glen&lt;/author&gt;&lt;author&gt;Nei, Masatoshi&lt;/author&gt;&lt;author&gt;Kumar, Sudhir&lt;/author&gt;&lt;/authors&gt;&lt;/contributors&gt;&lt;titles&gt;&lt;title&gt;MEGA5: molecular evolutionary genetics analysis using maximum likelihood, evolutionary distance, and maximum parsimony methods&lt;/title&gt;&lt;secondary-title&gt;Molecular biology and evolution&lt;/secondary-title&gt;&lt;/titles&gt;&lt;periodical&gt;&lt;full-title&gt;Molecular Biology and Evolution&lt;/full-title&gt;&lt;abbr-1&gt;Mol. Biol. Evol.&lt;/abbr-1&gt;&lt;/periodical&gt;&lt;pages&gt;2731-2739&lt;/pages&gt;&lt;volume&gt;28&lt;/volume&gt;&lt;number&gt;10&lt;/number&gt;&lt;dates&gt;&lt;year&gt;2011&lt;/year&gt;&lt;/dates&gt;&lt;isbn&gt;0737-4038&lt;/isbn&gt;&lt;urls&gt;&lt;/urls&gt;&lt;/record&gt;&lt;/Cite&gt;&lt;/EndNote&gt;</w:instrText>
      </w:r>
      <w:r w:rsidRPr="001E402B">
        <w:rPr>
          <w:rFonts w:ascii="Arial" w:hAnsi="Arial" w:cs="Arial"/>
          <w:b w:val="0"/>
          <w:noProof/>
          <w:color w:val="auto"/>
          <w:sz w:val="20"/>
          <w:szCs w:val="20"/>
        </w:rPr>
        <w:fldChar w:fldCharType="separate"/>
      </w:r>
      <w:r w:rsidR="00A10DA4">
        <w:rPr>
          <w:rFonts w:ascii="Arial" w:hAnsi="Arial" w:cs="Arial"/>
          <w:b w:val="0"/>
          <w:noProof/>
          <w:color w:val="auto"/>
          <w:sz w:val="20"/>
          <w:szCs w:val="20"/>
        </w:rPr>
        <w:t>[</w:t>
      </w:r>
      <w:hyperlink w:anchor="_ENREF_1" w:tooltip="Tamura, 2011 #16" w:history="1">
        <w:r w:rsidR="00677313">
          <w:rPr>
            <w:rFonts w:ascii="Arial" w:hAnsi="Arial" w:cs="Arial"/>
            <w:b w:val="0"/>
            <w:noProof/>
            <w:color w:val="auto"/>
            <w:sz w:val="20"/>
            <w:szCs w:val="20"/>
          </w:rPr>
          <w:t>1</w:t>
        </w:r>
      </w:hyperlink>
      <w:r w:rsidR="00A10DA4">
        <w:rPr>
          <w:rFonts w:ascii="Arial" w:hAnsi="Arial" w:cs="Arial"/>
          <w:b w:val="0"/>
          <w:noProof/>
          <w:color w:val="auto"/>
          <w:sz w:val="20"/>
          <w:szCs w:val="20"/>
        </w:rPr>
        <w:t>]</w:t>
      </w:r>
      <w:r w:rsidRPr="001E402B">
        <w:rPr>
          <w:rFonts w:ascii="Arial" w:hAnsi="Arial" w:cs="Arial"/>
          <w:b w:val="0"/>
          <w:noProof/>
          <w:color w:val="auto"/>
          <w:sz w:val="20"/>
          <w:szCs w:val="20"/>
        </w:rPr>
        <w:fldChar w:fldCharType="end"/>
      </w:r>
      <w:r w:rsidRPr="001E402B">
        <w:rPr>
          <w:rFonts w:ascii="Arial" w:hAnsi="Arial" w:cs="Arial"/>
          <w:b w:val="0"/>
          <w:noProof/>
          <w:color w:val="auto"/>
          <w:sz w:val="20"/>
          <w:szCs w:val="20"/>
        </w:rPr>
        <w:t>.</w:t>
      </w:r>
      <w:r w:rsidRPr="001E402B">
        <w:rPr>
          <w:rFonts w:ascii="Arial" w:hAnsi="Arial" w:cs="Arial"/>
          <w:b w:val="0"/>
          <w:color w:val="auto"/>
          <w:sz w:val="20"/>
          <w:szCs w:val="20"/>
        </w:rPr>
        <w:t xml:space="preserve"> </w:t>
      </w:r>
      <w:r w:rsidR="00A10DA4">
        <w:rPr>
          <w:rFonts w:ascii="Arial" w:hAnsi="Arial" w:cs="Arial"/>
          <w:b w:val="0"/>
          <w:color w:val="auto"/>
          <w:sz w:val="20"/>
          <w:szCs w:val="20"/>
        </w:rPr>
        <w:t xml:space="preserve">Prediction of subcellular localization, signal peptide and number of transmembrane domains was done using SUBA3 </w:t>
      </w:r>
      <w:r w:rsidR="00A10DA4">
        <w:rPr>
          <w:rFonts w:ascii="Arial" w:hAnsi="Arial" w:cs="Arial"/>
          <w:b w:val="0"/>
          <w:color w:val="auto"/>
          <w:sz w:val="20"/>
          <w:szCs w:val="20"/>
        </w:rPr>
        <w:fldChar w:fldCharType="begin"/>
      </w:r>
      <w:r w:rsidR="00A10DA4">
        <w:rPr>
          <w:rFonts w:ascii="Arial" w:hAnsi="Arial" w:cs="Arial"/>
          <w:b w:val="0"/>
          <w:color w:val="auto"/>
          <w:sz w:val="20"/>
          <w:szCs w:val="20"/>
        </w:rPr>
        <w:instrText xml:space="preserve"> ADDIN EN.CITE &lt;EndNote&gt;&lt;Cite&gt;&lt;Author&gt;Hooper&lt;/Author&gt;&lt;Year&gt;2014&lt;/Year&gt;&lt;RecNum&gt;150&lt;/RecNum&gt;&lt;DisplayText&gt;[2]&lt;/DisplayText&gt;&lt;record&gt;&lt;rec-number&gt;150&lt;/rec-number&gt;&lt;foreign-keys&gt;&lt;key app="EN" db-id="0tee5xx2550tade5tsup552ms0ea9aw9edvw"&gt;150&lt;/key&gt;&lt;/foreign-keys&gt;&lt;ref-type name="Journal Article"&gt;17&lt;/ref-type&gt;&lt;contributors&gt;&lt;authors&gt;&lt;author&gt;Hooper, Cornelia M&lt;/author&gt;&lt;author&gt;Tanz, Sandra K&lt;/author&gt;&lt;author&gt;Castleden, Ian R&lt;/author&gt;&lt;author&gt;Vacher, Michael A&lt;/author&gt;&lt;author&gt;Small, Ian D&lt;/author&gt;&lt;author&gt;Millar, A Harvey&lt;/author&gt;&lt;/authors&gt;&lt;/contributors&gt;&lt;titles&gt;&lt;title&gt;SUBAcon: a consensus algorithm for unifying the subcellular localization data of the Arabidopsis proteome&lt;/title&gt;&lt;secondary-title&gt;Bioinformatics&lt;/secondary-title&gt;&lt;/titles&gt;&lt;periodical&gt;&lt;full-title&gt;Bioinformatics&lt;/full-title&gt;&lt;abbr-1&gt;Bioinformatics&lt;/abbr-1&gt;&lt;/periodical&gt;&lt;pages&gt;3356-3364&lt;/pages&gt;&lt;volume&gt;30&lt;/volume&gt;&lt;number&gt;23&lt;/number&gt;&lt;dates&gt;&lt;year&gt;2014&lt;/year&gt;&lt;/dates&gt;&lt;isbn&gt;1367-4803&lt;/isbn&gt;&lt;urls&gt;&lt;/urls&gt;&lt;/record&gt;&lt;/Cite&gt;&lt;/EndNote&gt;</w:instrText>
      </w:r>
      <w:r w:rsidR="00A10DA4">
        <w:rPr>
          <w:rFonts w:ascii="Arial" w:hAnsi="Arial" w:cs="Arial"/>
          <w:b w:val="0"/>
          <w:color w:val="auto"/>
          <w:sz w:val="20"/>
          <w:szCs w:val="20"/>
        </w:rPr>
        <w:fldChar w:fldCharType="separate"/>
      </w:r>
      <w:r w:rsidR="00A10DA4">
        <w:rPr>
          <w:rFonts w:ascii="Arial" w:hAnsi="Arial" w:cs="Arial"/>
          <w:b w:val="0"/>
          <w:noProof/>
          <w:color w:val="auto"/>
          <w:sz w:val="20"/>
          <w:szCs w:val="20"/>
        </w:rPr>
        <w:t>[</w:t>
      </w:r>
      <w:hyperlink w:anchor="_ENREF_2" w:tooltip="Hooper, 2014 #150" w:history="1">
        <w:r w:rsidR="00677313">
          <w:rPr>
            <w:rFonts w:ascii="Arial" w:hAnsi="Arial" w:cs="Arial"/>
            <w:b w:val="0"/>
            <w:noProof/>
            <w:color w:val="auto"/>
            <w:sz w:val="20"/>
            <w:szCs w:val="20"/>
          </w:rPr>
          <w:t>2</w:t>
        </w:r>
      </w:hyperlink>
      <w:r w:rsidR="00A10DA4">
        <w:rPr>
          <w:rFonts w:ascii="Arial" w:hAnsi="Arial" w:cs="Arial"/>
          <w:b w:val="0"/>
          <w:noProof/>
          <w:color w:val="auto"/>
          <w:sz w:val="20"/>
          <w:szCs w:val="20"/>
        </w:rPr>
        <w:t>]</w:t>
      </w:r>
      <w:r w:rsidR="00A10DA4">
        <w:rPr>
          <w:rFonts w:ascii="Arial" w:hAnsi="Arial" w:cs="Arial"/>
          <w:b w:val="0"/>
          <w:color w:val="auto"/>
          <w:sz w:val="20"/>
          <w:szCs w:val="20"/>
        </w:rPr>
        <w:fldChar w:fldCharType="end"/>
      </w:r>
      <w:r w:rsidR="00A10DA4">
        <w:rPr>
          <w:rFonts w:ascii="Arial" w:hAnsi="Arial" w:cs="Arial"/>
          <w:b w:val="0"/>
          <w:color w:val="auto"/>
          <w:sz w:val="20"/>
          <w:szCs w:val="20"/>
        </w:rPr>
        <w:t xml:space="preserve">, Signal-3L </w:t>
      </w:r>
      <w:r w:rsidR="00A10DA4">
        <w:rPr>
          <w:rFonts w:ascii="Arial" w:hAnsi="Arial" w:cs="Arial"/>
          <w:b w:val="0"/>
          <w:color w:val="auto"/>
          <w:sz w:val="20"/>
          <w:szCs w:val="20"/>
        </w:rPr>
        <w:fldChar w:fldCharType="begin"/>
      </w:r>
      <w:r w:rsidR="00A10DA4">
        <w:rPr>
          <w:rFonts w:ascii="Arial" w:hAnsi="Arial" w:cs="Arial"/>
          <w:b w:val="0"/>
          <w:color w:val="auto"/>
          <w:sz w:val="20"/>
          <w:szCs w:val="20"/>
        </w:rPr>
        <w:instrText xml:space="preserve"> ADDIN EN.CITE &lt;EndNote&gt;&lt;Cite&gt;&lt;Author&gt;Shen&lt;/Author&gt;&lt;Year&gt;2007&lt;/Year&gt;&lt;RecNum&gt;19&lt;/RecNum&gt;&lt;DisplayText&gt;[3]&lt;/DisplayText&gt;&lt;record&gt;&lt;rec-number&gt;19&lt;/rec-number&gt;&lt;foreign-keys&gt;&lt;key app="EN" db-id="0tee5xx2550tade5tsup552ms0ea9aw9edvw"&gt;19&lt;/key&gt;&lt;/foreign-keys&gt;&lt;ref-type name="Journal Article"&gt;17&lt;/ref-type&gt;&lt;contributors&gt;&lt;authors&gt;&lt;author&gt;Shen, Hong-Bin&lt;/author&gt;&lt;author&gt;Chou, Kuo-Chen&lt;/author&gt;&lt;/authors&gt;&lt;/contributors&gt;&lt;titles&gt;&lt;title&gt;Signal-3L: A 3-layer approach for predicting signal peptides&lt;/title&gt;&lt;secondary-title&gt;Biochemical and biophysical research communications&lt;/secondary-title&gt;&lt;/titles&gt;&lt;periodical&gt;&lt;full-title&gt;Biochemical and Biophysical Research Communications&lt;/full-title&gt;&lt;abbr-1&gt;Biochem. Biophys. Res. Commun.&lt;/abbr-1&gt;&lt;/periodical&gt;&lt;pages&gt;297-303&lt;/pages&gt;&lt;volume&gt;363&lt;/volume&gt;&lt;number&gt;2&lt;/number&gt;&lt;dates&gt;&lt;year&gt;2007&lt;/year&gt;&lt;/dates&gt;&lt;isbn&gt;0006-291X&lt;/isbn&gt;&lt;urls&gt;&lt;/urls&gt;&lt;/record&gt;&lt;/Cite&gt;&lt;/EndNote&gt;</w:instrText>
      </w:r>
      <w:r w:rsidR="00A10DA4">
        <w:rPr>
          <w:rFonts w:ascii="Arial" w:hAnsi="Arial" w:cs="Arial"/>
          <w:b w:val="0"/>
          <w:color w:val="auto"/>
          <w:sz w:val="20"/>
          <w:szCs w:val="20"/>
        </w:rPr>
        <w:fldChar w:fldCharType="separate"/>
      </w:r>
      <w:r w:rsidR="00A10DA4">
        <w:rPr>
          <w:rFonts w:ascii="Arial" w:hAnsi="Arial" w:cs="Arial"/>
          <w:b w:val="0"/>
          <w:noProof/>
          <w:color w:val="auto"/>
          <w:sz w:val="20"/>
          <w:szCs w:val="20"/>
        </w:rPr>
        <w:t>[</w:t>
      </w:r>
      <w:hyperlink w:anchor="_ENREF_3" w:tooltip="Shen, 2007 #19" w:history="1">
        <w:r w:rsidR="00677313">
          <w:rPr>
            <w:rFonts w:ascii="Arial" w:hAnsi="Arial" w:cs="Arial"/>
            <w:b w:val="0"/>
            <w:noProof/>
            <w:color w:val="auto"/>
            <w:sz w:val="20"/>
            <w:szCs w:val="20"/>
          </w:rPr>
          <w:t>3</w:t>
        </w:r>
      </w:hyperlink>
      <w:r w:rsidR="00A10DA4">
        <w:rPr>
          <w:rFonts w:ascii="Arial" w:hAnsi="Arial" w:cs="Arial"/>
          <w:b w:val="0"/>
          <w:noProof/>
          <w:color w:val="auto"/>
          <w:sz w:val="20"/>
          <w:szCs w:val="20"/>
        </w:rPr>
        <w:t>]</w:t>
      </w:r>
      <w:r w:rsidR="00A10DA4">
        <w:rPr>
          <w:rFonts w:ascii="Arial" w:hAnsi="Arial" w:cs="Arial"/>
          <w:b w:val="0"/>
          <w:color w:val="auto"/>
          <w:sz w:val="20"/>
          <w:szCs w:val="20"/>
        </w:rPr>
        <w:fldChar w:fldCharType="end"/>
      </w:r>
      <w:r w:rsidR="00A10DA4">
        <w:rPr>
          <w:rFonts w:ascii="Arial" w:hAnsi="Arial" w:cs="Arial"/>
          <w:b w:val="0"/>
          <w:color w:val="auto"/>
          <w:sz w:val="20"/>
          <w:szCs w:val="20"/>
        </w:rPr>
        <w:t xml:space="preserve"> and TMHMM</w:t>
      </w:r>
      <w:r w:rsidR="00677313">
        <w:rPr>
          <w:rFonts w:ascii="Arial" w:hAnsi="Arial" w:cs="Arial"/>
          <w:b w:val="0"/>
          <w:color w:val="auto"/>
          <w:sz w:val="20"/>
          <w:szCs w:val="20"/>
        </w:rPr>
        <w:t xml:space="preserve"> </w:t>
      </w:r>
      <w:r w:rsidR="00677313">
        <w:rPr>
          <w:rFonts w:ascii="Arial" w:hAnsi="Arial" w:cs="Arial"/>
          <w:b w:val="0"/>
          <w:color w:val="auto"/>
          <w:sz w:val="20"/>
          <w:szCs w:val="20"/>
        </w:rPr>
        <w:fldChar w:fldCharType="begin"/>
      </w:r>
      <w:r w:rsidR="00677313">
        <w:rPr>
          <w:rFonts w:ascii="Arial" w:hAnsi="Arial" w:cs="Arial"/>
          <w:b w:val="0"/>
          <w:color w:val="auto"/>
          <w:sz w:val="20"/>
          <w:szCs w:val="20"/>
        </w:rPr>
        <w:instrText xml:space="preserve"> ADDIN EN.CITE &lt;EndNote&gt;&lt;Cite&gt;&lt;Author&gt;Krogh&lt;/Author&gt;&lt;Year&gt;2001&lt;/Year&gt;&lt;RecNum&gt;25&lt;/RecNum&gt;&lt;DisplayText&gt;[4]&lt;/DisplayText&gt;&lt;record&gt;&lt;rec-number&gt;25&lt;/rec-number&gt;&lt;foreign-keys&gt;&lt;key app="EN" db-id="0tee5xx2550tade5tsup552ms0ea9aw9edvw"&gt;25&lt;/key&gt;&lt;/foreign-keys&gt;&lt;ref-type name="Journal Article"&gt;17&lt;/ref-type&gt;&lt;contributors&gt;&lt;authors&gt;&lt;author&gt;Krogh, Anders&lt;/author&gt;&lt;author&gt;Larsson, BjoÈrn&lt;/author&gt;&lt;author&gt;Von Heijne, Gunnar&lt;/author&gt;&lt;author&gt;Sonnhammer, Erik LL&lt;/author&gt;&lt;/authors&gt;&lt;/contributors&gt;&lt;titles&gt;&lt;title&gt;Predicting transmembrane protein topology with a hidden Markov model: application to complete genomes&lt;/title&gt;&lt;secondary-title&gt;Journal of Molecular Biology&lt;/secondary-title&gt;&lt;/titles&gt;&lt;periodical&gt;&lt;full-title&gt;Journal of Molecular Biology&lt;/full-title&gt;&lt;abbr-1&gt;J. Mol. Biol.&lt;/abbr-1&gt;&lt;/periodical&gt;&lt;pages&gt;567-580&lt;/pages&gt;&lt;volume&gt;305&lt;/volume&gt;&lt;number&gt;3&lt;/number&gt;&lt;dates&gt;&lt;year&gt;2001&lt;/year&gt;&lt;/dates&gt;&lt;isbn&gt;0022-2836&lt;/isbn&gt;&lt;urls&gt;&lt;/urls&gt;&lt;/record&gt;&lt;/Cite&gt;&lt;/EndNote&gt;</w:instrText>
      </w:r>
      <w:r w:rsidR="00677313">
        <w:rPr>
          <w:rFonts w:ascii="Arial" w:hAnsi="Arial" w:cs="Arial"/>
          <w:b w:val="0"/>
          <w:color w:val="auto"/>
          <w:sz w:val="20"/>
          <w:szCs w:val="20"/>
        </w:rPr>
        <w:fldChar w:fldCharType="separate"/>
      </w:r>
      <w:r w:rsidR="00677313">
        <w:rPr>
          <w:rFonts w:ascii="Arial" w:hAnsi="Arial" w:cs="Arial"/>
          <w:b w:val="0"/>
          <w:noProof/>
          <w:color w:val="auto"/>
          <w:sz w:val="20"/>
          <w:szCs w:val="20"/>
        </w:rPr>
        <w:t>[</w:t>
      </w:r>
      <w:hyperlink w:anchor="_ENREF_4" w:tooltip="Krogh, 2001 #25" w:history="1">
        <w:r w:rsidR="00677313">
          <w:rPr>
            <w:rFonts w:ascii="Arial" w:hAnsi="Arial" w:cs="Arial"/>
            <w:b w:val="0"/>
            <w:noProof/>
            <w:color w:val="auto"/>
            <w:sz w:val="20"/>
            <w:szCs w:val="20"/>
          </w:rPr>
          <w:t>4</w:t>
        </w:r>
      </w:hyperlink>
      <w:r w:rsidR="00677313">
        <w:rPr>
          <w:rFonts w:ascii="Arial" w:hAnsi="Arial" w:cs="Arial"/>
          <w:b w:val="0"/>
          <w:noProof/>
          <w:color w:val="auto"/>
          <w:sz w:val="20"/>
          <w:szCs w:val="20"/>
        </w:rPr>
        <w:t>]</w:t>
      </w:r>
      <w:r w:rsidR="00677313">
        <w:rPr>
          <w:rFonts w:ascii="Arial" w:hAnsi="Arial" w:cs="Arial"/>
          <w:b w:val="0"/>
          <w:color w:val="auto"/>
          <w:sz w:val="20"/>
          <w:szCs w:val="20"/>
        </w:rPr>
        <w:fldChar w:fldCharType="end"/>
      </w:r>
      <w:r w:rsidR="00A10DA4">
        <w:rPr>
          <w:rFonts w:ascii="Arial" w:hAnsi="Arial" w:cs="Arial"/>
          <w:b w:val="0"/>
          <w:color w:val="auto"/>
          <w:sz w:val="20"/>
          <w:szCs w:val="20"/>
        </w:rPr>
        <w:t xml:space="preserve"> respectively</w:t>
      </w:r>
      <w:r w:rsidR="00677313">
        <w:rPr>
          <w:rFonts w:ascii="Arial" w:hAnsi="Arial" w:cs="Arial"/>
          <w:b w:val="0"/>
          <w:color w:val="auto"/>
          <w:sz w:val="20"/>
          <w:szCs w:val="20"/>
        </w:rPr>
        <w:t xml:space="preserve"> with default settings</w:t>
      </w:r>
      <w:r w:rsidR="00A10DA4">
        <w:rPr>
          <w:rFonts w:ascii="Arial" w:hAnsi="Arial" w:cs="Arial"/>
          <w:b w:val="0"/>
          <w:color w:val="auto"/>
          <w:sz w:val="20"/>
          <w:szCs w:val="20"/>
        </w:rPr>
        <w:t xml:space="preserve">. </w:t>
      </w:r>
      <w:r w:rsidR="00677313" w:rsidRPr="001E402B">
        <w:rPr>
          <w:rFonts w:ascii="Arial" w:hAnsi="Arial" w:cs="Arial"/>
          <w:b w:val="0"/>
          <w:color w:val="auto"/>
          <w:sz w:val="20"/>
          <w:szCs w:val="20"/>
        </w:rPr>
        <w:t>Highlighted in pink are the related MWL-1 and 2</w:t>
      </w:r>
      <w:r w:rsidR="00C264ED">
        <w:rPr>
          <w:rFonts w:ascii="Arial" w:hAnsi="Arial" w:cs="Arial"/>
          <w:b w:val="0"/>
          <w:color w:val="auto"/>
          <w:sz w:val="20"/>
          <w:szCs w:val="20"/>
        </w:rPr>
        <w:t xml:space="preserve"> </w:t>
      </w:r>
      <w:r w:rsidR="00C264ED">
        <w:rPr>
          <w:rFonts w:ascii="Arial" w:hAnsi="Arial" w:cs="Arial"/>
          <w:b w:val="0"/>
          <w:color w:val="auto"/>
          <w:sz w:val="20"/>
          <w:szCs w:val="20"/>
        </w:rPr>
        <w:lastRenderedPageBreak/>
        <w:t>sequences</w:t>
      </w:r>
      <w:r w:rsidR="00677313" w:rsidRPr="001E402B">
        <w:rPr>
          <w:rFonts w:ascii="Arial" w:hAnsi="Arial" w:cs="Arial"/>
          <w:b w:val="0"/>
          <w:color w:val="auto"/>
          <w:sz w:val="20"/>
          <w:szCs w:val="20"/>
        </w:rPr>
        <w:t xml:space="preserve">. </w:t>
      </w:r>
      <w:r w:rsidRPr="001E402B">
        <w:rPr>
          <w:rFonts w:ascii="Arial" w:hAnsi="Arial" w:cs="Arial"/>
          <w:b w:val="0"/>
          <w:color w:val="auto"/>
          <w:sz w:val="20"/>
          <w:szCs w:val="20"/>
        </w:rPr>
        <w:t xml:space="preserve">B. </w:t>
      </w:r>
      <w:r w:rsidRPr="001E402B">
        <w:rPr>
          <w:rFonts w:ascii="Arial" w:hAnsi="Arial" w:cs="Arial"/>
          <w:b w:val="0"/>
          <w:bCs w:val="0"/>
          <w:i/>
          <w:color w:val="auto"/>
          <w:sz w:val="20"/>
          <w:szCs w:val="20"/>
        </w:rPr>
        <w:t>Arabidopsis</w:t>
      </w:r>
      <w:r w:rsidRPr="001E402B">
        <w:rPr>
          <w:rFonts w:ascii="Arial" w:hAnsi="Arial" w:cs="Arial"/>
          <w:b w:val="0"/>
          <w:bCs w:val="0"/>
          <w:color w:val="auto"/>
          <w:sz w:val="20"/>
          <w:szCs w:val="20"/>
        </w:rPr>
        <w:t xml:space="preserve"> expression profiles for </w:t>
      </w:r>
      <w:r w:rsidRPr="001E402B">
        <w:rPr>
          <w:rFonts w:ascii="Arial" w:hAnsi="Arial" w:cs="Arial"/>
          <w:b w:val="0"/>
          <w:i/>
          <w:color w:val="auto"/>
          <w:sz w:val="20"/>
          <w:szCs w:val="20"/>
        </w:rPr>
        <w:t>MWL-1</w:t>
      </w:r>
      <w:r w:rsidRPr="001E402B">
        <w:rPr>
          <w:rFonts w:ascii="Arial" w:hAnsi="Arial" w:cs="Arial"/>
          <w:b w:val="0"/>
          <w:color w:val="auto"/>
          <w:sz w:val="20"/>
          <w:szCs w:val="20"/>
        </w:rPr>
        <w:t xml:space="preserve"> </w:t>
      </w:r>
      <w:r w:rsidRPr="001E402B">
        <w:rPr>
          <w:rFonts w:ascii="Arial" w:hAnsi="Arial" w:cs="Arial"/>
          <w:b w:val="0"/>
          <w:noProof/>
          <w:color w:val="auto"/>
          <w:sz w:val="20"/>
          <w:szCs w:val="20"/>
        </w:rPr>
        <w:t xml:space="preserve">and </w:t>
      </w:r>
      <w:r w:rsidRPr="001E402B">
        <w:rPr>
          <w:rFonts w:ascii="Arial" w:hAnsi="Arial" w:cs="Arial"/>
          <w:b w:val="0"/>
          <w:i/>
          <w:color w:val="auto"/>
          <w:sz w:val="20"/>
          <w:szCs w:val="20"/>
        </w:rPr>
        <w:t>MWL-2</w:t>
      </w:r>
      <w:r w:rsidRPr="001E402B">
        <w:rPr>
          <w:rFonts w:ascii="Arial" w:hAnsi="Arial" w:cs="Arial"/>
          <w:b w:val="0"/>
          <w:noProof/>
          <w:color w:val="auto"/>
          <w:sz w:val="20"/>
          <w:szCs w:val="20"/>
        </w:rPr>
        <w:t xml:space="preserve"> across different tissues during development, exctracted from </w:t>
      </w:r>
      <w:r w:rsidRPr="001E402B">
        <w:rPr>
          <w:rFonts w:ascii="Arial" w:hAnsi="Arial" w:cs="Arial"/>
          <w:b w:val="0"/>
          <w:bCs w:val="0"/>
          <w:color w:val="auto"/>
          <w:sz w:val="20"/>
          <w:szCs w:val="20"/>
        </w:rPr>
        <w:t>The Bio-Analytic Resource for Plant Biology (</w:t>
      </w:r>
      <w:hyperlink r:id="rId9" w:history="1">
        <w:r w:rsidRPr="001E402B">
          <w:rPr>
            <w:rStyle w:val="Hyperlink"/>
            <w:rFonts w:ascii="Arial" w:hAnsi="Arial" w:cs="Arial"/>
            <w:b w:val="0"/>
            <w:bCs w:val="0"/>
            <w:color w:val="auto"/>
            <w:sz w:val="20"/>
            <w:szCs w:val="20"/>
          </w:rPr>
          <w:t>http://bar.utoronto.ca/welcome.htm</w:t>
        </w:r>
      </w:hyperlink>
      <w:r w:rsidRPr="001E402B">
        <w:rPr>
          <w:rFonts w:ascii="Arial" w:hAnsi="Arial" w:cs="Arial"/>
          <w:b w:val="0"/>
          <w:bCs w:val="0"/>
          <w:color w:val="auto"/>
          <w:sz w:val="20"/>
          <w:szCs w:val="20"/>
        </w:rPr>
        <w:t xml:space="preserve">) </w:t>
      </w:r>
      <w:r w:rsidRPr="001E402B">
        <w:rPr>
          <w:rFonts w:ascii="Arial" w:hAnsi="Arial" w:cs="Arial"/>
          <w:b w:val="0"/>
          <w:bCs w:val="0"/>
          <w:color w:val="auto"/>
          <w:sz w:val="20"/>
          <w:szCs w:val="20"/>
        </w:rPr>
        <w:fldChar w:fldCharType="begin"/>
      </w:r>
      <w:r w:rsidR="00677313">
        <w:rPr>
          <w:rFonts w:ascii="Arial" w:hAnsi="Arial" w:cs="Arial"/>
          <w:b w:val="0"/>
          <w:bCs w:val="0"/>
          <w:color w:val="auto"/>
          <w:sz w:val="20"/>
          <w:szCs w:val="20"/>
        </w:rPr>
        <w:instrText xml:space="preserve"> ADDIN EN.CITE &lt;EndNote&gt;&lt;Cite&gt;&lt;Author&gt;Schmid&lt;/Author&gt;&lt;Year&gt;2005&lt;/Year&gt;&lt;RecNum&gt;41&lt;/RecNum&gt;&lt;DisplayText&gt;[5]&lt;/DisplayText&gt;&lt;record&gt;&lt;rec-number&gt;41&lt;/rec-number&gt;&lt;foreign-keys&gt;&lt;key app="EN" db-id="0tee5xx2550tade5tsup552ms0ea9aw9edvw"&gt;41&lt;/key&gt;&lt;/foreign-keys&gt;&lt;ref-type name="Journal Article"&gt;17&lt;/ref-type&gt;&lt;contributors&gt;&lt;authors&gt;&lt;author&gt;Schmid, Markus&lt;/author&gt;&lt;author&gt;Davison, Timothy S&lt;/author&gt;&lt;author&gt;Henz, Stefan R&lt;/author&gt;&lt;author&gt;Pape, Utz J&lt;/author&gt;&lt;author&gt;Demar, Monika&lt;/author&gt;&lt;author&gt;Vingron, Martin&lt;/author&gt;&lt;author&gt;Schölkopf, Bernhard&lt;/author&gt;&lt;author&gt;Weigel, Detlef&lt;/author&gt;&lt;author&gt;Lohmann, Jan U&lt;/author&gt;&lt;/authors&gt;&lt;/contributors&gt;&lt;titles&gt;&lt;title&gt;&lt;style face="normal" font="default" size="100%"&gt;A gene expression map of &lt;/style&gt;&lt;style face="italic" font="default" size="100%"&gt;Arabidopsis thaliana &lt;/style&gt;&lt;style face="normal" font="default" size="100%"&gt;development&lt;/style&gt;&lt;/title&gt;&lt;secondary-title&gt;Nature genetics&lt;/secondary-title&gt;&lt;/titles&gt;&lt;periodical&gt;&lt;full-title&gt;Nature Genetics&lt;/full-title&gt;&lt;abbr-1&gt;Nat. Genet.&lt;/abbr-1&gt;&lt;/periodical&gt;&lt;pages&gt;501-506&lt;/pages&gt;&lt;volume&gt;37&lt;/volume&gt;&lt;number&gt;5&lt;/number&gt;&lt;dates&gt;&lt;year&gt;2005&lt;/year&gt;&lt;/dates&gt;&lt;urls&gt;&lt;/urls&gt;&lt;/record&gt;&lt;/Cite&gt;&lt;/EndNote&gt;</w:instrText>
      </w:r>
      <w:r w:rsidRPr="001E402B">
        <w:rPr>
          <w:rFonts w:ascii="Arial" w:hAnsi="Arial" w:cs="Arial"/>
          <w:b w:val="0"/>
          <w:bCs w:val="0"/>
          <w:color w:val="auto"/>
          <w:sz w:val="20"/>
          <w:szCs w:val="20"/>
        </w:rPr>
        <w:fldChar w:fldCharType="separate"/>
      </w:r>
      <w:r w:rsidR="00677313">
        <w:rPr>
          <w:rFonts w:ascii="Arial" w:hAnsi="Arial" w:cs="Arial"/>
          <w:b w:val="0"/>
          <w:bCs w:val="0"/>
          <w:noProof/>
          <w:color w:val="auto"/>
          <w:sz w:val="20"/>
          <w:szCs w:val="20"/>
        </w:rPr>
        <w:t>[</w:t>
      </w:r>
      <w:hyperlink w:anchor="_ENREF_5" w:tooltip="Schmid, 2005 #41" w:history="1">
        <w:r w:rsidR="00677313">
          <w:rPr>
            <w:rFonts w:ascii="Arial" w:hAnsi="Arial" w:cs="Arial"/>
            <w:b w:val="0"/>
            <w:bCs w:val="0"/>
            <w:noProof/>
            <w:color w:val="auto"/>
            <w:sz w:val="20"/>
            <w:szCs w:val="20"/>
          </w:rPr>
          <w:t>5</w:t>
        </w:r>
      </w:hyperlink>
      <w:r w:rsidR="00677313">
        <w:rPr>
          <w:rFonts w:ascii="Arial" w:hAnsi="Arial" w:cs="Arial"/>
          <w:b w:val="0"/>
          <w:bCs w:val="0"/>
          <w:noProof/>
          <w:color w:val="auto"/>
          <w:sz w:val="20"/>
          <w:szCs w:val="20"/>
        </w:rPr>
        <w:t>]</w:t>
      </w:r>
      <w:r w:rsidRPr="001E402B">
        <w:rPr>
          <w:rFonts w:ascii="Arial" w:hAnsi="Arial" w:cs="Arial"/>
          <w:b w:val="0"/>
          <w:bCs w:val="0"/>
          <w:color w:val="auto"/>
          <w:sz w:val="20"/>
          <w:szCs w:val="20"/>
        </w:rPr>
        <w:fldChar w:fldCharType="end"/>
      </w:r>
      <w:r w:rsidRPr="001E402B">
        <w:rPr>
          <w:rFonts w:ascii="Arial" w:hAnsi="Arial" w:cs="Arial"/>
          <w:b w:val="0"/>
          <w:bCs w:val="0"/>
          <w:color w:val="auto"/>
          <w:sz w:val="20"/>
          <w:szCs w:val="20"/>
        </w:rPr>
        <w:t>. Preferential expression is seen at distinct developmental stages, however there is overlap in the secondary cell wall depositing, 2</w:t>
      </w:r>
      <w:r w:rsidRPr="001E402B">
        <w:rPr>
          <w:rFonts w:ascii="Arial" w:hAnsi="Arial" w:cs="Arial"/>
          <w:b w:val="0"/>
          <w:bCs w:val="0"/>
          <w:color w:val="auto"/>
          <w:sz w:val="20"/>
          <w:szCs w:val="20"/>
          <w:vertAlign w:val="superscript"/>
        </w:rPr>
        <w:t>nd</w:t>
      </w:r>
      <w:r w:rsidR="00C74A7B">
        <w:rPr>
          <w:rFonts w:ascii="Arial" w:hAnsi="Arial" w:cs="Arial"/>
          <w:b w:val="0"/>
          <w:bCs w:val="0"/>
          <w:color w:val="auto"/>
          <w:sz w:val="20"/>
          <w:szCs w:val="20"/>
        </w:rPr>
        <w:t xml:space="preserve"> internode region.</w:t>
      </w:r>
    </w:p>
    <w:p w14:paraId="735B5BED" w14:textId="77777777" w:rsidR="00A10DA4" w:rsidRDefault="00E711F6" w:rsidP="00C74A7B">
      <w:pPr>
        <w:pStyle w:val="Heading1"/>
      </w:pPr>
      <w:r w:rsidRPr="00E711F6">
        <w:t>References</w:t>
      </w:r>
    </w:p>
    <w:p w14:paraId="59BAD665" w14:textId="77777777" w:rsidR="00CA66D0" w:rsidRPr="00CA66D0" w:rsidRDefault="00CA66D0" w:rsidP="00CA66D0">
      <w:pPr>
        <w:spacing w:line="480" w:lineRule="auto"/>
        <w:rPr>
          <w:rFonts w:ascii="Arial" w:hAnsi="Arial" w:cs="Arial"/>
        </w:rPr>
      </w:pPr>
      <w:r w:rsidRPr="00CA66D0">
        <w:rPr>
          <w:rFonts w:ascii="Arial" w:hAnsi="Arial" w:cs="Arial"/>
        </w:rPr>
        <w:t>1. Tamura K, Peterson D, Peterson N, Stecher G, Nei M, et al. MEGA5: Molecular evolutionary genetics analysis using maximum likelihood, evolutionary distance, and maximum parsimony methods. Mol Biol and Evol. 2011. 28: 2731-2739.</w:t>
      </w:r>
    </w:p>
    <w:p w14:paraId="6FBFC83D" w14:textId="77777777" w:rsidR="00CA66D0" w:rsidRPr="00CA66D0" w:rsidRDefault="00CA66D0" w:rsidP="00CA66D0">
      <w:pPr>
        <w:spacing w:line="480" w:lineRule="auto"/>
        <w:rPr>
          <w:rFonts w:ascii="Arial" w:hAnsi="Arial" w:cs="Arial"/>
        </w:rPr>
      </w:pPr>
      <w:r w:rsidRPr="00CA66D0">
        <w:rPr>
          <w:rFonts w:ascii="Arial" w:hAnsi="Arial" w:cs="Arial"/>
        </w:rPr>
        <w:t xml:space="preserve">2. Hooper CM, Tanz SK, Castleden IR, Vacher MA, Small ID, et al. (2014) SUBAcon: a consensus algorithm for unifying the subcellular localization data of the </w:t>
      </w:r>
      <w:r w:rsidRPr="00CA66D0">
        <w:rPr>
          <w:rFonts w:ascii="Arial" w:hAnsi="Arial" w:cs="Arial"/>
          <w:i/>
        </w:rPr>
        <w:t>Arabidopsis</w:t>
      </w:r>
      <w:r w:rsidRPr="00CA66D0">
        <w:rPr>
          <w:rFonts w:ascii="Arial" w:hAnsi="Arial" w:cs="Arial"/>
        </w:rPr>
        <w:t xml:space="preserve"> proteome. Bioinformatics. 2014. 30: 3356-3364.</w:t>
      </w:r>
    </w:p>
    <w:p w14:paraId="2B71CD6A" w14:textId="77777777" w:rsidR="00CA66D0" w:rsidRPr="00CA66D0" w:rsidRDefault="00CA66D0" w:rsidP="00CA66D0">
      <w:pPr>
        <w:spacing w:line="480" w:lineRule="auto"/>
        <w:rPr>
          <w:rFonts w:ascii="Arial" w:hAnsi="Arial" w:cs="Arial"/>
        </w:rPr>
      </w:pPr>
      <w:r w:rsidRPr="00CA66D0">
        <w:rPr>
          <w:rFonts w:ascii="Arial" w:hAnsi="Arial" w:cs="Arial"/>
        </w:rPr>
        <w:t>3. Shen H-B, Chou K-C Signal-3L: A 3-layer approach for predicting signal peptides. Biochemical and Biophysical Research Comm. 2007. 363: 297-303.</w:t>
      </w:r>
    </w:p>
    <w:p w14:paraId="47E21BB9" w14:textId="50B23C95" w:rsidR="00CA66D0" w:rsidRPr="00CA66D0" w:rsidRDefault="00CA66D0" w:rsidP="00CA66D0">
      <w:pPr>
        <w:spacing w:line="480" w:lineRule="auto"/>
        <w:rPr>
          <w:rFonts w:ascii="Arial" w:hAnsi="Arial" w:cs="Arial"/>
        </w:rPr>
      </w:pPr>
      <w:r w:rsidRPr="00CA66D0">
        <w:rPr>
          <w:rFonts w:ascii="Arial" w:hAnsi="Arial" w:cs="Arial"/>
        </w:rPr>
        <w:t>4. Krogh A, Larsson B, Von Heijne G, Sonnhammer EL (2001) Predicting transmembrane protein topology with a hidden Markov model: application to comple</w:t>
      </w:r>
      <w:r w:rsidR="0079430F">
        <w:rPr>
          <w:rFonts w:ascii="Arial" w:hAnsi="Arial" w:cs="Arial"/>
        </w:rPr>
        <w:t xml:space="preserve">te genomes. J. </w:t>
      </w:r>
      <w:r w:rsidRPr="00CA66D0">
        <w:rPr>
          <w:rFonts w:ascii="Arial" w:hAnsi="Arial" w:cs="Arial"/>
        </w:rPr>
        <w:t>Mol</w:t>
      </w:r>
      <w:r w:rsidR="0079430F">
        <w:rPr>
          <w:rFonts w:ascii="Arial" w:hAnsi="Arial" w:cs="Arial"/>
        </w:rPr>
        <w:t>.</w:t>
      </w:r>
      <w:r w:rsidRPr="00CA66D0">
        <w:rPr>
          <w:rFonts w:ascii="Arial" w:hAnsi="Arial" w:cs="Arial"/>
        </w:rPr>
        <w:t xml:space="preserve"> Biol. 2001. 305: 567-580.</w:t>
      </w:r>
    </w:p>
    <w:p w14:paraId="1CDCEA81" w14:textId="484E553C" w:rsidR="00CA66D0" w:rsidRPr="00CA66D0" w:rsidRDefault="00CA66D0" w:rsidP="00CA66D0">
      <w:pPr>
        <w:spacing w:line="480" w:lineRule="auto"/>
        <w:rPr>
          <w:rFonts w:ascii="Arial" w:hAnsi="Arial" w:cs="Arial"/>
        </w:rPr>
      </w:pPr>
      <w:r w:rsidRPr="00CA66D0">
        <w:rPr>
          <w:rFonts w:ascii="Arial" w:hAnsi="Arial" w:cs="Arial"/>
        </w:rPr>
        <w:t xml:space="preserve">5. Schmid M, Davison TS, Henz SR, Pape UJ, Demar M, et al. (2005) A gene expression map of </w:t>
      </w:r>
      <w:r w:rsidRPr="0079430F">
        <w:rPr>
          <w:rFonts w:ascii="Arial" w:hAnsi="Arial" w:cs="Arial"/>
          <w:i/>
        </w:rPr>
        <w:t>Arabidopsis thaliana</w:t>
      </w:r>
      <w:r w:rsidRPr="00CA66D0">
        <w:rPr>
          <w:rFonts w:ascii="Arial" w:hAnsi="Arial" w:cs="Arial"/>
        </w:rPr>
        <w:t xml:space="preserve"> development. Nature Genetics. 2005. 37: 501-506.</w:t>
      </w:r>
    </w:p>
    <w:sectPr w:rsidR="00CA66D0" w:rsidRPr="00CA66D0" w:rsidSect="00476B86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E9A5EA" w14:textId="77777777" w:rsidR="002D4DDA" w:rsidRDefault="002D4DDA" w:rsidP="000061FE">
      <w:pPr>
        <w:spacing w:after="0" w:line="240" w:lineRule="auto"/>
      </w:pPr>
      <w:r>
        <w:separator/>
      </w:r>
    </w:p>
  </w:endnote>
  <w:endnote w:type="continuationSeparator" w:id="0">
    <w:p w14:paraId="5F6C7BCE" w14:textId="77777777" w:rsidR="002D4DDA" w:rsidRDefault="002D4DDA" w:rsidP="000061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470029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7248BA7" w14:textId="77777777" w:rsidR="00AA63B1" w:rsidRDefault="00AA63B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9349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00E5684" w14:textId="77777777" w:rsidR="00AA63B1" w:rsidRDefault="00AA63B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56C7C1" w14:textId="77777777" w:rsidR="002D4DDA" w:rsidRDefault="002D4DDA" w:rsidP="000061FE">
      <w:pPr>
        <w:spacing w:after="0" w:line="240" w:lineRule="auto"/>
      </w:pPr>
      <w:r>
        <w:separator/>
      </w:r>
    </w:p>
  </w:footnote>
  <w:footnote w:type="continuationSeparator" w:id="0">
    <w:p w14:paraId="6F8325F3" w14:textId="77777777" w:rsidR="002D4DDA" w:rsidRDefault="002D4DDA" w:rsidP="000061F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8313FF"/>
    <w:multiLevelType w:val="hybridMultilevel"/>
    <w:tmpl w:val="A2FAC9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6D3453"/>
    <w:multiLevelType w:val="hybridMultilevel"/>
    <w:tmpl w:val="9D7E557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B96468"/>
    <w:multiLevelType w:val="hybridMultilevel"/>
    <w:tmpl w:val="B00C56F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D24265"/>
    <w:multiLevelType w:val="hybridMultilevel"/>
    <w:tmpl w:val="A2FAC9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C7365D"/>
    <w:multiLevelType w:val="hybridMultilevel"/>
    <w:tmpl w:val="D66ED6D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F347D1"/>
    <w:multiLevelType w:val="hybridMultilevel"/>
    <w:tmpl w:val="A7026988"/>
    <w:lvl w:ilvl="0" w:tplc="C1D8F910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9C0031"/>
    <w:multiLevelType w:val="hybridMultilevel"/>
    <w:tmpl w:val="D996C9E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FB7F1A"/>
    <w:multiLevelType w:val="hybridMultilevel"/>
    <w:tmpl w:val="4FA6EB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D2604E"/>
    <w:multiLevelType w:val="hybridMultilevel"/>
    <w:tmpl w:val="28B87B4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336B96"/>
    <w:multiLevelType w:val="hybridMultilevel"/>
    <w:tmpl w:val="8D36C6B4"/>
    <w:lvl w:ilvl="0" w:tplc="714E1F84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89B08E4"/>
    <w:multiLevelType w:val="hybridMultilevel"/>
    <w:tmpl w:val="97E0EB4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34368"/>
    <w:multiLevelType w:val="hybridMultilevel"/>
    <w:tmpl w:val="EB00F2E4"/>
    <w:lvl w:ilvl="0" w:tplc="9A204F20">
      <w:numFmt w:val="bullet"/>
      <w:lvlText w:val="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B042CA"/>
    <w:multiLevelType w:val="hybridMultilevel"/>
    <w:tmpl w:val="B9F2EFC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11"/>
  </w:num>
  <w:num w:numId="5">
    <w:abstractNumId w:val="9"/>
  </w:num>
  <w:num w:numId="6">
    <w:abstractNumId w:val="5"/>
  </w:num>
  <w:num w:numId="7">
    <w:abstractNumId w:val="1"/>
  </w:num>
  <w:num w:numId="8">
    <w:abstractNumId w:val="8"/>
  </w:num>
  <w:num w:numId="9">
    <w:abstractNumId w:val="4"/>
  </w:num>
  <w:num w:numId="10">
    <w:abstractNumId w:val="6"/>
  </w:num>
  <w:num w:numId="11">
    <w:abstractNumId w:val="10"/>
  </w:num>
  <w:num w:numId="12">
    <w:abstractNumId w:val="12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PLoS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0tee5xx2550tade5tsup552ms0ea9aw9edvw&quot;&gt;DUF1218 Copy&lt;record-ids&gt;&lt;item&gt;16&lt;/item&gt;&lt;item&gt;19&lt;/item&gt;&lt;item&gt;25&lt;/item&gt;&lt;item&gt;41&lt;/item&gt;&lt;item&gt;115&lt;/item&gt;&lt;item&gt;145&lt;/item&gt;&lt;item&gt;146&lt;/item&gt;&lt;item&gt;147&lt;/item&gt;&lt;item&gt;150&lt;/item&gt;&lt;/record-ids&gt;&lt;/item&gt;&lt;/Libraries&gt;"/>
  </w:docVars>
  <w:rsids>
    <w:rsidRoot w:val="00AF388D"/>
    <w:rsid w:val="000061FE"/>
    <w:rsid w:val="0007627A"/>
    <w:rsid w:val="000941C9"/>
    <w:rsid w:val="000A3445"/>
    <w:rsid w:val="000C173D"/>
    <w:rsid w:val="000D5507"/>
    <w:rsid w:val="001521C0"/>
    <w:rsid w:val="00162130"/>
    <w:rsid w:val="0017549C"/>
    <w:rsid w:val="00176EDE"/>
    <w:rsid w:val="001B7352"/>
    <w:rsid w:val="001C3CC1"/>
    <w:rsid w:val="001F2585"/>
    <w:rsid w:val="001F557A"/>
    <w:rsid w:val="00202B0B"/>
    <w:rsid w:val="00211402"/>
    <w:rsid w:val="00212CB3"/>
    <w:rsid w:val="0022752A"/>
    <w:rsid w:val="00230053"/>
    <w:rsid w:val="002A34A7"/>
    <w:rsid w:val="002D12B4"/>
    <w:rsid w:val="002D4DDA"/>
    <w:rsid w:val="003272DD"/>
    <w:rsid w:val="0035563C"/>
    <w:rsid w:val="00377699"/>
    <w:rsid w:val="00476B86"/>
    <w:rsid w:val="00493499"/>
    <w:rsid w:val="004A192F"/>
    <w:rsid w:val="004C19DB"/>
    <w:rsid w:val="004D5B88"/>
    <w:rsid w:val="00501826"/>
    <w:rsid w:val="0050634A"/>
    <w:rsid w:val="00506D5A"/>
    <w:rsid w:val="00535604"/>
    <w:rsid w:val="00561DD1"/>
    <w:rsid w:val="0057384F"/>
    <w:rsid w:val="0059734A"/>
    <w:rsid w:val="005C61E0"/>
    <w:rsid w:val="006234B0"/>
    <w:rsid w:val="006417C4"/>
    <w:rsid w:val="00666B3E"/>
    <w:rsid w:val="00677313"/>
    <w:rsid w:val="006C717A"/>
    <w:rsid w:val="006C7667"/>
    <w:rsid w:val="006D210B"/>
    <w:rsid w:val="007152A0"/>
    <w:rsid w:val="0075554C"/>
    <w:rsid w:val="0077568F"/>
    <w:rsid w:val="0079430F"/>
    <w:rsid w:val="007C272B"/>
    <w:rsid w:val="007C6742"/>
    <w:rsid w:val="007E656E"/>
    <w:rsid w:val="00841212"/>
    <w:rsid w:val="00873167"/>
    <w:rsid w:val="0088045F"/>
    <w:rsid w:val="0089352B"/>
    <w:rsid w:val="00901540"/>
    <w:rsid w:val="009153A8"/>
    <w:rsid w:val="0092535B"/>
    <w:rsid w:val="009B21AE"/>
    <w:rsid w:val="009D6F72"/>
    <w:rsid w:val="00A061D3"/>
    <w:rsid w:val="00A10DA4"/>
    <w:rsid w:val="00A36CEA"/>
    <w:rsid w:val="00A823C3"/>
    <w:rsid w:val="00AA63B1"/>
    <w:rsid w:val="00AF388D"/>
    <w:rsid w:val="00B21E51"/>
    <w:rsid w:val="00B5346D"/>
    <w:rsid w:val="00B62655"/>
    <w:rsid w:val="00B67242"/>
    <w:rsid w:val="00B8755D"/>
    <w:rsid w:val="00C264ED"/>
    <w:rsid w:val="00C74A7B"/>
    <w:rsid w:val="00C877F0"/>
    <w:rsid w:val="00CA66D0"/>
    <w:rsid w:val="00CE48FE"/>
    <w:rsid w:val="00CF588E"/>
    <w:rsid w:val="00CF7F61"/>
    <w:rsid w:val="00D7788C"/>
    <w:rsid w:val="00E22A06"/>
    <w:rsid w:val="00E711F6"/>
    <w:rsid w:val="00E75751"/>
    <w:rsid w:val="00F009C8"/>
    <w:rsid w:val="00F97C07"/>
    <w:rsid w:val="00FB4CD8"/>
    <w:rsid w:val="00FC25E8"/>
    <w:rsid w:val="00FE4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F9A536"/>
  <w15:docId w15:val="{4137B6FD-DACA-4069-ABDA-8B8F90A9F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388D"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AF388D"/>
    <w:pPr>
      <w:keepNext/>
      <w:keepLines/>
      <w:spacing w:before="480" w:after="0" w:line="480" w:lineRule="auto"/>
      <w:outlineLvl w:val="0"/>
    </w:pPr>
    <w:rPr>
      <w:rFonts w:ascii="Arial" w:eastAsiaTheme="majorEastAsia" w:hAnsi="Arial" w:cs="Arial"/>
      <w:b/>
      <w:bCs/>
      <w:color w:val="000000" w:themeColor="text1"/>
      <w:sz w:val="36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F388D"/>
    <w:pPr>
      <w:keepNext/>
      <w:keepLines/>
      <w:spacing w:before="320" w:after="120" w:line="480" w:lineRule="auto"/>
      <w:outlineLvl w:val="1"/>
    </w:pPr>
    <w:rPr>
      <w:rFonts w:ascii="Arial" w:eastAsiaTheme="majorEastAsia" w:hAnsi="Arial" w:cstheme="majorBidi"/>
      <w:b/>
      <w:bC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F388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AF388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F388D"/>
    <w:rPr>
      <w:color w:val="0000FF" w:themeColor="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AF388D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F38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F388D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AF388D"/>
    <w:rPr>
      <w:rFonts w:ascii="Arial" w:eastAsiaTheme="majorEastAsia" w:hAnsi="Arial" w:cs="Arial"/>
      <w:b/>
      <w:bCs/>
      <w:color w:val="000000" w:themeColor="text1"/>
      <w:sz w:val="36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F388D"/>
    <w:rPr>
      <w:rFonts w:ascii="Arial" w:eastAsiaTheme="majorEastAsia" w:hAnsi="Arial" w:cstheme="majorBidi"/>
      <w:b/>
      <w:bCs/>
      <w:sz w:val="32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AF388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AF388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CommentReference">
    <w:name w:val="annotation reference"/>
    <w:basedOn w:val="DefaultParagraphFont"/>
    <w:uiPriority w:val="99"/>
    <w:semiHidden/>
    <w:unhideWhenUsed/>
    <w:rsid w:val="00AF388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F388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F388D"/>
    <w:rPr>
      <w:sz w:val="20"/>
      <w:szCs w:val="20"/>
    </w:rPr>
  </w:style>
  <w:style w:type="character" w:customStyle="1" w:styleId="apple-converted-space">
    <w:name w:val="apple-converted-space"/>
    <w:basedOn w:val="DefaultParagraphFont"/>
    <w:rsid w:val="00AF388D"/>
  </w:style>
  <w:style w:type="paragraph" w:styleId="ListParagraph">
    <w:name w:val="List Paragraph"/>
    <w:basedOn w:val="Normal"/>
    <w:uiPriority w:val="34"/>
    <w:qFormat/>
    <w:rsid w:val="00AF388D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AF388D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AF388D"/>
    <w:rPr>
      <w:color w:val="800080" w:themeColor="followedHyperlink"/>
      <w:u w:val="single"/>
    </w:rPr>
  </w:style>
  <w:style w:type="character" w:customStyle="1" w:styleId="gd">
    <w:name w:val="gd"/>
    <w:basedOn w:val="DefaultParagraphFont"/>
    <w:rsid w:val="00AF388D"/>
  </w:style>
  <w:style w:type="character" w:styleId="Strong">
    <w:name w:val="Strong"/>
    <w:basedOn w:val="DefaultParagraphFont"/>
    <w:uiPriority w:val="22"/>
    <w:qFormat/>
    <w:rsid w:val="00AF388D"/>
    <w:rPr>
      <w:b/>
      <w:bCs/>
    </w:rPr>
  </w:style>
  <w:style w:type="paragraph" w:customStyle="1" w:styleId="Default">
    <w:name w:val="Default"/>
    <w:rsid w:val="00AF388D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F388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F388D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AF388D"/>
    <w:pPr>
      <w:spacing w:after="0" w:line="240" w:lineRule="auto"/>
    </w:pPr>
  </w:style>
  <w:style w:type="character" w:styleId="Emphasis">
    <w:name w:val="Emphasis"/>
    <w:basedOn w:val="DefaultParagraphFont"/>
    <w:uiPriority w:val="20"/>
    <w:qFormat/>
    <w:rsid w:val="00AF388D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AF388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F388D"/>
  </w:style>
  <w:style w:type="paragraph" w:styleId="Footer">
    <w:name w:val="footer"/>
    <w:basedOn w:val="Normal"/>
    <w:link w:val="FooterChar"/>
    <w:uiPriority w:val="99"/>
    <w:unhideWhenUsed/>
    <w:rsid w:val="00AF388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F388D"/>
  </w:style>
  <w:style w:type="paragraph" w:customStyle="1" w:styleId="xl65">
    <w:name w:val="xl65"/>
    <w:basedOn w:val="Normal"/>
    <w:rsid w:val="00AF38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AF38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67">
    <w:name w:val="xl67"/>
    <w:basedOn w:val="Normal"/>
    <w:rsid w:val="00AF388D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</w:rPr>
  </w:style>
  <w:style w:type="paragraph" w:customStyle="1" w:styleId="xl68">
    <w:name w:val="xl68"/>
    <w:basedOn w:val="Normal"/>
    <w:rsid w:val="00AF388D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</w:rPr>
  </w:style>
  <w:style w:type="paragraph" w:customStyle="1" w:styleId="xl69">
    <w:name w:val="xl69"/>
    <w:basedOn w:val="Normal"/>
    <w:rsid w:val="00AF388D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70">
    <w:name w:val="xl70"/>
    <w:basedOn w:val="Normal"/>
    <w:rsid w:val="00AF388D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nt5">
    <w:name w:val="font5"/>
    <w:basedOn w:val="Normal"/>
    <w:rsid w:val="00AF388D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000000"/>
      <w:sz w:val="18"/>
      <w:szCs w:val="18"/>
    </w:rPr>
  </w:style>
  <w:style w:type="paragraph" w:customStyle="1" w:styleId="font6">
    <w:name w:val="font6"/>
    <w:basedOn w:val="Normal"/>
    <w:rsid w:val="00AF388D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color w:val="000000"/>
      <w:sz w:val="18"/>
      <w:szCs w:val="18"/>
    </w:rPr>
  </w:style>
  <w:style w:type="paragraph" w:customStyle="1" w:styleId="xl71">
    <w:name w:val="xl71"/>
    <w:basedOn w:val="Normal"/>
    <w:rsid w:val="00AF388D"/>
    <w:pPr>
      <w:pBdr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167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5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00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bar.utoronto.ca/welcome.h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B22B9D-F921-4B7D-862F-924AAFFBBA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1098</Words>
  <Characters>6263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Ritesh Mewalal</dc:creator>
  <cp:lastModifiedBy>Ritesh Mewalal</cp:lastModifiedBy>
  <cp:revision>5</cp:revision>
  <dcterms:created xsi:type="dcterms:W3CDTF">2016-02-18T04:07:00Z</dcterms:created>
  <dcterms:modified xsi:type="dcterms:W3CDTF">2016-02-18T04:27:00Z</dcterms:modified>
</cp:coreProperties>
</file>