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  <w:r>
        <w:rPr>
          <w:rFonts w:ascii="Times New Roman" w:eastAsia="Malgun Gothic" w:hAnsi="Times New Roman"/>
          <w:sz w:val="24"/>
          <w:szCs w:val="20"/>
        </w:rPr>
        <w:t>Supplemental Information for manuscript titled:</w:t>
      </w:r>
    </w:p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</w:p>
    <w:p w:rsidR="00E73389" w:rsidRPr="00E73389" w:rsidRDefault="00E73389" w:rsidP="00E73389">
      <w:pPr>
        <w:spacing w:after="0" w:line="240" w:lineRule="auto"/>
        <w:jc w:val="both"/>
        <w:rPr>
          <w:rFonts w:ascii="Times New Roman" w:eastAsia="Malgun Gothic" w:hAnsi="Times New Roman"/>
          <w:b/>
          <w:bCs/>
          <w:sz w:val="24"/>
          <w:szCs w:val="20"/>
        </w:rPr>
      </w:pPr>
      <w:r w:rsidRPr="00E73389">
        <w:rPr>
          <w:rFonts w:ascii="Times New Roman" w:eastAsia="Malgun Gothic" w:hAnsi="Times New Roman"/>
          <w:b/>
          <w:bCs/>
          <w:sz w:val="24"/>
          <w:szCs w:val="20"/>
        </w:rPr>
        <w:t>Predictive Blood Chemistry Parameters for Pansteatitis-Affected Mozambique Tilapia (</w:t>
      </w:r>
      <w:r w:rsidRPr="00E73389">
        <w:rPr>
          <w:rFonts w:ascii="Times New Roman" w:eastAsia="Malgun Gothic" w:hAnsi="Times New Roman"/>
          <w:b/>
          <w:bCs/>
          <w:i/>
          <w:sz w:val="24"/>
          <w:szCs w:val="20"/>
        </w:rPr>
        <w:t>Oreochromis mossambicus</w:t>
      </w:r>
      <w:r w:rsidRPr="00E73389">
        <w:rPr>
          <w:rFonts w:ascii="Times New Roman" w:eastAsia="Malgun Gothic" w:hAnsi="Times New Roman"/>
          <w:b/>
          <w:bCs/>
          <w:sz w:val="24"/>
          <w:szCs w:val="20"/>
        </w:rPr>
        <w:t xml:space="preserve">) </w:t>
      </w:r>
    </w:p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</w:p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</w:p>
    <w:p w:rsidR="00E73389" w:rsidRPr="00E73389" w:rsidRDefault="00E73389" w:rsidP="00E73389">
      <w:pPr>
        <w:spacing w:after="0" w:line="240" w:lineRule="auto"/>
        <w:jc w:val="both"/>
        <w:rPr>
          <w:rFonts w:ascii="Times New Roman" w:eastAsia="Malgun Gothic" w:hAnsi="Times New Roman"/>
          <w:b/>
          <w:bCs/>
          <w:sz w:val="24"/>
          <w:szCs w:val="20"/>
        </w:rPr>
      </w:pPr>
      <w:r w:rsidRPr="00E73389">
        <w:rPr>
          <w:rFonts w:ascii="Times New Roman" w:eastAsia="Malgun Gothic" w:hAnsi="Times New Roman"/>
          <w:b/>
          <w:bCs/>
          <w:sz w:val="24"/>
          <w:szCs w:val="20"/>
        </w:rPr>
        <w:t>*John A. Bowden, Theresa M. Cantu,</w:t>
      </w:r>
      <w:r w:rsidRPr="00E73389">
        <w:rPr>
          <w:rFonts w:ascii="Times New Roman" w:eastAsia="Malgun Gothic" w:hAnsi="Times New Roman"/>
          <w:b/>
          <w:bCs/>
          <w:sz w:val="24"/>
          <w:szCs w:val="20"/>
          <w:vertAlign w:val="superscript"/>
        </w:rPr>
        <w:t xml:space="preserve"> </w:t>
      </w:r>
      <w:r w:rsidRPr="00E73389">
        <w:rPr>
          <w:rFonts w:ascii="Times New Roman" w:eastAsia="Malgun Gothic" w:hAnsi="Times New Roman"/>
          <w:b/>
          <w:bCs/>
          <w:sz w:val="24"/>
          <w:szCs w:val="20"/>
        </w:rPr>
        <w:t xml:space="preserve"> Robert W. Chapman, Stephen E. Somerville, Matthew P. Guillette, Hannes Botha, Andre Hoffman, </w:t>
      </w:r>
      <w:proofErr w:type="spellStart"/>
      <w:r w:rsidRPr="00E73389">
        <w:rPr>
          <w:rFonts w:ascii="Times New Roman" w:eastAsia="Malgun Gothic" w:hAnsi="Times New Roman"/>
          <w:b/>
          <w:bCs/>
          <w:sz w:val="24"/>
          <w:szCs w:val="20"/>
        </w:rPr>
        <w:t>Wilmien</w:t>
      </w:r>
      <w:proofErr w:type="spellEnd"/>
      <w:r w:rsidRPr="00E73389">
        <w:rPr>
          <w:rFonts w:ascii="Times New Roman" w:eastAsia="Malgun Gothic" w:hAnsi="Times New Roman"/>
          <w:b/>
          <w:bCs/>
          <w:sz w:val="24"/>
          <w:szCs w:val="20"/>
        </w:rPr>
        <w:t xml:space="preserve"> J. </w:t>
      </w:r>
      <w:proofErr w:type="spellStart"/>
      <w:r w:rsidRPr="00E73389">
        <w:rPr>
          <w:rFonts w:ascii="Times New Roman" w:eastAsia="Malgun Gothic" w:hAnsi="Times New Roman"/>
          <w:b/>
          <w:bCs/>
          <w:sz w:val="24"/>
          <w:szCs w:val="20"/>
        </w:rPr>
        <w:t>Luus</w:t>
      </w:r>
      <w:proofErr w:type="spellEnd"/>
      <w:r w:rsidRPr="00E73389">
        <w:rPr>
          <w:rFonts w:ascii="Times New Roman" w:eastAsia="Malgun Gothic" w:hAnsi="Times New Roman"/>
          <w:b/>
          <w:bCs/>
          <w:sz w:val="24"/>
          <w:szCs w:val="20"/>
        </w:rPr>
        <w:t xml:space="preserve">-Powell, Willem J. Smit, Jeffrey </w:t>
      </w:r>
      <w:proofErr w:type="spellStart"/>
      <w:r w:rsidRPr="00E73389">
        <w:rPr>
          <w:rFonts w:ascii="Times New Roman" w:eastAsia="Malgun Gothic" w:hAnsi="Times New Roman"/>
          <w:b/>
          <w:bCs/>
          <w:sz w:val="24"/>
          <w:szCs w:val="20"/>
        </w:rPr>
        <w:t>Lebepe</w:t>
      </w:r>
      <w:proofErr w:type="spellEnd"/>
      <w:r w:rsidRPr="00E73389">
        <w:rPr>
          <w:rFonts w:ascii="Times New Roman" w:eastAsia="Malgun Gothic" w:hAnsi="Times New Roman"/>
          <w:b/>
          <w:bCs/>
          <w:sz w:val="24"/>
          <w:szCs w:val="20"/>
        </w:rPr>
        <w:t xml:space="preserve">, Jan </w:t>
      </w:r>
      <w:proofErr w:type="spellStart"/>
      <w:r w:rsidRPr="00E73389">
        <w:rPr>
          <w:rFonts w:ascii="Times New Roman" w:eastAsia="Malgun Gothic" w:hAnsi="Times New Roman"/>
          <w:b/>
          <w:bCs/>
          <w:sz w:val="24"/>
          <w:szCs w:val="20"/>
        </w:rPr>
        <w:t>Myburgh</w:t>
      </w:r>
      <w:proofErr w:type="spellEnd"/>
      <w:r w:rsidRPr="00E73389">
        <w:rPr>
          <w:rFonts w:ascii="Times New Roman" w:eastAsia="Malgun Gothic" w:hAnsi="Times New Roman"/>
          <w:b/>
          <w:bCs/>
          <w:sz w:val="24"/>
          <w:szCs w:val="20"/>
        </w:rPr>
        <w:t xml:space="preserve">, Danny </w:t>
      </w:r>
      <w:proofErr w:type="spellStart"/>
      <w:r w:rsidRPr="00E73389">
        <w:rPr>
          <w:rFonts w:ascii="Times New Roman" w:eastAsia="Malgun Gothic" w:hAnsi="Times New Roman"/>
          <w:b/>
          <w:bCs/>
          <w:sz w:val="24"/>
          <w:szCs w:val="20"/>
        </w:rPr>
        <w:t>Govender</w:t>
      </w:r>
      <w:proofErr w:type="spellEnd"/>
      <w:r w:rsidRPr="00E73389">
        <w:rPr>
          <w:rFonts w:ascii="Times New Roman" w:eastAsia="Malgun Gothic" w:hAnsi="Times New Roman"/>
          <w:b/>
          <w:bCs/>
          <w:sz w:val="24"/>
          <w:szCs w:val="20"/>
        </w:rPr>
        <w:t xml:space="preserve">, Jonathan Tucker, Ashley S. P. Boggs, and Louis J. Guillette, Jr. </w:t>
      </w:r>
    </w:p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</w:p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</w:p>
    <w:p w:rsidR="00E73389" w:rsidRPr="00E73389" w:rsidRDefault="00E73389" w:rsidP="00E73389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  <w:r w:rsidRPr="00E73389">
        <w:rPr>
          <w:rFonts w:ascii="Times New Roman" w:eastAsia="Malgun Gothic" w:hAnsi="Times New Roman"/>
          <w:sz w:val="24"/>
          <w:szCs w:val="20"/>
        </w:rPr>
        <w:t>*author to whom correspondence should be addressed</w:t>
      </w:r>
    </w:p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</w:p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</w:p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</w:p>
    <w:p w:rsidR="00E73389" w:rsidRDefault="00E7338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</w:p>
    <w:p w:rsidR="00496B29" w:rsidRDefault="00496B29" w:rsidP="0067330B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  <w:sectPr w:rsidR="00496B29" w:rsidSect="00E73389">
          <w:pgSz w:w="12240" w:h="15840"/>
          <w:pgMar w:top="1440" w:right="1800" w:bottom="1440" w:left="1800" w:header="720" w:footer="720" w:gutter="0"/>
          <w:cols w:space="720"/>
          <w:docGrid w:linePitch="299"/>
        </w:sectPr>
      </w:pPr>
    </w:p>
    <w:p w:rsidR="00496B29" w:rsidRPr="00176A3C" w:rsidRDefault="00496B29" w:rsidP="00496B29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0"/>
        </w:rPr>
      </w:pPr>
      <w:r>
        <w:rPr>
          <w:rFonts w:ascii="Times New Roman" w:eastAsia="Malgun Gothic" w:hAnsi="Times New Roman"/>
          <w:sz w:val="24"/>
          <w:szCs w:val="20"/>
        </w:rPr>
        <w:lastRenderedPageBreak/>
        <w:t>S3</w:t>
      </w:r>
      <w:r w:rsidR="007D1877">
        <w:rPr>
          <w:rFonts w:ascii="Times New Roman" w:eastAsia="Malgun Gothic" w:hAnsi="Times New Roman"/>
          <w:sz w:val="24"/>
          <w:szCs w:val="20"/>
        </w:rPr>
        <w:t xml:space="preserve"> Table</w:t>
      </w:r>
      <w:r w:rsidRPr="00176A3C">
        <w:rPr>
          <w:rFonts w:ascii="Times New Roman" w:eastAsia="Malgun Gothic" w:hAnsi="Times New Roman"/>
          <w:sz w:val="24"/>
          <w:szCs w:val="20"/>
        </w:rPr>
        <w:t>. Summarized female tilapia blood chemistry parameters</w:t>
      </w:r>
      <w:r w:rsidRPr="0024708D">
        <w:t xml:space="preserve"> </w:t>
      </w:r>
      <w:r w:rsidRPr="0024708D">
        <w:rPr>
          <w:rFonts w:ascii="Times New Roman" w:eastAsia="Malgun Gothic" w:hAnsi="Times New Roman"/>
          <w:sz w:val="24"/>
          <w:szCs w:val="20"/>
        </w:rPr>
        <w:t xml:space="preserve">using the </w:t>
      </w:r>
      <w:r w:rsidR="0038201B">
        <w:rPr>
          <w:rFonts w:ascii="Times New Roman" w:eastAsia="Malgun Gothic" w:hAnsi="Times New Roman"/>
          <w:sz w:val="24"/>
          <w:szCs w:val="20"/>
        </w:rPr>
        <w:t>blood chemistry</w:t>
      </w:r>
      <w:r w:rsidRPr="0024708D">
        <w:rPr>
          <w:rFonts w:ascii="Times New Roman" w:eastAsia="Malgun Gothic" w:hAnsi="Times New Roman"/>
          <w:sz w:val="24"/>
          <w:szCs w:val="20"/>
        </w:rPr>
        <w:t xml:space="preserve"> analyzer</w:t>
      </w:r>
    </w:p>
    <w:tbl>
      <w:tblPr>
        <w:tblW w:w="13965" w:type="dxa"/>
        <w:tblInd w:w="93" w:type="dxa"/>
        <w:tblLook w:val="04A0" w:firstRow="1" w:lastRow="0" w:firstColumn="1" w:lastColumn="0" w:noHBand="0" w:noVBand="1"/>
      </w:tblPr>
      <w:tblGrid>
        <w:gridCol w:w="825"/>
        <w:gridCol w:w="1170"/>
        <w:gridCol w:w="1260"/>
        <w:gridCol w:w="990"/>
        <w:gridCol w:w="1440"/>
        <w:gridCol w:w="990"/>
        <w:gridCol w:w="900"/>
        <w:gridCol w:w="1080"/>
        <w:gridCol w:w="1080"/>
        <w:gridCol w:w="1080"/>
        <w:gridCol w:w="1080"/>
        <w:gridCol w:w="1080"/>
        <w:gridCol w:w="990"/>
      </w:tblGrid>
      <w:tr w:rsidR="00496B29" w:rsidRPr="00176A3C" w:rsidTr="00D01E42">
        <w:trPr>
          <w:trHeight w:val="315"/>
        </w:trPr>
        <w:tc>
          <w:tcPr>
            <w:tcW w:w="8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ID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AST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BA</w:t>
            </w: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CK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GLU</w:t>
            </w: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PHOS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TP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ALB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LOB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</w:t>
            </w: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176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+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177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</w:t>
            </w:r>
          </w:p>
        </w:tc>
      </w:tr>
      <w:tr w:rsidR="00496B29" w:rsidRPr="00176A3C" w:rsidTr="00D01E4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B29" w:rsidRPr="00176A3C" w:rsidRDefault="00496B29" w:rsidP="00D0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</w:tbl>
    <w:p w:rsidR="00496B29" w:rsidRDefault="00496B29" w:rsidP="00496B29">
      <w:pPr>
        <w:jc w:val="both"/>
        <w:rPr>
          <w:rFonts w:ascii="Times New Roman" w:eastAsia="Malgun Gothic" w:hAnsi="Times New Roman"/>
          <w:sz w:val="24"/>
          <w:szCs w:val="24"/>
        </w:rPr>
      </w:pPr>
      <w:r w:rsidRPr="00297FEC">
        <w:rPr>
          <w:rFonts w:ascii="Times New Roman" w:eastAsia="Malgun Gothic" w:hAnsi="Times New Roman"/>
          <w:sz w:val="24"/>
          <w:szCs w:val="24"/>
        </w:rPr>
        <w:t>Uric acid measurement has been removed (not detected with tilapia). AST (U/L), TP (g/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dL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), ALB (g/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dL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), GLOB (g/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dL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), GLU (mg/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dL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), PHOS (mg/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dL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), K</w:t>
      </w:r>
      <w:r w:rsidRPr="00297FEC">
        <w:rPr>
          <w:rFonts w:ascii="Times New Roman" w:eastAsia="Malgun Gothic" w:hAnsi="Times New Roman"/>
          <w:sz w:val="24"/>
          <w:szCs w:val="24"/>
          <w:vertAlign w:val="superscript"/>
        </w:rPr>
        <w:t>+</w:t>
      </w:r>
      <w:r w:rsidRPr="00297FEC">
        <w:rPr>
          <w:rFonts w:ascii="Times New Roman" w:eastAsia="Malgun Gothic" w:hAnsi="Times New Roman"/>
          <w:sz w:val="24"/>
          <w:szCs w:val="24"/>
        </w:rPr>
        <w:t xml:space="preserve"> (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mmol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/L), Na</w:t>
      </w:r>
      <w:r w:rsidRPr="00297FEC">
        <w:rPr>
          <w:rFonts w:ascii="Times New Roman" w:eastAsia="Malgun Gothic" w:hAnsi="Times New Roman"/>
          <w:sz w:val="24"/>
          <w:szCs w:val="24"/>
          <w:vertAlign w:val="superscript"/>
        </w:rPr>
        <w:t>+</w:t>
      </w:r>
      <w:r w:rsidRPr="00297FEC">
        <w:rPr>
          <w:rFonts w:ascii="Times New Roman" w:eastAsia="Malgun Gothic" w:hAnsi="Times New Roman"/>
          <w:sz w:val="24"/>
          <w:szCs w:val="24"/>
        </w:rPr>
        <w:t xml:space="preserve"> (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mmol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/L), Ca</w:t>
      </w:r>
      <w:r w:rsidRPr="00297FEC">
        <w:rPr>
          <w:rFonts w:ascii="Times New Roman" w:eastAsia="Malgun Gothic" w:hAnsi="Times New Roman"/>
          <w:sz w:val="24"/>
          <w:szCs w:val="24"/>
          <w:vertAlign w:val="superscript"/>
        </w:rPr>
        <w:t>2+</w:t>
      </w:r>
      <w:r w:rsidRPr="00297FEC">
        <w:rPr>
          <w:rFonts w:ascii="Times New Roman" w:eastAsia="Malgun Gothic" w:hAnsi="Times New Roman"/>
          <w:sz w:val="24"/>
          <w:szCs w:val="24"/>
        </w:rPr>
        <w:t xml:space="preserve"> (mg/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dL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), BA (</w:t>
      </w:r>
      <w:r w:rsidR="007D1877">
        <w:rPr>
          <w:rFonts w:ascii="Symbol" w:eastAsia="Malgun Gothic" w:hAnsi="Symbol"/>
          <w:sz w:val="24"/>
          <w:szCs w:val="24"/>
        </w:rPr>
        <w:sym w:font="Symbol" w:char="F06D"/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mol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/L), CK (U/L), UA (mg/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dL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 xml:space="preserve">). U is equal to 16.67 </w:t>
      </w:r>
      <w:proofErr w:type="spellStart"/>
      <w:r w:rsidRPr="00297FEC">
        <w:rPr>
          <w:rFonts w:ascii="Times New Roman" w:eastAsia="Malgun Gothic" w:hAnsi="Times New Roman"/>
          <w:sz w:val="24"/>
          <w:szCs w:val="24"/>
        </w:rPr>
        <w:t>nanokatals</w:t>
      </w:r>
      <w:proofErr w:type="spellEnd"/>
      <w:r w:rsidRPr="00297FEC">
        <w:rPr>
          <w:rFonts w:ascii="Times New Roman" w:eastAsia="Malgun Gothic" w:hAnsi="Times New Roman"/>
          <w:sz w:val="24"/>
          <w:szCs w:val="24"/>
        </w:rPr>
        <w:t>.</w:t>
      </w:r>
    </w:p>
    <w:p w:rsidR="0067330B" w:rsidRDefault="0067330B" w:rsidP="00F669B7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4"/>
        </w:rPr>
      </w:pPr>
      <w:bookmarkStart w:id="0" w:name="_GoBack"/>
      <w:bookmarkEnd w:id="0"/>
    </w:p>
    <w:p w:rsidR="005139EC" w:rsidRDefault="005139EC"/>
    <w:sectPr w:rsidR="005139EC" w:rsidSect="00F669B7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B"/>
    <w:rsid w:val="0000648B"/>
    <w:rsid w:val="00167205"/>
    <w:rsid w:val="00276454"/>
    <w:rsid w:val="0038201B"/>
    <w:rsid w:val="00496B29"/>
    <w:rsid w:val="005139EC"/>
    <w:rsid w:val="0067330B"/>
    <w:rsid w:val="007B78AD"/>
    <w:rsid w:val="007D1877"/>
    <w:rsid w:val="00A0544E"/>
    <w:rsid w:val="00E45BC8"/>
    <w:rsid w:val="00E73389"/>
    <w:rsid w:val="00F669B7"/>
    <w:rsid w:val="00FC2A76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AD248-8C2B-4A7D-AE76-8470F6F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7330B"/>
    <w:rPr>
      <w:b/>
      <w:bCs/>
    </w:rPr>
  </w:style>
  <w:style w:type="paragraph" w:customStyle="1" w:styleId="FAAuthorInfoSubtitle">
    <w:name w:val="FA_Author_Info_Subtitle"/>
    <w:basedOn w:val="Normal"/>
    <w:link w:val="FAAuthorInfoSubtitleChar"/>
    <w:autoRedefine/>
    <w:rsid w:val="0067330B"/>
    <w:pPr>
      <w:spacing w:before="120" w:after="60" w:line="480" w:lineRule="auto"/>
    </w:pPr>
    <w:rPr>
      <w:rFonts w:ascii="Times" w:eastAsia="Times New Roman" w:hAnsi="Times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67330B"/>
    <w:rPr>
      <w:rFonts w:ascii="Times" w:eastAsia="Times New Roman" w:hAnsi="Times" w:cs="Times New Roman"/>
      <w:b/>
      <w:sz w:val="24"/>
      <w:szCs w:val="20"/>
    </w:rPr>
  </w:style>
  <w:style w:type="character" w:customStyle="1" w:styleId="apple-converted-space">
    <w:name w:val="apple-converted-space"/>
    <w:rsid w:val="0067330B"/>
  </w:style>
  <w:style w:type="character" w:customStyle="1" w:styleId="il">
    <w:name w:val="il"/>
    <w:rsid w:val="0067330B"/>
  </w:style>
  <w:style w:type="paragraph" w:styleId="BalloonText">
    <w:name w:val="Balloon Text"/>
    <w:basedOn w:val="Normal"/>
    <w:link w:val="BalloonTextChar"/>
    <w:uiPriority w:val="99"/>
    <w:semiHidden/>
    <w:unhideWhenUsed/>
    <w:rsid w:val="0067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0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0B"/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67330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7330B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67330B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67330B"/>
    <w:rPr>
      <w:rFonts w:ascii="Calibri" w:eastAsia="Calibri" w:hAnsi="Calibri" w:cs="Times New Roman"/>
      <w:noProof/>
    </w:rPr>
  </w:style>
  <w:style w:type="character" w:styleId="Hyperlink">
    <w:name w:val="Hyperlink"/>
    <w:uiPriority w:val="99"/>
    <w:unhideWhenUsed/>
    <w:rsid w:val="0067330B"/>
    <w:rPr>
      <w:color w:val="0000FF"/>
      <w:u w:val="single"/>
    </w:rPr>
  </w:style>
  <w:style w:type="paragraph" w:styleId="NoSpacing">
    <w:name w:val="No Spacing"/>
    <w:uiPriority w:val="1"/>
    <w:qFormat/>
    <w:rsid w:val="0067330B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7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Bowden</dc:creator>
  <cp:keywords/>
  <dc:description/>
  <cp:lastModifiedBy>John Bowden</cp:lastModifiedBy>
  <cp:revision>4</cp:revision>
  <dcterms:created xsi:type="dcterms:W3CDTF">2016-04-09T18:47:00Z</dcterms:created>
  <dcterms:modified xsi:type="dcterms:W3CDTF">2016-04-09T18:52:00Z</dcterms:modified>
</cp:coreProperties>
</file>